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olors1.xml" ContentType="application/vnd.ms-office.chartcolorstyle+xml"/>
  <Override PartName="/word/charts/style1.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6"/>
        <w:tblW w:w="0" w:type="auto"/>
        <w:jc w:val="center"/>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522"/>
      </w:tblGrid>
      <w:tr w14:paraId="6C9693C6">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676" w:hRule="atLeast"/>
          <w:jc w:val="center"/>
        </w:trPr>
        <w:tc>
          <w:tcPr>
            <w:tcW w:w="8522" w:type="dxa"/>
            <w:vAlign w:val="center"/>
          </w:tcPr>
          <w:p w14:paraId="44921B8C">
            <w:pPr>
              <w:jc w:val="center"/>
            </w:pPr>
            <w:r>
              <w:rPr>
                <w:rFonts w:hint="eastAsia"/>
              </w:rPr>
              <w:drawing>
                <wp:inline distT="0" distB="0" distL="114300" distR="114300">
                  <wp:extent cx="1913255" cy="1915795"/>
                  <wp:effectExtent l="0" t="0" r="10795" b="8255"/>
                  <wp:docPr id="49" name="图片 49" descr="dc1f9523b3904ead08136ab3a6640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dc1f9523b3904ead08136ab3a66403a"/>
                          <pic:cNvPicPr>
                            <a:picLocks noChangeAspect="1"/>
                          </pic:cNvPicPr>
                        </pic:nvPicPr>
                        <pic:blipFill>
                          <a:blip r:embed="rId20"/>
                          <a:stretch>
                            <a:fillRect/>
                          </a:stretch>
                        </pic:blipFill>
                        <pic:spPr>
                          <a:xfrm>
                            <a:off x="0" y="0"/>
                            <a:ext cx="1917869" cy="1919948"/>
                          </a:xfrm>
                          <a:prstGeom prst="rect">
                            <a:avLst/>
                          </a:prstGeom>
                        </pic:spPr>
                      </pic:pic>
                    </a:graphicData>
                  </a:graphic>
                </wp:inline>
              </w:drawing>
            </w:r>
          </w:p>
        </w:tc>
      </w:tr>
    </w:tbl>
    <w:p w14:paraId="725DB494"/>
    <w:tbl>
      <w:tblPr>
        <w:tblStyle w:val="16"/>
        <w:tblW w:w="0" w:type="auto"/>
        <w:jc w:val="center"/>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522"/>
      </w:tblGrid>
      <w:tr w14:paraId="4630ECB0">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820" w:hRule="atLeast"/>
          <w:jc w:val="center"/>
        </w:trPr>
        <w:tc>
          <w:tcPr>
            <w:tcW w:w="8522" w:type="dxa"/>
            <w:vAlign w:val="center"/>
          </w:tcPr>
          <w:p w14:paraId="023C8267">
            <w:pPr>
              <w:jc w:val="center"/>
              <w:rPr>
                <w:color w:val="auto"/>
              </w:rPr>
            </w:pPr>
            <w:r>
              <w:rPr>
                <w:rFonts w:hint="eastAsia" w:ascii="方正小标宋简体" w:hAnsi="仿宋" w:eastAsia="方正小标宋简体"/>
                <w:b/>
                <w:color w:val="auto"/>
                <w:sz w:val="52"/>
                <w:szCs w:val="52"/>
              </w:rPr>
              <w:t>石狮市高标准农田建设（一期）“五化”示范项目</w:t>
            </w:r>
          </w:p>
        </w:tc>
      </w:tr>
    </w:tbl>
    <w:p w14:paraId="17DD9107">
      <w:pPr>
        <w:rPr>
          <w:color w:val="auto"/>
        </w:rPr>
      </w:pPr>
    </w:p>
    <w:tbl>
      <w:tblPr>
        <w:tblStyle w:val="1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662"/>
      </w:tblGrid>
      <w:tr w14:paraId="37128B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5" w:hRule="atLeast"/>
          <w:jc w:val="center"/>
        </w:trPr>
        <w:tc>
          <w:tcPr>
            <w:tcW w:w="6662" w:type="dxa"/>
            <w:vAlign w:val="center"/>
          </w:tcPr>
          <w:p w14:paraId="163A632C">
            <w:pPr>
              <w:jc w:val="distribute"/>
              <w:rPr>
                <w:rFonts w:hint="eastAsia" w:ascii="方正粗黑宋简体" w:hAnsi="方正粗黑宋简体" w:eastAsia="方正粗黑宋简体" w:cs="Arial"/>
                <w:color w:val="auto"/>
                <w:sz w:val="72"/>
                <w:szCs w:val="72"/>
                <w:lang w:val="en-US" w:eastAsia="zh-CN"/>
              </w:rPr>
            </w:pPr>
            <w:r>
              <w:rPr>
                <w:rFonts w:hint="eastAsia" w:ascii="方正粗黑宋简体" w:hAnsi="方正粗黑宋简体" w:eastAsia="方正粗黑宋简体" w:cs="Arial"/>
                <w:color w:val="auto"/>
                <w:sz w:val="72"/>
                <w:szCs w:val="72"/>
                <w:lang w:val="en-US" w:eastAsia="zh-CN"/>
              </w:rPr>
              <w:t>事中</w:t>
            </w:r>
            <w:r>
              <w:rPr>
                <w:rFonts w:hint="eastAsia" w:ascii="方正粗黑宋简体" w:hAnsi="方正粗黑宋简体" w:eastAsia="方正粗黑宋简体" w:cs="Arial"/>
                <w:color w:val="auto"/>
                <w:sz w:val="72"/>
                <w:szCs w:val="72"/>
              </w:rPr>
              <w:t>绩效评价</w:t>
            </w:r>
            <w:r>
              <w:rPr>
                <w:rFonts w:hint="eastAsia" w:ascii="方正粗黑宋简体" w:hAnsi="方正粗黑宋简体" w:eastAsia="方正粗黑宋简体" w:cs="Arial"/>
                <w:color w:val="auto"/>
                <w:sz w:val="72"/>
                <w:szCs w:val="72"/>
                <w:lang w:val="en-US" w:eastAsia="zh-CN"/>
              </w:rPr>
              <w:t>报告</w:t>
            </w:r>
          </w:p>
        </w:tc>
      </w:tr>
    </w:tbl>
    <w:p w14:paraId="6F185670">
      <w:pPr>
        <w:rPr>
          <w:color w:val="auto"/>
        </w:rPr>
      </w:pPr>
    </w:p>
    <w:p w14:paraId="3D85E6B1">
      <w:pPr>
        <w:jc w:val="center"/>
        <w:rPr>
          <w:rFonts w:hint="eastAsia" w:ascii="仿宋_GB2312" w:hAnsi="仿宋_GB2312" w:eastAsia="仿宋_GB2312" w:cs="仿宋_GB2312"/>
          <w:color w:val="auto"/>
          <w:sz w:val="28"/>
          <w:szCs w:val="28"/>
          <w:lang w:val="en-US" w:eastAsia="zh-CN"/>
        </w:rPr>
      </w:pPr>
    </w:p>
    <w:p w14:paraId="344090B2">
      <w:pPr>
        <w:rPr>
          <w:color w:val="auto"/>
        </w:rPr>
      </w:pPr>
    </w:p>
    <w:tbl>
      <w:tblPr>
        <w:tblStyle w:val="1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196"/>
        <w:gridCol w:w="1725"/>
        <w:gridCol w:w="4469"/>
        <w:gridCol w:w="1132"/>
      </w:tblGrid>
      <w:tr w14:paraId="774447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1196" w:type="dxa"/>
          </w:tcPr>
          <w:p w14:paraId="63784FA5">
            <w:pPr>
              <w:rPr>
                <w:color w:val="auto"/>
              </w:rPr>
            </w:pPr>
          </w:p>
        </w:tc>
        <w:tc>
          <w:tcPr>
            <w:tcW w:w="1725" w:type="dxa"/>
            <w:vAlign w:val="center"/>
          </w:tcPr>
          <w:p w14:paraId="4AB3F89C">
            <w:pPr>
              <w:jc w:val="center"/>
              <w:rPr>
                <w:rFonts w:ascii="楷体_GB2312" w:hAnsi="仿宋" w:eastAsia="楷体_GB2312" w:cs="仿宋"/>
                <w:b/>
                <w:color w:val="auto"/>
                <w:kern w:val="0"/>
                <w:sz w:val="32"/>
                <w:szCs w:val="32"/>
                <w:lang w:val="zh-CN" w:bidi="zh-CN"/>
              </w:rPr>
            </w:pPr>
            <w:r>
              <w:rPr>
                <w:rFonts w:ascii="楷体_GB2312" w:hAnsi="仿宋" w:eastAsia="楷体_GB2312" w:cs="仿宋"/>
                <w:b/>
                <w:color w:val="auto"/>
                <w:kern w:val="0"/>
                <w:sz w:val="32"/>
                <w:szCs w:val="32"/>
                <w:lang w:val="zh-CN" w:bidi="zh-CN"/>
              </w:rPr>
              <w:t>委托单位</w:t>
            </w:r>
            <w:r>
              <w:rPr>
                <w:rFonts w:hint="eastAsia" w:ascii="楷体_GB2312" w:hAnsi="仿宋" w:eastAsia="楷体_GB2312" w:cs="仿宋"/>
                <w:b/>
                <w:color w:val="auto"/>
                <w:kern w:val="0"/>
                <w:sz w:val="32"/>
                <w:szCs w:val="32"/>
                <w:lang w:val="zh-CN" w:bidi="zh-CN"/>
              </w:rPr>
              <w:t>：</w:t>
            </w:r>
          </w:p>
        </w:tc>
        <w:tc>
          <w:tcPr>
            <w:tcW w:w="4469" w:type="dxa"/>
            <w:vAlign w:val="center"/>
          </w:tcPr>
          <w:p w14:paraId="05AE0633">
            <w:pPr>
              <w:jc w:val="both"/>
              <w:rPr>
                <w:rFonts w:ascii="楷体_GB2312" w:hAnsi="仿宋" w:eastAsia="楷体_GB2312" w:cs="仿宋"/>
                <w:b/>
                <w:color w:val="auto"/>
                <w:kern w:val="0"/>
                <w:sz w:val="32"/>
                <w:szCs w:val="32"/>
                <w:lang w:val="zh-CN" w:bidi="zh-CN"/>
              </w:rPr>
            </w:pPr>
            <w:r>
              <w:rPr>
                <w:rFonts w:hint="eastAsia" w:ascii="楷体_GB2312" w:hAnsi="仿宋" w:eastAsia="楷体_GB2312" w:cs="仿宋"/>
                <w:b/>
                <w:color w:val="auto"/>
                <w:kern w:val="0"/>
                <w:sz w:val="32"/>
                <w:szCs w:val="32"/>
                <w:lang w:val="en-US" w:bidi="zh-CN"/>
              </w:rPr>
              <w:t>石狮</w:t>
            </w:r>
            <w:r>
              <w:rPr>
                <w:rFonts w:ascii="楷体_GB2312" w:hAnsi="仿宋" w:eastAsia="楷体_GB2312" w:cs="仿宋"/>
                <w:b/>
                <w:color w:val="auto"/>
                <w:kern w:val="0"/>
                <w:sz w:val="32"/>
                <w:szCs w:val="32"/>
                <w:lang w:val="zh-CN" w:bidi="zh-CN"/>
              </w:rPr>
              <w:t>市</w:t>
            </w:r>
            <w:r>
              <w:rPr>
                <w:rFonts w:hint="eastAsia" w:ascii="楷体_GB2312" w:hAnsi="仿宋" w:eastAsia="楷体_GB2312" w:cs="仿宋"/>
                <w:b/>
                <w:color w:val="auto"/>
                <w:kern w:val="0"/>
                <w:sz w:val="32"/>
                <w:szCs w:val="32"/>
                <w:lang w:val="en-US" w:bidi="zh-CN"/>
              </w:rPr>
              <w:t>财政局</w:t>
            </w:r>
          </w:p>
        </w:tc>
        <w:tc>
          <w:tcPr>
            <w:tcW w:w="1132" w:type="dxa"/>
          </w:tcPr>
          <w:p w14:paraId="1B31135F">
            <w:pPr>
              <w:rPr>
                <w:color w:val="auto"/>
              </w:rPr>
            </w:pPr>
          </w:p>
        </w:tc>
      </w:tr>
      <w:tr w14:paraId="5DDE0D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1196" w:type="dxa"/>
          </w:tcPr>
          <w:p w14:paraId="26CDC6FD">
            <w:pPr>
              <w:rPr>
                <w:color w:val="auto"/>
              </w:rPr>
            </w:pPr>
          </w:p>
        </w:tc>
        <w:tc>
          <w:tcPr>
            <w:tcW w:w="1725" w:type="dxa"/>
            <w:vAlign w:val="center"/>
          </w:tcPr>
          <w:p w14:paraId="02C427A5">
            <w:pPr>
              <w:jc w:val="center"/>
              <w:rPr>
                <w:rFonts w:ascii="楷体_GB2312" w:hAnsi="仿宋" w:eastAsia="楷体_GB2312" w:cs="仿宋"/>
                <w:b/>
                <w:color w:val="auto"/>
                <w:kern w:val="0"/>
                <w:sz w:val="32"/>
                <w:szCs w:val="32"/>
                <w:lang w:val="zh-CN" w:bidi="zh-CN"/>
              </w:rPr>
            </w:pPr>
            <w:r>
              <w:rPr>
                <w:rFonts w:ascii="楷体_GB2312" w:hAnsi="仿宋" w:eastAsia="楷体_GB2312" w:cs="仿宋"/>
                <w:b/>
                <w:color w:val="auto"/>
                <w:kern w:val="0"/>
                <w:sz w:val="32"/>
                <w:szCs w:val="32"/>
                <w:lang w:val="zh-CN" w:bidi="zh-CN"/>
              </w:rPr>
              <w:t>实施单位</w:t>
            </w:r>
            <w:r>
              <w:rPr>
                <w:rFonts w:hint="eastAsia" w:ascii="楷体_GB2312" w:hAnsi="仿宋" w:eastAsia="楷体_GB2312" w:cs="仿宋"/>
                <w:b/>
                <w:color w:val="auto"/>
                <w:kern w:val="0"/>
                <w:sz w:val="32"/>
                <w:szCs w:val="32"/>
                <w:lang w:val="zh-CN" w:bidi="zh-CN"/>
              </w:rPr>
              <w:t>：</w:t>
            </w:r>
          </w:p>
        </w:tc>
        <w:tc>
          <w:tcPr>
            <w:tcW w:w="4469" w:type="dxa"/>
            <w:vAlign w:val="center"/>
          </w:tcPr>
          <w:p w14:paraId="35D96204">
            <w:pPr>
              <w:jc w:val="both"/>
              <w:rPr>
                <w:rFonts w:hint="default" w:ascii="楷体_GB2312" w:hAnsi="仿宋" w:eastAsia="楷体_GB2312" w:cs="仿宋"/>
                <w:b/>
                <w:color w:val="auto"/>
                <w:kern w:val="0"/>
                <w:sz w:val="32"/>
                <w:szCs w:val="32"/>
                <w:lang w:val="en-US" w:bidi="zh-CN"/>
              </w:rPr>
            </w:pPr>
            <w:r>
              <w:rPr>
                <w:rFonts w:hint="eastAsia" w:ascii="楷体_GB2312" w:hAnsi="仿宋" w:eastAsia="楷体_GB2312" w:cs="仿宋"/>
                <w:b/>
                <w:color w:val="auto"/>
                <w:kern w:val="0"/>
                <w:sz w:val="32"/>
                <w:szCs w:val="32"/>
                <w:lang w:val="en-US" w:bidi="zh-CN"/>
              </w:rPr>
              <w:t>石狮市农业农村局</w:t>
            </w:r>
          </w:p>
        </w:tc>
        <w:tc>
          <w:tcPr>
            <w:tcW w:w="1132" w:type="dxa"/>
          </w:tcPr>
          <w:p w14:paraId="164CC999">
            <w:pPr>
              <w:rPr>
                <w:color w:val="auto"/>
              </w:rPr>
            </w:pPr>
          </w:p>
        </w:tc>
      </w:tr>
      <w:tr w14:paraId="058425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1196" w:type="dxa"/>
          </w:tcPr>
          <w:p w14:paraId="08AF968A">
            <w:pPr>
              <w:rPr>
                <w:color w:val="auto"/>
              </w:rPr>
            </w:pPr>
          </w:p>
        </w:tc>
        <w:tc>
          <w:tcPr>
            <w:tcW w:w="1725" w:type="dxa"/>
            <w:vAlign w:val="center"/>
          </w:tcPr>
          <w:p w14:paraId="67F15370">
            <w:pPr>
              <w:jc w:val="center"/>
              <w:rPr>
                <w:rFonts w:ascii="楷体_GB2312" w:hAnsi="仿宋" w:eastAsia="楷体_GB2312" w:cs="仿宋"/>
                <w:b/>
                <w:color w:val="auto"/>
                <w:kern w:val="0"/>
                <w:sz w:val="32"/>
                <w:szCs w:val="32"/>
                <w:lang w:val="zh-CN" w:bidi="zh-CN"/>
              </w:rPr>
            </w:pPr>
            <w:r>
              <w:rPr>
                <w:rFonts w:ascii="楷体_GB2312" w:hAnsi="仿宋" w:eastAsia="楷体_GB2312" w:cs="仿宋"/>
                <w:b/>
                <w:color w:val="auto"/>
                <w:kern w:val="0"/>
                <w:sz w:val="32"/>
                <w:szCs w:val="32"/>
                <w:lang w:val="zh-CN" w:bidi="zh-CN"/>
              </w:rPr>
              <w:t>编制单位</w:t>
            </w:r>
            <w:r>
              <w:rPr>
                <w:rFonts w:hint="eastAsia" w:ascii="楷体_GB2312" w:hAnsi="仿宋" w:eastAsia="楷体_GB2312" w:cs="仿宋"/>
                <w:b/>
                <w:color w:val="auto"/>
                <w:kern w:val="0"/>
                <w:sz w:val="32"/>
                <w:szCs w:val="32"/>
                <w:lang w:val="zh-CN" w:bidi="zh-CN"/>
              </w:rPr>
              <w:t>：</w:t>
            </w:r>
          </w:p>
        </w:tc>
        <w:tc>
          <w:tcPr>
            <w:tcW w:w="4469" w:type="dxa"/>
            <w:vAlign w:val="center"/>
          </w:tcPr>
          <w:p w14:paraId="5D74C5E7">
            <w:pPr>
              <w:jc w:val="both"/>
              <w:rPr>
                <w:rFonts w:hint="default" w:ascii="楷体_GB2312" w:hAnsi="仿宋" w:eastAsia="楷体_GB2312" w:cs="仿宋"/>
                <w:b/>
                <w:color w:val="auto"/>
                <w:kern w:val="0"/>
                <w:sz w:val="32"/>
                <w:szCs w:val="32"/>
                <w:lang w:val="en-US" w:bidi="zh-CN"/>
              </w:rPr>
            </w:pPr>
            <w:r>
              <w:rPr>
                <w:rFonts w:hint="eastAsia" w:ascii="楷体_GB2312" w:hAnsi="仿宋" w:eastAsia="楷体_GB2312" w:cs="仿宋"/>
                <w:b/>
                <w:color w:val="auto"/>
                <w:kern w:val="0"/>
                <w:sz w:val="32"/>
                <w:szCs w:val="32"/>
                <w:lang w:val="zh-CN" w:bidi="zh-CN"/>
              </w:rPr>
              <w:t>泉州市招标咨询中心有限公司</w:t>
            </w:r>
          </w:p>
        </w:tc>
        <w:tc>
          <w:tcPr>
            <w:tcW w:w="1132" w:type="dxa"/>
          </w:tcPr>
          <w:p w14:paraId="6F51A7CA">
            <w:pPr>
              <w:rPr>
                <w:color w:val="auto"/>
              </w:rPr>
            </w:pPr>
          </w:p>
        </w:tc>
      </w:tr>
    </w:tbl>
    <w:p w14:paraId="29D3BFC2">
      <w:pPr>
        <w:rPr>
          <w:color w:val="auto"/>
        </w:rPr>
      </w:pPr>
    </w:p>
    <w:p w14:paraId="1A551F48">
      <w:pPr>
        <w:rPr>
          <w:color w:val="auto"/>
        </w:rPr>
      </w:pPr>
    </w:p>
    <w:tbl>
      <w:tblPr>
        <w:tblStyle w:val="16"/>
        <w:tblW w:w="0" w:type="auto"/>
        <w:jc w:val="center"/>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522"/>
      </w:tblGrid>
      <w:tr w14:paraId="5AFE4618">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16" w:hRule="atLeast"/>
          <w:jc w:val="center"/>
        </w:trPr>
        <w:tc>
          <w:tcPr>
            <w:tcW w:w="8522" w:type="dxa"/>
            <w:vAlign w:val="center"/>
          </w:tcPr>
          <w:p w14:paraId="5FE78685">
            <w:pPr>
              <w:jc w:val="center"/>
              <w:rPr>
                <w:color w:val="auto"/>
              </w:rPr>
            </w:pPr>
            <w:r>
              <w:rPr>
                <w:rFonts w:hint="eastAsia" w:ascii="楷体_GB2312" w:hAnsi="仿宋" w:eastAsia="楷体_GB2312" w:cs="仿宋"/>
                <w:b/>
                <w:color w:val="auto"/>
                <w:kern w:val="0"/>
                <w:sz w:val="32"/>
                <w:szCs w:val="32"/>
                <w:lang w:val="zh-CN" w:bidi="zh-CN"/>
              </w:rPr>
              <w:t>202</w:t>
            </w:r>
            <w:r>
              <w:rPr>
                <w:rFonts w:hint="eastAsia" w:ascii="楷体_GB2312" w:hAnsi="仿宋" w:eastAsia="楷体_GB2312" w:cs="仿宋"/>
                <w:b/>
                <w:color w:val="auto"/>
                <w:kern w:val="0"/>
                <w:sz w:val="32"/>
                <w:szCs w:val="32"/>
                <w:lang w:val="en-US" w:bidi="zh-CN"/>
              </w:rPr>
              <w:t>5</w:t>
            </w:r>
            <w:r>
              <w:rPr>
                <w:rFonts w:hint="eastAsia" w:ascii="楷体_GB2312" w:hAnsi="仿宋" w:eastAsia="楷体_GB2312" w:cs="仿宋"/>
                <w:b/>
                <w:color w:val="auto"/>
                <w:kern w:val="0"/>
                <w:sz w:val="32"/>
                <w:szCs w:val="32"/>
                <w:lang w:val="zh-CN" w:bidi="zh-CN"/>
              </w:rPr>
              <w:t>年</w:t>
            </w:r>
            <w:r>
              <w:rPr>
                <w:rFonts w:hint="eastAsia" w:ascii="楷体_GB2312" w:hAnsi="仿宋" w:eastAsia="楷体_GB2312" w:cs="仿宋"/>
                <w:b/>
                <w:color w:val="auto"/>
                <w:kern w:val="0"/>
                <w:sz w:val="32"/>
                <w:szCs w:val="32"/>
                <w:lang w:val="en-US" w:bidi="zh-CN"/>
              </w:rPr>
              <w:t>8</w:t>
            </w:r>
            <w:r>
              <w:rPr>
                <w:rFonts w:hint="eastAsia" w:ascii="楷体_GB2312" w:hAnsi="仿宋" w:eastAsia="楷体_GB2312" w:cs="仿宋"/>
                <w:b/>
                <w:color w:val="auto"/>
                <w:kern w:val="0"/>
                <w:sz w:val="32"/>
                <w:szCs w:val="32"/>
                <w:lang w:val="zh-CN" w:bidi="zh-CN"/>
              </w:rPr>
              <w:t>月</w:t>
            </w:r>
          </w:p>
        </w:tc>
      </w:tr>
    </w:tbl>
    <w:p w14:paraId="56FA1A6B"/>
    <w:p w14:paraId="4826A46E">
      <w:pPr>
        <w:pStyle w:val="14"/>
        <w:keepNext w:val="0"/>
        <w:keepLines w:val="0"/>
        <w:pageBreakBefore w:val="0"/>
        <w:widowControl w:val="0"/>
        <w:kinsoku/>
        <w:wordWrap/>
        <w:overflowPunct/>
        <w:topLinePunct w:val="0"/>
        <w:autoSpaceDE/>
        <w:autoSpaceDN/>
        <w:bidi w:val="0"/>
        <w:adjustRightInd/>
        <w:snapToGrid/>
        <w:spacing w:after="0" w:line="240" w:lineRule="auto"/>
        <w:ind w:left="0" w:leftChars="0" w:right="0" w:firstLine="0" w:firstLineChars="0"/>
        <w:jc w:val="center"/>
        <w:textAlignment w:val="auto"/>
        <w:rPr>
          <w:rFonts w:hint="eastAsia" w:ascii="仿宋" w:hAnsi="仿宋" w:eastAsia="仿宋" w:cs="仿宋"/>
          <w:b/>
          <w:color w:val="auto"/>
          <w:kern w:val="2"/>
          <w:sz w:val="44"/>
          <w:szCs w:val="44"/>
          <w:highlight w:val="none"/>
          <w:lang w:val="en-US" w:eastAsia="zh-CN" w:bidi="ar-SA"/>
        </w:rPr>
        <w:sectPr>
          <w:headerReference r:id="rId3" w:type="default"/>
          <w:footerReference r:id="rId4" w:type="default"/>
          <w:pgSz w:w="11906" w:h="16838"/>
          <w:pgMar w:top="1417" w:right="1304" w:bottom="1417" w:left="130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53057877">
      <w:pPr>
        <w:rPr>
          <w:rFonts w:hint="eastAsia"/>
          <w:lang w:val="en-US" w:eastAsia="zh-CN"/>
        </w:rPr>
        <w:sectPr>
          <w:pgSz w:w="11906" w:h="16838"/>
          <w:pgMar w:top="1417" w:right="1304" w:bottom="1417" w:left="130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255F0D48">
      <w:pPr>
        <w:rPr>
          <w:rFonts w:hint="eastAsia"/>
          <w:lang w:val="en-US" w:eastAsia="zh-CN"/>
        </w:rPr>
      </w:pPr>
    </w:p>
    <w:tbl>
      <w:tblPr>
        <w:tblStyle w:val="16"/>
        <w:tblpPr w:leftFromText="180" w:rightFromText="180" w:vertAnchor="text" w:horzAnchor="page" w:tblpXSpec="center" w:tblpY="622"/>
        <w:tblOverlap w:val="never"/>
        <w:tblW w:w="0" w:type="auto"/>
        <w:jc w:val="center"/>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522"/>
      </w:tblGrid>
      <w:tr w14:paraId="369C8FE4">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930" w:hRule="atLeast"/>
          <w:jc w:val="center"/>
        </w:trPr>
        <w:tc>
          <w:tcPr>
            <w:tcW w:w="8522" w:type="dxa"/>
            <w:vAlign w:val="center"/>
          </w:tcPr>
          <w:p w14:paraId="1FDD9660">
            <w:pPr>
              <w:widowControl w:val="0"/>
              <w:spacing w:line="360" w:lineRule="auto"/>
              <w:jc w:val="center"/>
              <w:rPr>
                <w:rFonts w:ascii="方正小标宋简体" w:hAnsi="仿宋" w:eastAsia="方正小标宋简体"/>
                <w:b/>
                <w:color w:val="auto"/>
                <w:w w:val="33"/>
                <w:sz w:val="52"/>
                <w:szCs w:val="52"/>
              </w:rPr>
            </w:pPr>
            <w:r>
              <w:rPr>
                <w:rFonts w:hint="eastAsia" w:ascii="方正小标宋简体" w:hAnsi="仿宋" w:eastAsia="方正小标宋简体"/>
                <w:b/>
                <w:color w:val="auto"/>
                <w:sz w:val="52"/>
                <w:szCs w:val="52"/>
              </w:rPr>
              <w:t>石狮市高标准农田建设（一期）“五化”示范项目</w:t>
            </w:r>
          </w:p>
        </w:tc>
      </w:tr>
    </w:tbl>
    <w:p w14:paraId="3BDBCE1F">
      <w:pPr>
        <w:pStyle w:val="14"/>
        <w:keepNext w:val="0"/>
        <w:keepLines w:val="0"/>
        <w:pageBreakBefore w:val="0"/>
        <w:widowControl w:val="0"/>
        <w:kinsoku/>
        <w:wordWrap/>
        <w:overflowPunct/>
        <w:topLinePunct w:val="0"/>
        <w:autoSpaceDE/>
        <w:autoSpaceDN/>
        <w:bidi w:val="0"/>
        <w:adjustRightInd/>
        <w:snapToGrid/>
        <w:spacing w:after="0" w:line="240" w:lineRule="auto"/>
        <w:ind w:left="0" w:leftChars="0" w:right="0" w:firstLine="0" w:firstLineChars="0"/>
        <w:jc w:val="center"/>
        <w:textAlignment w:val="auto"/>
        <w:rPr>
          <w:rFonts w:hint="eastAsia" w:ascii="仿宋" w:hAnsi="仿宋" w:eastAsia="仿宋" w:cs="仿宋"/>
          <w:b/>
          <w:color w:val="auto"/>
          <w:kern w:val="2"/>
          <w:sz w:val="44"/>
          <w:szCs w:val="44"/>
          <w:highlight w:val="none"/>
          <w:lang w:val="en-US" w:eastAsia="zh-CN" w:bidi="ar-SA"/>
        </w:rPr>
      </w:pPr>
    </w:p>
    <w:p w14:paraId="62EF1D82">
      <w:pPr>
        <w:rPr>
          <w:color w:val="auto"/>
        </w:rPr>
      </w:pPr>
    </w:p>
    <w:p w14:paraId="08E54888">
      <w:pPr>
        <w:rPr>
          <w:color w:val="auto"/>
        </w:rPr>
      </w:pPr>
    </w:p>
    <w:tbl>
      <w:tblPr>
        <w:tblStyle w:val="16"/>
        <w:tblW w:w="0" w:type="auto"/>
        <w:jc w:val="center"/>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522"/>
      </w:tblGrid>
      <w:tr w14:paraId="55C21471">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8522" w:type="dxa"/>
            <w:vAlign w:val="center"/>
          </w:tcPr>
          <w:p w14:paraId="41414D0F">
            <w:pPr>
              <w:widowControl w:val="0"/>
              <w:jc w:val="center"/>
              <w:rPr>
                <w:rFonts w:ascii="方正粗黑宋简体" w:hAnsi="方正粗黑宋简体" w:eastAsia="方正粗黑宋简体"/>
                <w:color w:val="auto"/>
                <w:sz w:val="72"/>
                <w:szCs w:val="72"/>
              </w:rPr>
            </w:pPr>
            <w:r>
              <w:rPr>
                <w:rFonts w:hint="eastAsia" w:ascii="方正粗黑宋简体" w:hAnsi="方正粗黑宋简体" w:eastAsia="方正粗黑宋简体"/>
                <w:color w:val="auto"/>
                <w:sz w:val="72"/>
                <w:szCs w:val="72"/>
                <w:lang w:val="en-US" w:eastAsia="zh-CN"/>
              </w:rPr>
              <w:t>事中</w:t>
            </w:r>
            <w:r>
              <w:rPr>
                <w:rFonts w:hint="eastAsia" w:ascii="方正粗黑宋简体" w:hAnsi="方正粗黑宋简体" w:eastAsia="方正粗黑宋简体"/>
                <w:color w:val="auto"/>
                <w:sz w:val="72"/>
                <w:szCs w:val="72"/>
              </w:rPr>
              <w:t>绩效</w:t>
            </w:r>
            <w:r>
              <w:rPr>
                <w:rFonts w:hint="eastAsia" w:ascii="方正粗黑宋简体" w:hAnsi="方正粗黑宋简体" w:eastAsia="方正粗黑宋简体"/>
                <w:color w:val="auto"/>
                <w:sz w:val="72"/>
                <w:szCs w:val="72"/>
                <w:lang w:val="en-US" w:eastAsia="zh-CN"/>
              </w:rPr>
              <w:t>评价</w:t>
            </w:r>
            <w:r>
              <w:rPr>
                <w:rFonts w:hint="eastAsia" w:ascii="方正粗黑宋简体" w:hAnsi="方正粗黑宋简体" w:eastAsia="方正粗黑宋简体"/>
                <w:color w:val="auto"/>
                <w:sz w:val="72"/>
                <w:szCs w:val="72"/>
              </w:rPr>
              <w:t>报告</w:t>
            </w:r>
          </w:p>
        </w:tc>
      </w:tr>
    </w:tbl>
    <w:p w14:paraId="09A1C344"/>
    <w:p w14:paraId="2BB379D8"/>
    <w:tbl>
      <w:tblPr>
        <w:tblStyle w:val="16"/>
        <w:tblpPr w:leftFromText="180" w:rightFromText="180" w:vertAnchor="text" w:horzAnchor="page" w:tblpXSpec="center" w:tblpY="413"/>
        <w:tblOverlap w:val="never"/>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915"/>
        <w:gridCol w:w="4325"/>
      </w:tblGrid>
      <w:tr w14:paraId="164EBE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tcPr>
          <w:p w14:paraId="0841C4EF">
            <w:pPr>
              <w:widowControl w:val="0"/>
              <w:spacing w:after="10" w:line="700" w:lineRule="exact"/>
              <w:ind w:right="-53" w:rightChars="-25"/>
              <w:jc w:val="distribute"/>
              <w:rPr>
                <w:rFonts w:ascii="仿宋_GB2312" w:hAnsi="华文中宋" w:eastAsia="仿宋_GB2312" w:cs="华文中宋"/>
                <w:b/>
                <w:w w:val="125"/>
                <w:sz w:val="32"/>
                <w:szCs w:val="32"/>
              </w:rPr>
            </w:pPr>
            <w:r>
              <w:rPr>
                <w:rFonts w:hint="eastAsia" w:ascii="仿宋_GB2312" w:hAnsi="华文中宋" w:eastAsia="仿宋_GB2312" w:cs="华文中宋"/>
                <w:b/>
                <w:w w:val="125"/>
                <w:sz w:val="32"/>
                <w:szCs w:val="32"/>
              </w:rPr>
              <w:t>编制单位</w:t>
            </w:r>
            <w:r>
              <w:rPr>
                <w:rFonts w:hint="eastAsia" w:ascii="仿宋_GB2312" w:hAnsi="华文中宋" w:eastAsia="仿宋_GB2312" w:cs="华文中宋"/>
                <w:b/>
                <w:sz w:val="32"/>
                <w:szCs w:val="32"/>
              </w:rPr>
              <w:t>：</w:t>
            </w:r>
          </w:p>
        </w:tc>
        <w:tc>
          <w:tcPr>
            <w:tcW w:w="4325" w:type="dxa"/>
            <w:vAlign w:val="center"/>
          </w:tcPr>
          <w:p w14:paraId="5B9B7FE1">
            <w:pPr>
              <w:widowControl w:val="0"/>
              <w:spacing w:after="10" w:line="700" w:lineRule="exact"/>
              <w:ind w:right="-53" w:rightChars="-25"/>
              <w:jc w:val="both"/>
              <w:rPr>
                <w:rFonts w:ascii="仿宋_GB2312" w:hAnsi="华文中宋" w:eastAsia="仿宋_GB2312" w:cs="华文中宋"/>
                <w:sz w:val="32"/>
                <w:szCs w:val="32"/>
              </w:rPr>
            </w:pPr>
            <w:r>
              <w:rPr>
                <w:rFonts w:hint="eastAsia" w:ascii="仿宋_GB2312" w:hAnsi="华文中宋" w:eastAsia="仿宋_GB2312" w:cs="华文中宋"/>
                <w:sz w:val="32"/>
                <w:szCs w:val="32"/>
                <w:lang w:eastAsia="zh-CN"/>
              </w:rPr>
              <w:t>泉州市招标咨询中心有限公司</w:t>
            </w:r>
          </w:p>
        </w:tc>
      </w:tr>
      <w:tr w14:paraId="37D26A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tcPr>
          <w:p w14:paraId="0342D456">
            <w:pPr>
              <w:widowControl w:val="0"/>
              <w:spacing w:after="10" w:line="700" w:lineRule="exact"/>
              <w:ind w:right="-53" w:rightChars="-25"/>
              <w:jc w:val="distribute"/>
              <w:rPr>
                <w:rFonts w:ascii="仿宋_GB2312" w:hAnsi="华文中宋" w:eastAsia="仿宋_GB2312" w:cs="华文中宋"/>
                <w:b/>
                <w:w w:val="125"/>
                <w:sz w:val="32"/>
                <w:szCs w:val="32"/>
              </w:rPr>
            </w:pPr>
            <w:r>
              <w:rPr>
                <w:rFonts w:hint="eastAsia" w:ascii="仿宋_GB2312" w:hAnsi="华文中宋" w:eastAsia="仿宋_GB2312" w:cs="华文中宋"/>
                <w:b/>
                <w:w w:val="125"/>
                <w:sz w:val="32"/>
                <w:szCs w:val="32"/>
              </w:rPr>
              <w:t>主</w:t>
            </w:r>
            <w:r>
              <w:rPr>
                <w:rFonts w:hint="eastAsia" w:ascii="仿宋_GB2312" w:hAnsi="华文中宋" w:eastAsia="仿宋_GB2312" w:cs="华文中宋"/>
                <w:b/>
                <w:w w:val="125"/>
                <w:sz w:val="32"/>
                <w:szCs w:val="32"/>
                <w:lang w:val="en-US" w:eastAsia="zh-CN"/>
              </w:rPr>
              <w:t>评</w:t>
            </w:r>
            <w:r>
              <w:rPr>
                <w:rFonts w:hint="eastAsia" w:ascii="仿宋_GB2312" w:hAnsi="华文中宋" w:eastAsia="仿宋_GB2312" w:cs="华文中宋"/>
                <w:b/>
                <w:w w:val="125"/>
                <w:sz w:val="32"/>
                <w:szCs w:val="32"/>
              </w:rPr>
              <w:t>人：</w:t>
            </w:r>
          </w:p>
        </w:tc>
        <w:tc>
          <w:tcPr>
            <w:tcW w:w="4325" w:type="dxa"/>
            <w:vAlign w:val="center"/>
          </w:tcPr>
          <w:p w14:paraId="714E4017">
            <w:pPr>
              <w:widowControl w:val="0"/>
              <w:spacing w:after="10" w:line="700" w:lineRule="exact"/>
              <w:ind w:right="-53" w:rightChars="-25"/>
              <w:jc w:val="both"/>
              <w:rPr>
                <w:rFonts w:ascii="仿宋_GB2312" w:hAnsi="华文中宋" w:eastAsia="仿宋_GB2312" w:cs="华文中宋"/>
                <w:color w:val="auto"/>
                <w:sz w:val="32"/>
                <w:szCs w:val="32"/>
              </w:rPr>
            </w:pPr>
            <w:r>
              <w:rPr>
                <w:rFonts w:hint="eastAsia" w:ascii="仿宋_GB2312" w:hAnsi="华文中宋" w:eastAsia="仿宋_GB2312" w:cs="华文中宋"/>
                <w:color w:val="auto"/>
                <w:sz w:val="32"/>
                <w:szCs w:val="32"/>
              </w:rPr>
              <w:t>王梅玲（中级会计师）</w:t>
            </w:r>
          </w:p>
        </w:tc>
      </w:tr>
      <w:tr w14:paraId="3B3A4B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vMerge w:val="restart"/>
          </w:tcPr>
          <w:p w14:paraId="502F7B61">
            <w:pPr>
              <w:widowControl w:val="0"/>
              <w:spacing w:after="10" w:line="700" w:lineRule="exact"/>
              <w:ind w:right="-53" w:rightChars="-25"/>
              <w:jc w:val="distribute"/>
              <w:rPr>
                <w:rFonts w:ascii="仿宋_GB2312" w:hAnsi="华文中宋" w:eastAsia="仿宋_GB2312" w:cs="华文中宋"/>
                <w:b/>
                <w:w w:val="125"/>
                <w:sz w:val="32"/>
                <w:szCs w:val="32"/>
              </w:rPr>
            </w:pPr>
            <w:r>
              <w:rPr>
                <w:rFonts w:hint="eastAsia" w:ascii="仿宋_GB2312" w:hAnsi="华文中宋" w:eastAsia="仿宋_GB2312" w:cs="华文中宋"/>
                <w:b/>
                <w:w w:val="125"/>
                <w:sz w:val="32"/>
                <w:szCs w:val="32"/>
              </w:rPr>
              <w:t>编制人员：</w:t>
            </w:r>
          </w:p>
        </w:tc>
        <w:tc>
          <w:tcPr>
            <w:tcW w:w="4325" w:type="dxa"/>
            <w:vAlign w:val="center"/>
          </w:tcPr>
          <w:p w14:paraId="4EAA4EB6">
            <w:pPr>
              <w:widowControl w:val="0"/>
              <w:spacing w:after="10" w:line="700" w:lineRule="exact"/>
              <w:ind w:right="-53" w:rightChars="-25"/>
              <w:jc w:val="both"/>
              <w:rPr>
                <w:rFonts w:ascii="仿宋_GB2312" w:hAnsi="华文中宋" w:eastAsia="仿宋_GB2312" w:cs="华文中宋"/>
                <w:color w:val="auto"/>
                <w:sz w:val="32"/>
                <w:szCs w:val="32"/>
              </w:rPr>
            </w:pPr>
            <w:r>
              <w:rPr>
                <w:rFonts w:hint="eastAsia" w:ascii="仿宋_GB2312" w:hAnsi="华文中宋" w:eastAsia="仿宋_GB2312" w:cs="华文中宋"/>
                <w:color w:val="auto"/>
                <w:sz w:val="32"/>
                <w:szCs w:val="32"/>
              </w:rPr>
              <w:t>范富琳（项目经理）</w:t>
            </w:r>
          </w:p>
        </w:tc>
      </w:tr>
      <w:tr w14:paraId="23B1BA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vMerge w:val="continue"/>
          </w:tcPr>
          <w:p w14:paraId="70085435">
            <w:pPr>
              <w:widowControl w:val="0"/>
              <w:spacing w:after="10" w:line="700" w:lineRule="exact"/>
              <w:ind w:right="-53" w:rightChars="-25"/>
              <w:jc w:val="distribute"/>
              <w:rPr>
                <w:rFonts w:ascii="仿宋_GB2312" w:hAnsi="华文中宋" w:eastAsia="仿宋_GB2312" w:cs="华文中宋"/>
                <w:b/>
                <w:w w:val="125"/>
                <w:sz w:val="32"/>
                <w:szCs w:val="32"/>
              </w:rPr>
            </w:pPr>
          </w:p>
        </w:tc>
        <w:tc>
          <w:tcPr>
            <w:tcW w:w="4325" w:type="dxa"/>
            <w:vAlign w:val="center"/>
          </w:tcPr>
          <w:p w14:paraId="4414BC5B">
            <w:pPr>
              <w:widowControl w:val="0"/>
              <w:spacing w:after="10" w:line="700" w:lineRule="exact"/>
              <w:ind w:right="-53" w:rightChars="-25"/>
              <w:jc w:val="both"/>
              <w:rPr>
                <w:rFonts w:ascii="仿宋_GB2312" w:hAnsi="华文中宋" w:eastAsia="仿宋_GB2312" w:cs="华文中宋"/>
                <w:color w:val="auto"/>
                <w:sz w:val="32"/>
                <w:szCs w:val="32"/>
              </w:rPr>
            </w:pPr>
            <w:r>
              <w:rPr>
                <w:rFonts w:hint="eastAsia" w:ascii="仿宋_GB2312" w:hAnsi="华文中宋" w:eastAsia="仿宋_GB2312" w:cs="华文中宋"/>
                <w:color w:val="auto"/>
                <w:sz w:val="32"/>
                <w:szCs w:val="32"/>
              </w:rPr>
              <w:t>吴文静（项目组成员）</w:t>
            </w:r>
          </w:p>
        </w:tc>
      </w:tr>
      <w:tr w14:paraId="33F632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tcPr>
          <w:p w14:paraId="0FA557D5">
            <w:pPr>
              <w:widowControl w:val="0"/>
              <w:spacing w:after="10" w:line="700" w:lineRule="exact"/>
              <w:ind w:right="-53" w:rightChars="-25"/>
              <w:jc w:val="distribute"/>
              <w:rPr>
                <w:rFonts w:hint="eastAsia" w:ascii="仿宋_GB2312" w:hAnsi="华文中宋" w:eastAsia="仿宋_GB2312" w:cs="华文中宋"/>
                <w:b/>
                <w:w w:val="125"/>
                <w:sz w:val="32"/>
                <w:szCs w:val="32"/>
              </w:rPr>
            </w:pPr>
            <w:r>
              <w:rPr>
                <w:rFonts w:hint="eastAsia" w:ascii="仿宋_GB2312" w:hAnsi="华文中宋" w:eastAsia="仿宋_GB2312" w:cs="华文中宋"/>
                <w:b/>
                <w:w w:val="125"/>
                <w:sz w:val="32"/>
                <w:szCs w:val="32"/>
              </w:rPr>
              <w:t>校对人：</w:t>
            </w:r>
          </w:p>
        </w:tc>
        <w:tc>
          <w:tcPr>
            <w:tcW w:w="4325" w:type="dxa"/>
            <w:vAlign w:val="center"/>
          </w:tcPr>
          <w:p w14:paraId="2FC5F6C5">
            <w:pPr>
              <w:widowControl w:val="0"/>
              <w:spacing w:after="10" w:line="700" w:lineRule="exact"/>
              <w:ind w:right="-53" w:rightChars="-25"/>
              <w:jc w:val="both"/>
              <w:rPr>
                <w:rFonts w:ascii="仿宋_GB2312" w:hAnsi="华文中宋" w:eastAsia="仿宋_GB2312" w:cs="华文中宋"/>
                <w:color w:val="auto"/>
                <w:sz w:val="32"/>
                <w:szCs w:val="32"/>
              </w:rPr>
            </w:pPr>
            <w:r>
              <w:rPr>
                <w:rFonts w:hint="eastAsia" w:ascii="仿宋_GB2312" w:hAnsi="华文中宋" w:eastAsia="仿宋_GB2312" w:cs="华文中宋"/>
                <w:color w:val="auto"/>
                <w:sz w:val="32"/>
                <w:szCs w:val="32"/>
              </w:rPr>
              <w:t>翁燕瑜（中级经济师）</w:t>
            </w:r>
          </w:p>
        </w:tc>
      </w:tr>
      <w:tr w14:paraId="796581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tcPr>
          <w:p w14:paraId="19D812DD">
            <w:pPr>
              <w:widowControl w:val="0"/>
              <w:spacing w:after="10" w:line="700" w:lineRule="exact"/>
              <w:ind w:right="-53" w:rightChars="-25"/>
              <w:jc w:val="distribute"/>
              <w:rPr>
                <w:rFonts w:hint="eastAsia" w:ascii="仿宋_GB2312" w:hAnsi="华文中宋" w:eastAsia="仿宋_GB2312" w:cs="华文中宋"/>
                <w:b/>
                <w:w w:val="125"/>
                <w:sz w:val="32"/>
                <w:szCs w:val="32"/>
                <w:lang w:val="en-US" w:eastAsia="zh-CN"/>
              </w:rPr>
            </w:pPr>
            <w:r>
              <w:rPr>
                <w:rFonts w:hint="eastAsia" w:ascii="仿宋_GB2312" w:hAnsi="华文中宋" w:eastAsia="仿宋_GB2312" w:cs="华文中宋"/>
                <w:b/>
                <w:w w:val="125"/>
                <w:sz w:val="32"/>
                <w:szCs w:val="32"/>
                <w:lang w:val="en-US" w:eastAsia="zh-CN"/>
              </w:rPr>
              <w:t>复核人：</w:t>
            </w:r>
          </w:p>
        </w:tc>
        <w:tc>
          <w:tcPr>
            <w:tcW w:w="4325" w:type="dxa"/>
            <w:vAlign w:val="center"/>
          </w:tcPr>
          <w:p w14:paraId="5363A822">
            <w:pPr>
              <w:widowControl w:val="0"/>
              <w:spacing w:after="10" w:line="700" w:lineRule="exact"/>
              <w:ind w:right="-53" w:rightChars="-25"/>
              <w:jc w:val="both"/>
              <w:rPr>
                <w:rFonts w:hint="default" w:ascii="仿宋_GB2312" w:hAnsi="华文中宋" w:eastAsia="仿宋_GB2312" w:cs="华文中宋"/>
                <w:color w:val="auto"/>
                <w:sz w:val="32"/>
                <w:szCs w:val="32"/>
                <w:lang w:val="en-US" w:eastAsia="zh-CN"/>
              </w:rPr>
            </w:pPr>
            <w:r>
              <w:rPr>
                <w:rFonts w:hint="eastAsia" w:ascii="仿宋_GB2312" w:hAnsi="华文中宋" w:eastAsia="仿宋_GB2312" w:cs="华文中宋"/>
                <w:color w:val="auto"/>
                <w:sz w:val="32"/>
                <w:szCs w:val="32"/>
                <w:lang w:val="en-US" w:eastAsia="zh-CN"/>
              </w:rPr>
              <w:t>曾桂梅（中级工程师）</w:t>
            </w:r>
          </w:p>
        </w:tc>
      </w:tr>
    </w:tbl>
    <w:p w14:paraId="61D9F801">
      <w:pPr>
        <w:pStyle w:val="11"/>
        <w:keepNext w:val="0"/>
        <w:keepLines w:val="0"/>
        <w:pageBreakBefore w:val="0"/>
        <w:tabs>
          <w:tab w:val="right" w:leader="dot" w:pos="9298"/>
        </w:tabs>
        <w:kinsoku/>
        <w:wordWrap/>
        <w:topLinePunct w:val="0"/>
        <w:bidi w:val="0"/>
        <w:snapToGrid/>
        <w:spacing w:line="240" w:lineRule="auto"/>
        <w:rPr>
          <w:rFonts w:hint="eastAsia" w:ascii="仿宋" w:hAnsi="仿宋" w:eastAsia="仿宋" w:cs="仿宋"/>
          <w:color w:val="auto"/>
          <w:szCs w:val="28"/>
          <w:highlight w:val="none"/>
          <w:lang w:val="en-US" w:eastAsia="zh-CN"/>
        </w:rPr>
        <w:sectPr>
          <w:pgSz w:w="11906" w:h="16838"/>
          <w:pgMar w:top="1417" w:right="1304" w:bottom="1417" w:left="130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2C28B3F3">
      <w:pPr>
        <w:rPr>
          <w:rFonts w:hint="eastAsia"/>
          <w:lang w:val="en-US" w:eastAsia="zh-CN"/>
        </w:rPr>
        <w:sectPr>
          <w:pgSz w:w="11906" w:h="16838"/>
          <w:pgMar w:top="1417" w:right="1304" w:bottom="1417" w:left="1304" w:header="851" w:footer="992" w:gutter="0"/>
          <w:pgBorders>
            <w:top w:val="none" w:sz="0" w:space="0"/>
            <w:left w:val="none" w:sz="0" w:space="0"/>
            <w:bottom w:val="none" w:sz="0" w:space="0"/>
            <w:right w:val="none" w:sz="0" w:space="0"/>
          </w:pgBorders>
          <w:pgNumType w:fmt="decimal"/>
          <w:cols w:space="425" w:num="1"/>
          <w:docGrid w:type="lines" w:linePitch="312" w:charSpace="0"/>
        </w:sectPr>
      </w:pPr>
    </w:p>
    <w:sdt>
      <w:sdtPr>
        <w:rPr>
          <w:rFonts w:ascii="宋体" w:hAnsi="宋体" w:eastAsia="宋体" w:cstheme="minorBidi"/>
          <w:b/>
          <w:bCs/>
          <w:color w:val="auto"/>
          <w:kern w:val="2"/>
          <w:sz w:val="32"/>
          <w:szCs w:val="36"/>
          <w:lang w:val="en-US" w:eastAsia="zh-CN" w:bidi="ar-SA"/>
        </w:rPr>
        <w:id w:val="147466838"/>
        <w15:color w:val="DBDBDB"/>
        <w:docPartObj>
          <w:docPartGallery w:val="Table of Contents"/>
          <w:docPartUnique/>
        </w:docPartObj>
      </w:sdtPr>
      <w:sdtEndPr>
        <w:rPr>
          <w:rFonts w:hint="eastAsia" w:ascii="仿宋" w:hAnsi="仿宋" w:eastAsia="仿宋" w:cs="仿宋"/>
          <w:b w:val="0"/>
          <w:bCs/>
          <w:color w:val="auto"/>
          <w:kern w:val="2"/>
          <w:sz w:val="32"/>
          <w:szCs w:val="28"/>
          <w:lang w:val="en-US" w:eastAsia="zh-CN" w:bidi="ar-SA"/>
        </w:rPr>
      </w:sdtEndPr>
      <w:sdtContent>
        <w:p w14:paraId="6469D458">
          <w:pPr>
            <w:pStyle w:val="31"/>
            <w:pageBreakBefore w:val="0"/>
            <w:widowControl/>
            <w:kinsoku/>
            <w:wordWrap/>
            <w:overflowPunct/>
            <w:topLinePunct w:val="0"/>
            <w:autoSpaceDE/>
            <w:autoSpaceDN/>
            <w:bidi w:val="0"/>
            <w:adjustRightInd/>
            <w:snapToGrid/>
            <w:spacing w:before="0" w:beforeLines="0" w:after="0" w:afterLines="0" w:line="360" w:lineRule="auto"/>
            <w:ind w:left="0" w:leftChars="0" w:right="0" w:rightChars="0" w:firstLine="643" w:firstLineChars="200"/>
            <w:jc w:val="center"/>
            <w:textAlignment w:val="auto"/>
            <w:rPr>
              <w:rFonts w:hint="eastAsia" w:ascii="仿宋" w:hAnsi="仿宋" w:eastAsia="仿宋" w:cs="仿宋"/>
              <w:b w:val="0"/>
              <w:bCs/>
              <w:color w:val="FF0000"/>
              <w:kern w:val="2"/>
              <w:sz w:val="32"/>
              <w:szCs w:val="28"/>
              <w:lang w:val="en-US" w:eastAsia="zh-CN" w:bidi="ar-SA"/>
            </w:rPr>
          </w:pPr>
          <w:bookmarkStart w:id="0" w:name="_Toc11345"/>
          <w:bookmarkStart w:id="1" w:name="_Toc6290"/>
          <w:bookmarkStart w:id="2" w:name="_Toc23972"/>
          <w:bookmarkStart w:id="3" w:name="_Toc13371"/>
          <w:bookmarkStart w:id="4" w:name="_Toc24913"/>
          <w:r>
            <w:rPr>
              <w:rFonts w:hint="eastAsia" w:ascii="方正小标宋简体" w:hAnsi="方正小标宋简体" w:eastAsia="方正小标宋简体" w:cs="方正小标宋简体"/>
              <w:b/>
              <w:bCs/>
              <w:color w:val="auto"/>
              <w:sz w:val="44"/>
              <w:szCs w:val="48"/>
            </w:rPr>
            <w:t>目</w:t>
          </w:r>
          <w:r>
            <w:rPr>
              <w:rFonts w:hint="eastAsia" w:ascii="方正小标宋简体" w:hAnsi="方正小标宋简体" w:eastAsia="方正小标宋简体" w:cs="方正小标宋简体"/>
              <w:b/>
              <w:bCs/>
              <w:color w:val="auto"/>
              <w:sz w:val="44"/>
              <w:szCs w:val="48"/>
              <w:lang w:val="en-US" w:eastAsia="zh-CN"/>
            </w:rPr>
            <w:t xml:space="preserve"> </w:t>
          </w:r>
          <w:r>
            <w:rPr>
              <w:rFonts w:hint="eastAsia" w:ascii="方正小标宋简体" w:hAnsi="方正小标宋简体" w:eastAsia="方正小标宋简体" w:cs="方正小标宋简体"/>
              <w:b/>
              <w:bCs/>
              <w:color w:val="auto"/>
              <w:sz w:val="44"/>
              <w:szCs w:val="48"/>
            </w:rPr>
            <w:t>录</w:t>
          </w:r>
          <w:r>
            <w:rPr>
              <w:rFonts w:hint="eastAsia" w:ascii="仿宋" w:hAnsi="仿宋" w:eastAsia="仿宋" w:cs="仿宋"/>
              <w:b/>
              <w:bCs/>
              <w:color w:val="FF0000"/>
              <w:kern w:val="2"/>
              <w:sz w:val="28"/>
              <w:szCs w:val="28"/>
              <w:lang w:val="en-US" w:eastAsia="zh-CN"/>
            </w:rPr>
            <w:fldChar w:fldCharType="begin"/>
          </w:r>
          <w:r>
            <w:rPr>
              <w:rFonts w:hint="eastAsia" w:ascii="仿宋" w:hAnsi="仿宋" w:eastAsia="仿宋" w:cs="仿宋"/>
              <w:b/>
              <w:bCs/>
              <w:color w:val="FF0000"/>
              <w:kern w:val="2"/>
              <w:sz w:val="28"/>
              <w:szCs w:val="28"/>
              <w:lang w:val="en-US" w:eastAsia="zh-CN"/>
            </w:rPr>
            <w:instrText xml:space="preserve">TOC \o "1-3" \h \u </w:instrText>
          </w:r>
          <w:r>
            <w:rPr>
              <w:rFonts w:hint="eastAsia" w:ascii="仿宋" w:hAnsi="仿宋" w:eastAsia="仿宋" w:cs="仿宋"/>
              <w:b/>
              <w:bCs/>
              <w:color w:val="FF0000"/>
              <w:kern w:val="2"/>
              <w:sz w:val="28"/>
              <w:szCs w:val="28"/>
              <w:lang w:val="en-US" w:eastAsia="zh-CN"/>
            </w:rPr>
            <w:fldChar w:fldCharType="separate"/>
          </w:r>
        </w:p>
        <w:p w14:paraId="382B4DA2">
          <w:pPr>
            <w:pStyle w:val="11"/>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_Toc11864 </w:instrText>
          </w:r>
          <w:r>
            <w:rPr>
              <w:rFonts w:hint="eastAsia" w:ascii="仿宋" w:hAnsi="仿宋" w:eastAsia="仿宋" w:cs="仿宋"/>
              <w:bCs/>
              <w:kern w:val="2"/>
              <w:sz w:val="28"/>
              <w:szCs w:val="28"/>
              <w:lang w:val="en-US" w:eastAsia="zh-CN"/>
            </w:rPr>
            <w:fldChar w:fldCharType="separate"/>
          </w:r>
          <w:r>
            <w:rPr>
              <w:rFonts w:hint="eastAsia" w:ascii="黑体" w:hAnsi="黑体" w:eastAsia="黑体" w:cs="黑体"/>
              <w:bCs/>
              <w:sz w:val="28"/>
              <w:szCs w:val="28"/>
              <w:lang w:val="en-US" w:eastAsia="zh-CN"/>
            </w:rPr>
            <w:t>前 言</w:t>
          </w:r>
          <w:r>
            <w:rPr>
              <w:sz w:val="28"/>
              <w:szCs w:val="28"/>
            </w:rPr>
            <w:tab/>
          </w:r>
          <w:r>
            <w:rPr>
              <w:sz w:val="28"/>
              <w:szCs w:val="28"/>
            </w:rPr>
            <w:fldChar w:fldCharType="begin"/>
          </w:r>
          <w:r>
            <w:rPr>
              <w:sz w:val="28"/>
              <w:szCs w:val="28"/>
            </w:rPr>
            <w:instrText xml:space="preserve"> PAGEREF _Toc11864 \h </w:instrText>
          </w:r>
          <w:r>
            <w:rPr>
              <w:sz w:val="28"/>
              <w:szCs w:val="28"/>
            </w:rPr>
            <w:fldChar w:fldCharType="separate"/>
          </w:r>
          <w:r>
            <w:rPr>
              <w:sz w:val="28"/>
              <w:szCs w:val="28"/>
            </w:rPr>
            <w:t>1</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6F674C1B">
          <w:pPr>
            <w:pStyle w:val="11"/>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_Toc5069 </w:instrText>
          </w:r>
          <w:r>
            <w:rPr>
              <w:rFonts w:hint="eastAsia" w:ascii="仿宋" w:hAnsi="仿宋" w:eastAsia="仿宋" w:cs="仿宋"/>
              <w:bCs/>
              <w:kern w:val="2"/>
              <w:sz w:val="28"/>
              <w:szCs w:val="28"/>
              <w:lang w:val="en-US" w:eastAsia="zh-CN"/>
            </w:rPr>
            <w:fldChar w:fldCharType="separate"/>
          </w:r>
          <w:r>
            <w:rPr>
              <w:rFonts w:hint="eastAsia" w:ascii="黑体" w:hAnsi="黑体" w:eastAsia="黑体" w:cs="黑体"/>
              <w:bCs/>
              <w:sz w:val="28"/>
              <w:szCs w:val="28"/>
              <w:lang w:val="en-US" w:eastAsia="zh-CN"/>
            </w:rPr>
            <w:t>一、项目基本情况</w:t>
          </w:r>
          <w:r>
            <w:rPr>
              <w:sz w:val="28"/>
              <w:szCs w:val="28"/>
            </w:rPr>
            <w:tab/>
          </w:r>
          <w:r>
            <w:rPr>
              <w:sz w:val="28"/>
              <w:szCs w:val="28"/>
            </w:rPr>
            <w:fldChar w:fldCharType="begin"/>
          </w:r>
          <w:r>
            <w:rPr>
              <w:sz w:val="28"/>
              <w:szCs w:val="28"/>
            </w:rPr>
            <w:instrText xml:space="preserve"> PAGEREF _Toc5069 \h </w:instrText>
          </w:r>
          <w:r>
            <w:rPr>
              <w:sz w:val="28"/>
              <w:szCs w:val="28"/>
            </w:rPr>
            <w:fldChar w:fldCharType="separate"/>
          </w:r>
          <w:r>
            <w:rPr>
              <w:sz w:val="28"/>
              <w:szCs w:val="28"/>
            </w:rPr>
            <w:t>2</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56085A7B">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_Toc28228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en-US" w:eastAsia="zh-CN"/>
            </w:rPr>
            <w:t>（一）项目背景</w:t>
          </w:r>
          <w:r>
            <w:rPr>
              <w:sz w:val="28"/>
              <w:szCs w:val="28"/>
            </w:rPr>
            <w:tab/>
          </w:r>
          <w:r>
            <w:rPr>
              <w:sz w:val="28"/>
              <w:szCs w:val="28"/>
            </w:rPr>
            <w:fldChar w:fldCharType="begin"/>
          </w:r>
          <w:r>
            <w:rPr>
              <w:sz w:val="28"/>
              <w:szCs w:val="28"/>
            </w:rPr>
            <w:instrText xml:space="preserve"> PAGEREF _Toc28228 \h </w:instrText>
          </w:r>
          <w:r>
            <w:rPr>
              <w:sz w:val="28"/>
              <w:szCs w:val="28"/>
            </w:rPr>
            <w:fldChar w:fldCharType="separate"/>
          </w:r>
          <w:r>
            <w:rPr>
              <w:sz w:val="28"/>
              <w:szCs w:val="28"/>
            </w:rPr>
            <w:t>2</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4758BCDC">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_Toc3080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lang w:val="en-US" w:eastAsia="zh-CN"/>
            </w:rPr>
            <w:t>1.贯彻国家及地方政策要求</w:t>
          </w:r>
          <w:r>
            <w:rPr>
              <w:sz w:val="28"/>
              <w:szCs w:val="28"/>
            </w:rPr>
            <w:tab/>
          </w:r>
          <w:r>
            <w:rPr>
              <w:sz w:val="28"/>
              <w:szCs w:val="28"/>
            </w:rPr>
            <w:fldChar w:fldCharType="begin"/>
          </w:r>
          <w:r>
            <w:rPr>
              <w:sz w:val="28"/>
              <w:szCs w:val="28"/>
            </w:rPr>
            <w:instrText xml:space="preserve"> PAGEREF _Toc3080 \h </w:instrText>
          </w:r>
          <w:r>
            <w:rPr>
              <w:sz w:val="28"/>
              <w:szCs w:val="28"/>
            </w:rPr>
            <w:fldChar w:fldCharType="separate"/>
          </w:r>
          <w:r>
            <w:rPr>
              <w:sz w:val="28"/>
              <w:szCs w:val="28"/>
            </w:rPr>
            <w:t>2</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0B41681D">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_Toc560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lang w:val="en-US" w:eastAsia="zh-CN"/>
            </w:rPr>
            <w:t>2.解决土地资源及农田建设问题</w:t>
          </w:r>
          <w:r>
            <w:rPr>
              <w:sz w:val="28"/>
              <w:szCs w:val="28"/>
            </w:rPr>
            <w:tab/>
          </w:r>
          <w:r>
            <w:rPr>
              <w:sz w:val="28"/>
              <w:szCs w:val="28"/>
            </w:rPr>
            <w:fldChar w:fldCharType="begin"/>
          </w:r>
          <w:r>
            <w:rPr>
              <w:sz w:val="28"/>
              <w:szCs w:val="28"/>
            </w:rPr>
            <w:instrText xml:space="preserve"> PAGEREF _Toc560 \h </w:instrText>
          </w:r>
          <w:r>
            <w:rPr>
              <w:sz w:val="28"/>
              <w:szCs w:val="28"/>
            </w:rPr>
            <w:fldChar w:fldCharType="separate"/>
          </w:r>
          <w:r>
            <w:rPr>
              <w:sz w:val="28"/>
              <w:szCs w:val="28"/>
            </w:rPr>
            <w:t>2</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688A1B67">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_Toc27785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lang w:val="en-US" w:eastAsia="zh-CN"/>
            </w:rPr>
            <w:t>3.响应泉州市相关建设方案</w:t>
          </w:r>
          <w:r>
            <w:rPr>
              <w:sz w:val="28"/>
              <w:szCs w:val="28"/>
            </w:rPr>
            <w:tab/>
          </w:r>
          <w:r>
            <w:rPr>
              <w:sz w:val="28"/>
              <w:szCs w:val="28"/>
            </w:rPr>
            <w:fldChar w:fldCharType="begin"/>
          </w:r>
          <w:r>
            <w:rPr>
              <w:sz w:val="28"/>
              <w:szCs w:val="28"/>
            </w:rPr>
            <w:instrText xml:space="preserve"> PAGEREF _Toc27785 \h </w:instrText>
          </w:r>
          <w:r>
            <w:rPr>
              <w:sz w:val="28"/>
              <w:szCs w:val="28"/>
            </w:rPr>
            <w:fldChar w:fldCharType="separate"/>
          </w:r>
          <w:r>
            <w:rPr>
              <w:sz w:val="28"/>
              <w:szCs w:val="28"/>
            </w:rPr>
            <w:t>2</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22A4DE00">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_Toc21883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en-US" w:eastAsia="zh-CN"/>
            </w:rPr>
            <w:t>（二）项目内容</w:t>
          </w:r>
          <w:r>
            <w:rPr>
              <w:sz w:val="28"/>
              <w:szCs w:val="28"/>
            </w:rPr>
            <w:tab/>
          </w:r>
          <w:r>
            <w:rPr>
              <w:sz w:val="28"/>
              <w:szCs w:val="28"/>
            </w:rPr>
            <w:fldChar w:fldCharType="begin"/>
          </w:r>
          <w:r>
            <w:rPr>
              <w:sz w:val="28"/>
              <w:szCs w:val="28"/>
            </w:rPr>
            <w:instrText xml:space="preserve"> PAGEREF _Toc21883 \h </w:instrText>
          </w:r>
          <w:r>
            <w:rPr>
              <w:sz w:val="28"/>
              <w:szCs w:val="28"/>
            </w:rPr>
            <w:fldChar w:fldCharType="separate"/>
          </w:r>
          <w:r>
            <w:rPr>
              <w:sz w:val="28"/>
              <w:szCs w:val="28"/>
            </w:rPr>
            <w:t>3</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0BCDA9AA">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_Toc14173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highlight w:val="none"/>
              <w:lang w:val="en-US" w:eastAsia="zh-CN"/>
            </w:rPr>
            <w:t>（三）项目组织管理情况</w:t>
          </w:r>
          <w:r>
            <w:rPr>
              <w:sz w:val="28"/>
              <w:szCs w:val="28"/>
            </w:rPr>
            <w:tab/>
          </w:r>
          <w:r>
            <w:rPr>
              <w:sz w:val="28"/>
              <w:szCs w:val="28"/>
            </w:rPr>
            <w:fldChar w:fldCharType="begin"/>
          </w:r>
          <w:r>
            <w:rPr>
              <w:sz w:val="28"/>
              <w:szCs w:val="28"/>
            </w:rPr>
            <w:instrText xml:space="preserve"> PAGEREF _Toc14173 \h </w:instrText>
          </w:r>
          <w:r>
            <w:rPr>
              <w:sz w:val="28"/>
              <w:szCs w:val="28"/>
            </w:rPr>
            <w:fldChar w:fldCharType="separate"/>
          </w:r>
          <w:r>
            <w:rPr>
              <w:sz w:val="28"/>
              <w:szCs w:val="28"/>
            </w:rPr>
            <w:t>4</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3D4D7E8F">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_Toc15744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highlight w:val="none"/>
              <w:lang w:val="en-US" w:eastAsia="zh-CN"/>
            </w:rPr>
            <w:t>（四）项目资金投入情况</w:t>
          </w:r>
          <w:r>
            <w:rPr>
              <w:sz w:val="28"/>
              <w:szCs w:val="28"/>
            </w:rPr>
            <w:tab/>
          </w:r>
          <w:r>
            <w:rPr>
              <w:sz w:val="28"/>
              <w:szCs w:val="28"/>
            </w:rPr>
            <w:fldChar w:fldCharType="begin"/>
          </w:r>
          <w:r>
            <w:rPr>
              <w:sz w:val="28"/>
              <w:szCs w:val="28"/>
            </w:rPr>
            <w:instrText xml:space="preserve"> PAGEREF _Toc15744 \h </w:instrText>
          </w:r>
          <w:r>
            <w:rPr>
              <w:sz w:val="28"/>
              <w:szCs w:val="28"/>
            </w:rPr>
            <w:fldChar w:fldCharType="separate"/>
          </w:r>
          <w:r>
            <w:rPr>
              <w:sz w:val="28"/>
              <w:szCs w:val="28"/>
            </w:rPr>
            <w:t>5</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2A6A89F2">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_Toc25069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en-US" w:eastAsia="zh-CN"/>
            </w:rPr>
            <w:t>（五）项目绩效目标</w:t>
          </w:r>
          <w:r>
            <w:rPr>
              <w:sz w:val="28"/>
              <w:szCs w:val="28"/>
            </w:rPr>
            <w:tab/>
          </w:r>
          <w:r>
            <w:rPr>
              <w:sz w:val="28"/>
              <w:szCs w:val="28"/>
            </w:rPr>
            <w:fldChar w:fldCharType="begin"/>
          </w:r>
          <w:r>
            <w:rPr>
              <w:sz w:val="28"/>
              <w:szCs w:val="28"/>
            </w:rPr>
            <w:instrText xml:space="preserve"> PAGEREF _Toc25069 \h </w:instrText>
          </w:r>
          <w:r>
            <w:rPr>
              <w:sz w:val="28"/>
              <w:szCs w:val="28"/>
            </w:rPr>
            <w:fldChar w:fldCharType="separate"/>
          </w:r>
          <w:r>
            <w:rPr>
              <w:sz w:val="28"/>
              <w:szCs w:val="28"/>
            </w:rPr>
            <w:t>6</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00724DEA">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_Toc24983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lang w:val="en-US" w:eastAsia="zh-CN"/>
            </w:rPr>
            <w:t>1.项目总体绩效目标</w:t>
          </w:r>
          <w:r>
            <w:rPr>
              <w:sz w:val="28"/>
              <w:szCs w:val="28"/>
            </w:rPr>
            <w:tab/>
          </w:r>
          <w:r>
            <w:rPr>
              <w:sz w:val="28"/>
              <w:szCs w:val="28"/>
            </w:rPr>
            <w:fldChar w:fldCharType="begin"/>
          </w:r>
          <w:r>
            <w:rPr>
              <w:sz w:val="28"/>
              <w:szCs w:val="28"/>
            </w:rPr>
            <w:instrText xml:space="preserve"> PAGEREF _Toc24983 \h </w:instrText>
          </w:r>
          <w:r>
            <w:rPr>
              <w:sz w:val="28"/>
              <w:szCs w:val="28"/>
            </w:rPr>
            <w:fldChar w:fldCharType="separate"/>
          </w:r>
          <w:r>
            <w:rPr>
              <w:sz w:val="28"/>
              <w:szCs w:val="28"/>
            </w:rPr>
            <w:t>6</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1F1EAEE9">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_Toc10106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highlight w:val="none"/>
              <w:lang w:val="en-US" w:eastAsia="zh-CN"/>
            </w:rPr>
            <w:t>2.项目绩效指标</w:t>
          </w:r>
          <w:r>
            <w:rPr>
              <w:sz w:val="28"/>
              <w:szCs w:val="28"/>
            </w:rPr>
            <w:tab/>
          </w:r>
          <w:r>
            <w:rPr>
              <w:sz w:val="28"/>
              <w:szCs w:val="28"/>
            </w:rPr>
            <w:fldChar w:fldCharType="begin"/>
          </w:r>
          <w:r>
            <w:rPr>
              <w:sz w:val="28"/>
              <w:szCs w:val="28"/>
            </w:rPr>
            <w:instrText xml:space="preserve"> PAGEREF _Toc10106 \h </w:instrText>
          </w:r>
          <w:r>
            <w:rPr>
              <w:sz w:val="28"/>
              <w:szCs w:val="28"/>
            </w:rPr>
            <w:fldChar w:fldCharType="separate"/>
          </w:r>
          <w:r>
            <w:rPr>
              <w:sz w:val="28"/>
              <w:szCs w:val="28"/>
            </w:rPr>
            <w:t>7</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50FACDE6">
          <w:pPr>
            <w:pStyle w:val="11"/>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_Toc9242 </w:instrText>
          </w:r>
          <w:r>
            <w:rPr>
              <w:rFonts w:hint="eastAsia" w:ascii="仿宋" w:hAnsi="仿宋" w:eastAsia="仿宋" w:cs="仿宋"/>
              <w:bCs/>
              <w:kern w:val="2"/>
              <w:sz w:val="28"/>
              <w:szCs w:val="28"/>
              <w:lang w:val="en-US" w:eastAsia="zh-CN"/>
            </w:rPr>
            <w:fldChar w:fldCharType="separate"/>
          </w:r>
          <w:r>
            <w:rPr>
              <w:rFonts w:hint="eastAsia" w:ascii="黑体" w:hAnsi="黑体" w:eastAsia="黑体" w:cs="黑体"/>
              <w:bCs/>
              <w:sz w:val="28"/>
              <w:szCs w:val="28"/>
              <w:lang w:val="en-US" w:eastAsia="zh-CN"/>
            </w:rPr>
            <w:t>二、事中绩效评价工作开展情况</w:t>
          </w:r>
          <w:r>
            <w:rPr>
              <w:sz w:val="28"/>
              <w:szCs w:val="28"/>
            </w:rPr>
            <w:tab/>
          </w:r>
          <w:r>
            <w:rPr>
              <w:sz w:val="28"/>
              <w:szCs w:val="28"/>
            </w:rPr>
            <w:fldChar w:fldCharType="begin"/>
          </w:r>
          <w:r>
            <w:rPr>
              <w:sz w:val="28"/>
              <w:szCs w:val="28"/>
            </w:rPr>
            <w:instrText xml:space="preserve"> PAGEREF _Toc9242 \h </w:instrText>
          </w:r>
          <w:r>
            <w:rPr>
              <w:sz w:val="28"/>
              <w:szCs w:val="28"/>
            </w:rPr>
            <w:fldChar w:fldCharType="separate"/>
          </w:r>
          <w:r>
            <w:rPr>
              <w:sz w:val="28"/>
              <w:szCs w:val="28"/>
            </w:rPr>
            <w:t>7</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1A6F1D2F">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_Toc11409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en-US" w:eastAsia="zh-CN"/>
            </w:rPr>
            <w:t>（一）评价目的</w:t>
          </w:r>
          <w:r>
            <w:rPr>
              <w:sz w:val="28"/>
              <w:szCs w:val="28"/>
            </w:rPr>
            <w:tab/>
          </w:r>
          <w:r>
            <w:rPr>
              <w:sz w:val="28"/>
              <w:szCs w:val="28"/>
            </w:rPr>
            <w:fldChar w:fldCharType="begin"/>
          </w:r>
          <w:r>
            <w:rPr>
              <w:sz w:val="28"/>
              <w:szCs w:val="28"/>
            </w:rPr>
            <w:instrText xml:space="preserve"> PAGEREF _Toc11409 \h </w:instrText>
          </w:r>
          <w:r>
            <w:rPr>
              <w:sz w:val="28"/>
              <w:szCs w:val="28"/>
            </w:rPr>
            <w:fldChar w:fldCharType="separate"/>
          </w:r>
          <w:r>
            <w:rPr>
              <w:sz w:val="28"/>
              <w:szCs w:val="28"/>
            </w:rPr>
            <w:t>7</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158717CB">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_Toc7319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en-US" w:eastAsia="zh-CN"/>
            </w:rPr>
            <w:t>（二）评价对象及范围</w:t>
          </w:r>
          <w:r>
            <w:rPr>
              <w:sz w:val="28"/>
              <w:szCs w:val="28"/>
            </w:rPr>
            <w:tab/>
          </w:r>
          <w:r>
            <w:rPr>
              <w:sz w:val="28"/>
              <w:szCs w:val="28"/>
            </w:rPr>
            <w:fldChar w:fldCharType="begin"/>
          </w:r>
          <w:r>
            <w:rPr>
              <w:sz w:val="28"/>
              <w:szCs w:val="28"/>
            </w:rPr>
            <w:instrText xml:space="preserve"> PAGEREF _Toc7319 \h </w:instrText>
          </w:r>
          <w:r>
            <w:rPr>
              <w:sz w:val="28"/>
              <w:szCs w:val="28"/>
            </w:rPr>
            <w:fldChar w:fldCharType="separate"/>
          </w:r>
          <w:r>
            <w:rPr>
              <w:sz w:val="28"/>
              <w:szCs w:val="28"/>
            </w:rPr>
            <w:t>7</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4DC19396">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_Toc25327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en-US" w:eastAsia="zh-CN"/>
            </w:rPr>
            <w:t>（三）评价依据</w:t>
          </w:r>
          <w:r>
            <w:rPr>
              <w:sz w:val="28"/>
              <w:szCs w:val="28"/>
            </w:rPr>
            <w:tab/>
          </w:r>
          <w:r>
            <w:rPr>
              <w:sz w:val="28"/>
              <w:szCs w:val="28"/>
            </w:rPr>
            <w:fldChar w:fldCharType="begin"/>
          </w:r>
          <w:r>
            <w:rPr>
              <w:sz w:val="28"/>
              <w:szCs w:val="28"/>
            </w:rPr>
            <w:instrText xml:space="preserve"> PAGEREF _Toc25327 \h </w:instrText>
          </w:r>
          <w:r>
            <w:rPr>
              <w:sz w:val="28"/>
              <w:szCs w:val="28"/>
            </w:rPr>
            <w:fldChar w:fldCharType="separate"/>
          </w:r>
          <w:r>
            <w:rPr>
              <w:sz w:val="28"/>
              <w:szCs w:val="28"/>
            </w:rPr>
            <w:t>8</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44001B4D">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_Toc29851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en-US" w:eastAsia="zh-CN"/>
            </w:rPr>
            <w:t>（四）评价原则和评价指标体系</w:t>
          </w:r>
          <w:r>
            <w:rPr>
              <w:sz w:val="28"/>
              <w:szCs w:val="28"/>
            </w:rPr>
            <w:tab/>
          </w:r>
          <w:r>
            <w:rPr>
              <w:sz w:val="28"/>
              <w:szCs w:val="28"/>
            </w:rPr>
            <w:fldChar w:fldCharType="begin"/>
          </w:r>
          <w:r>
            <w:rPr>
              <w:sz w:val="28"/>
              <w:szCs w:val="28"/>
            </w:rPr>
            <w:instrText xml:space="preserve"> PAGEREF _Toc29851 \h </w:instrText>
          </w:r>
          <w:r>
            <w:rPr>
              <w:sz w:val="28"/>
              <w:szCs w:val="28"/>
            </w:rPr>
            <w:fldChar w:fldCharType="separate"/>
          </w:r>
          <w:r>
            <w:rPr>
              <w:sz w:val="28"/>
              <w:szCs w:val="28"/>
            </w:rPr>
            <w:t>9</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3AA9842C">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_Toc22955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lang w:val="en-US" w:eastAsia="zh-CN"/>
            </w:rPr>
            <w:t>1.评价原则</w:t>
          </w:r>
          <w:r>
            <w:rPr>
              <w:sz w:val="28"/>
              <w:szCs w:val="28"/>
            </w:rPr>
            <w:tab/>
          </w:r>
          <w:r>
            <w:rPr>
              <w:sz w:val="28"/>
              <w:szCs w:val="28"/>
            </w:rPr>
            <w:fldChar w:fldCharType="begin"/>
          </w:r>
          <w:r>
            <w:rPr>
              <w:sz w:val="28"/>
              <w:szCs w:val="28"/>
            </w:rPr>
            <w:instrText xml:space="preserve"> PAGEREF _Toc22955 \h </w:instrText>
          </w:r>
          <w:r>
            <w:rPr>
              <w:sz w:val="28"/>
              <w:szCs w:val="28"/>
            </w:rPr>
            <w:fldChar w:fldCharType="separate"/>
          </w:r>
          <w:r>
            <w:rPr>
              <w:sz w:val="28"/>
              <w:szCs w:val="28"/>
            </w:rPr>
            <w:t>9</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09C457CC">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_Toc17331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lang w:val="en-US" w:eastAsia="zh-CN"/>
            </w:rPr>
            <w:t>2.事中绩效评价指标体系</w:t>
          </w:r>
          <w:r>
            <w:rPr>
              <w:sz w:val="28"/>
              <w:szCs w:val="28"/>
            </w:rPr>
            <w:tab/>
          </w:r>
          <w:r>
            <w:rPr>
              <w:sz w:val="28"/>
              <w:szCs w:val="28"/>
            </w:rPr>
            <w:fldChar w:fldCharType="begin"/>
          </w:r>
          <w:r>
            <w:rPr>
              <w:sz w:val="28"/>
              <w:szCs w:val="28"/>
            </w:rPr>
            <w:instrText xml:space="preserve"> PAGEREF _Toc17331 \h </w:instrText>
          </w:r>
          <w:r>
            <w:rPr>
              <w:sz w:val="28"/>
              <w:szCs w:val="28"/>
            </w:rPr>
            <w:fldChar w:fldCharType="separate"/>
          </w:r>
          <w:r>
            <w:rPr>
              <w:sz w:val="28"/>
              <w:szCs w:val="28"/>
            </w:rPr>
            <w:t>9</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3EDBC01C">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_Toc17319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en-US" w:eastAsia="zh-CN"/>
            </w:rPr>
            <w:t>（五）评价方法和评价标准</w:t>
          </w:r>
          <w:r>
            <w:rPr>
              <w:sz w:val="28"/>
              <w:szCs w:val="28"/>
            </w:rPr>
            <w:tab/>
          </w:r>
          <w:r>
            <w:rPr>
              <w:sz w:val="28"/>
              <w:szCs w:val="28"/>
            </w:rPr>
            <w:fldChar w:fldCharType="begin"/>
          </w:r>
          <w:r>
            <w:rPr>
              <w:sz w:val="28"/>
              <w:szCs w:val="28"/>
            </w:rPr>
            <w:instrText xml:space="preserve"> PAGEREF _Toc17319 \h </w:instrText>
          </w:r>
          <w:r>
            <w:rPr>
              <w:sz w:val="28"/>
              <w:szCs w:val="28"/>
            </w:rPr>
            <w:fldChar w:fldCharType="separate"/>
          </w:r>
          <w:r>
            <w:rPr>
              <w:sz w:val="28"/>
              <w:szCs w:val="28"/>
            </w:rPr>
            <w:t>10</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1F490F74">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_Toc11413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lang w:val="en-US" w:eastAsia="zh-CN"/>
            </w:rPr>
            <w:t>1.评价方法</w:t>
          </w:r>
          <w:r>
            <w:rPr>
              <w:sz w:val="28"/>
              <w:szCs w:val="28"/>
            </w:rPr>
            <w:tab/>
          </w:r>
          <w:r>
            <w:rPr>
              <w:sz w:val="28"/>
              <w:szCs w:val="28"/>
            </w:rPr>
            <w:fldChar w:fldCharType="begin"/>
          </w:r>
          <w:r>
            <w:rPr>
              <w:sz w:val="28"/>
              <w:szCs w:val="28"/>
            </w:rPr>
            <w:instrText xml:space="preserve"> PAGEREF _Toc11413 \h </w:instrText>
          </w:r>
          <w:r>
            <w:rPr>
              <w:sz w:val="28"/>
              <w:szCs w:val="28"/>
            </w:rPr>
            <w:fldChar w:fldCharType="separate"/>
          </w:r>
          <w:r>
            <w:rPr>
              <w:sz w:val="28"/>
              <w:szCs w:val="28"/>
            </w:rPr>
            <w:t>10</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16EEC036">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_Toc3736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lang w:val="en-US" w:eastAsia="zh-CN"/>
            </w:rPr>
            <w:t>2.评价标准</w:t>
          </w:r>
          <w:r>
            <w:rPr>
              <w:sz w:val="28"/>
              <w:szCs w:val="28"/>
            </w:rPr>
            <w:tab/>
          </w:r>
          <w:r>
            <w:rPr>
              <w:sz w:val="28"/>
              <w:szCs w:val="28"/>
            </w:rPr>
            <w:fldChar w:fldCharType="begin"/>
          </w:r>
          <w:r>
            <w:rPr>
              <w:sz w:val="28"/>
              <w:szCs w:val="28"/>
            </w:rPr>
            <w:instrText xml:space="preserve"> PAGEREF _Toc3736 \h </w:instrText>
          </w:r>
          <w:r>
            <w:rPr>
              <w:sz w:val="28"/>
              <w:szCs w:val="28"/>
            </w:rPr>
            <w:fldChar w:fldCharType="separate"/>
          </w:r>
          <w:r>
            <w:rPr>
              <w:sz w:val="28"/>
              <w:szCs w:val="28"/>
            </w:rPr>
            <w:t>11</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24D4E619">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_Toc19612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en-US" w:eastAsia="zh-CN"/>
            </w:rPr>
            <w:t>（六）事中绩效评价工作过程</w:t>
          </w:r>
          <w:r>
            <w:rPr>
              <w:sz w:val="28"/>
              <w:szCs w:val="28"/>
            </w:rPr>
            <w:tab/>
          </w:r>
          <w:r>
            <w:rPr>
              <w:sz w:val="28"/>
              <w:szCs w:val="28"/>
            </w:rPr>
            <w:fldChar w:fldCharType="begin"/>
          </w:r>
          <w:r>
            <w:rPr>
              <w:sz w:val="28"/>
              <w:szCs w:val="28"/>
            </w:rPr>
            <w:instrText xml:space="preserve"> PAGEREF _Toc19612 \h </w:instrText>
          </w:r>
          <w:r>
            <w:rPr>
              <w:sz w:val="28"/>
              <w:szCs w:val="28"/>
            </w:rPr>
            <w:fldChar w:fldCharType="separate"/>
          </w:r>
          <w:r>
            <w:rPr>
              <w:sz w:val="28"/>
              <w:szCs w:val="28"/>
            </w:rPr>
            <w:t>11</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164E96D9">
          <w:pPr>
            <w:pStyle w:val="11"/>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_Toc30491 </w:instrText>
          </w:r>
          <w:r>
            <w:rPr>
              <w:rFonts w:hint="eastAsia" w:ascii="仿宋" w:hAnsi="仿宋" w:eastAsia="仿宋" w:cs="仿宋"/>
              <w:bCs/>
              <w:kern w:val="2"/>
              <w:sz w:val="28"/>
              <w:szCs w:val="28"/>
              <w:lang w:val="en-US" w:eastAsia="zh-CN"/>
            </w:rPr>
            <w:fldChar w:fldCharType="separate"/>
          </w:r>
          <w:r>
            <w:rPr>
              <w:rFonts w:hint="eastAsia" w:ascii="黑体" w:hAnsi="黑体" w:eastAsia="黑体" w:cs="黑体"/>
              <w:bCs/>
              <w:sz w:val="28"/>
              <w:szCs w:val="28"/>
              <w:lang w:val="en-US" w:eastAsia="zh-CN"/>
            </w:rPr>
            <w:t>三、综合评价结论及分析</w:t>
          </w:r>
          <w:r>
            <w:rPr>
              <w:sz w:val="28"/>
              <w:szCs w:val="28"/>
            </w:rPr>
            <w:tab/>
          </w:r>
          <w:r>
            <w:rPr>
              <w:sz w:val="28"/>
              <w:szCs w:val="28"/>
            </w:rPr>
            <w:fldChar w:fldCharType="begin"/>
          </w:r>
          <w:r>
            <w:rPr>
              <w:sz w:val="28"/>
              <w:szCs w:val="28"/>
            </w:rPr>
            <w:instrText xml:space="preserve"> PAGEREF _Toc30491 \h </w:instrText>
          </w:r>
          <w:r>
            <w:rPr>
              <w:sz w:val="28"/>
              <w:szCs w:val="28"/>
            </w:rPr>
            <w:fldChar w:fldCharType="separate"/>
          </w:r>
          <w:r>
            <w:rPr>
              <w:sz w:val="28"/>
              <w:szCs w:val="28"/>
            </w:rPr>
            <w:t>11</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433A288D">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_Toc22509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en-US" w:eastAsia="zh-CN"/>
            </w:rPr>
            <w:t>（一）项目综合评价</w:t>
          </w:r>
          <w:r>
            <w:rPr>
              <w:sz w:val="28"/>
              <w:szCs w:val="28"/>
            </w:rPr>
            <w:tab/>
          </w:r>
          <w:r>
            <w:rPr>
              <w:sz w:val="28"/>
              <w:szCs w:val="28"/>
            </w:rPr>
            <w:fldChar w:fldCharType="begin"/>
          </w:r>
          <w:r>
            <w:rPr>
              <w:sz w:val="28"/>
              <w:szCs w:val="28"/>
            </w:rPr>
            <w:instrText xml:space="preserve"> PAGEREF _Toc22509 \h </w:instrText>
          </w:r>
          <w:r>
            <w:rPr>
              <w:sz w:val="28"/>
              <w:szCs w:val="28"/>
            </w:rPr>
            <w:fldChar w:fldCharType="separate"/>
          </w:r>
          <w:r>
            <w:rPr>
              <w:sz w:val="28"/>
              <w:szCs w:val="28"/>
            </w:rPr>
            <w:t>11</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28F5CDDF">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_Toc10936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highlight w:val="none"/>
              <w:lang w:val="en-US" w:eastAsia="zh-CN"/>
            </w:rPr>
            <w:t>（二）项目绩效分析</w:t>
          </w:r>
          <w:r>
            <w:rPr>
              <w:sz w:val="28"/>
              <w:szCs w:val="28"/>
            </w:rPr>
            <w:tab/>
          </w:r>
          <w:r>
            <w:rPr>
              <w:sz w:val="28"/>
              <w:szCs w:val="28"/>
            </w:rPr>
            <w:fldChar w:fldCharType="begin"/>
          </w:r>
          <w:r>
            <w:rPr>
              <w:sz w:val="28"/>
              <w:szCs w:val="28"/>
            </w:rPr>
            <w:instrText xml:space="preserve"> PAGEREF _Toc10936 \h </w:instrText>
          </w:r>
          <w:r>
            <w:rPr>
              <w:sz w:val="28"/>
              <w:szCs w:val="28"/>
            </w:rPr>
            <w:fldChar w:fldCharType="separate"/>
          </w:r>
          <w:r>
            <w:rPr>
              <w:sz w:val="28"/>
              <w:szCs w:val="28"/>
            </w:rPr>
            <w:t>12</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41ACF663">
          <w:pPr>
            <w:pStyle w:val="11"/>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_Toc20484 </w:instrText>
          </w:r>
          <w:r>
            <w:rPr>
              <w:rFonts w:hint="eastAsia" w:ascii="仿宋" w:hAnsi="仿宋" w:eastAsia="仿宋" w:cs="仿宋"/>
              <w:bCs/>
              <w:kern w:val="2"/>
              <w:sz w:val="28"/>
              <w:szCs w:val="28"/>
              <w:lang w:val="en-US" w:eastAsia="zh-CN"/>
            </w:rPr>
            <w:fldChar w:fldCharType="separate"/>
          </w:r>
          <w:r>
            <w:rPr>
              <w:rFonts w:hint="eastAsia" w:ascii="黑体" w:hAnsi="黑体" w:eastAsia="黑体" w:cs="黑体"/>
              <w:bCs/>
              <w:sz w:val="28"/>
              <w:szCs w:val="28"/>
              <w:lang w:val="en-US" w:eastAsia="zh-CN"/>
            </w:rPr>
            <w:t>四、绩效评价指标分析</w:t>
          </w:r>
          <w:r>
            <w:rPr>
              <w:sz w:val="28"/>
              <w:szCs w:val="28"/>
            </w:rPr>
            <w:tab/>
          </w:r>
          <w:r>
            <w:rPr>
              <w:sz w:val="28"/>
              <w:szCs w:val="28"/>
            </w:rPr>
            <w:fldChar w:fldCharType="begin"/>
          </w:r>
          <w:r>
            <w:rPr>
              <w:sz w:val="28"/>
              <w:szCs w:val="28"/>
            </w:rPr>
            <w:instrText xml:space="preserve"> PAGEREF _Toc20484 \h </w:instrText>
          </w:r>
          <w:r>
            <w:rPr>
              <w:sz w:val="28"/>
              <w:szCs w:val="28"/>
            </w:rPr>
            <w:fldChar w:fldCharType="separate"/>
          </w:r>
          <w:r>
            <w:rPr>
              <w:sz w:val="28"/>
              <w:szCs w:val="28"/>
            </w:rPr>
            <w:t>13</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1BB212AA">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_Toc20165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en-US" w:eastAsia="zh-CN"/>
            </w:rPr>
            <w:t>（一）项目决策情况</w:t>
          </w:r>
          <w:r>
            <w:rPr>
              <w:sz w:val="28"/>
              <w:szCs w:val="28"/>
            </w:rPr>
            <w:tab/>
          </w:r>
          <w:r>
            <w:rPr>
              <w:sz w:val="28"/>
              <w:szCs w:val="28"/>
            </w:rPr>
            <w:fldChar w:fldCharType="begin"/>
          </w:r>
          <w:r>
            <w:rPr>
              <w:sz w:val="28"/>
              <w:szCs w:val="28"/>
            </w:rPr>
            <w:instrText xml:space="preserve"> PAGEREF _Toc20165 \h </w:instrText>
          </w:r>
          <w:r>
            <w:rPr>
              <w:sz w:val="28"/>
              <w:szCs w:val="28"/>
            </w:rPr>
            <w:fldChar w:fldCharType="separate"/>
          </w:r>
          <w:r>
            <w:rPr>
              <w:sz w:val="28"/>
              <w:szCs w:val="28"/>
            </w:rPr>
            <w:t>13</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0D18CB15">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_Toc28545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lang w:val="en-US" w:eastAsia="zh-CN"/>
            </w:rPr>
            <w:t>1.项目立项</w:t>
          </w:r>
          <w:r>
            <w:rPr>
              <w:sz w:val="28"/>
              <w:szCs w:val="28"/>
            </w:rPr>
            <w:tab/>
          </w:r>
          <w:r>
            <w:rPr>
              <w:sz w:val="28"/>
              <w:szCs w:val="28"/>
            </w:rPr>
            <w:fldChar w:fldCharType="begin"/>
          </w:r>
          <w:r>
            <w:rPr>
              <w:sz w:val="28"/>
              <w:szCs w:val="28"/>
            </w:rPr>
            <w:instrText xml:space="preserve"> PAGEREF _Toc28545 \h </w:instrText>
          </w:r>
          <w:r>
            <w:rPr>
              <w:sz w:val="28"/>
              <w:szCs w:val="28"/>
            </w:rPr>
            <w:fldChar w:fldCharType="separate"/>
          </w:r>
          <w:r>
            <w:rPr>
              <w:sz w:val="28"/>
              <w:szCs w:val="28"/>
            </w:rPr>
            <w:t>13</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0DAC2C4B">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_Toc15231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lang w:val="en-US" w:eastAsia="zh-CN"/>
            </w:rPr>
            <w:t>2.绩效目标</w:t>
          </w:r>
          <w:r>
            <w:rPr>
              <w:sz w:val="28"/>
              <w:szCs w:val="28"/>
            </w:rPr>
            <w:tab/>
          </w:r>
          <w:r>
            <w:rPr>
              <w:sz w:val="28"/>
              <w:szCs w:val="28"/>
            </w:rPr>
            <w:fldChar w:fldCharType="begin"/>
          </w:r>
          <w:r>
            <w:rPr>
              <w:sz w:val="28"/>
              <w:szCs w:val="28"/>
            </w:rPr>
            <w:instrText xml:space="preserve"> PAGEREF _Toc15231 \h </w:instrText>
          </w:r>
          <w:r>
            <w:rPr>
              <w:sz w:val="28"/>
              <w:szCs w:val="28"/>
            </w:rPr>
            <w:fldChar w:fldCharType="separate"/>
          </w:r>
          <w:r>
            <w:rPr>
              <w:sz w:val="28"/>
              <w:szCs w:val="28"/>
            </w:rPr>
            <w:t>17</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5389E02B">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_Toc32097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lang w:val="en-US" w:eastAsia="zh-CN"/>
            </w:rPr>
            <w:t>3.资金投入</w:t>
          </w:r>
          <w:r>
            <w:rPr>
              <w:sz w:val="28"/>
              <w:szCs w:val="28"/>
            </w:rPr>
            <w:tab/>
          </w:r>
          <w:r>
            <w:rPr>
              <w:sz w:val="28"/>
              <w:szCs w:val="28"/>
            </w:rPr>
            <w:fldChar w:fldCharType="begin"/>
          </w:r>
          <w:r>
            <w:rPr>
              <w:sz w:val="28"/>
              <w:szCs w:val="28"/>
            </w:rPr>
            <w:instrText xml:space="preserve"> PAGEREF _Toc32097 \h </w:instrText>
          </w:r>
          <w:r>
            <w:rPr>
              <w:sz w:val="28"/>
              <w:szCs w:val="28"/>
            </w:rPr>
            <w:fldChar w:fldCharType="separate"/>
          </w:r>
          <w:r>
            <w:rPr>
              <w:sz w:val="28"/>
              <w:szCs w:val="28"/>
            </w:rPr>
            <w:t>19</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3085D553">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_Toc29912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highlight w:val="none"/>
              <w:lang w:val="en-US" w:eastAsia="zh-CN"/>
            </w:rPr>
            <w:t>（二）项目过程情况</w:t>
          </w:r>
          <w:r>
            <w:rPr>
              <w:sz w:val="28"/>
              <w:szCs w:val="28"/>
            </w:rPr>
            <w:tab/>
          </w:r>
          <w:r>
            <w:rPr>
              <w:sz w:val="28"/>
              <w:szCs w:val="28"/>
            </w:rPr>
            <w:fldChar w:fldCharType="begin"/>
          </w:r>
          <w:r>
            <w:rPr>
              <w:sz w:val="28"/>
              <w:szCs w:val="28"/>
            </w:rPr>
            <w:instrText xml:space="preserve"> PAGEREF _Toc29912 \h </w:instrText>
          </w:r>
          <w:r>
            <w:rPr>
              <w:sz w:val="28"/>
              <w:szCs w:val="28"/>
            </w:rPr>
            <w:fldChar w:fldCharType="separate"/>
          </w:r>
          <w:r>
            <w:rPr>
              <w:sz w:val="28"/>
              <w:szCs w:val="28"/>
            </w:rPr>
            <w:t>20</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37DD03F0">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_Toc2830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highlight w:val="none"/>
              <w:lang w:val="en-US" w:eastAsia="zh-CN"/>
            </w:rPr>
            <w:t>1.资金管理</w:t>
          </w:r>
          <w:r>
            <w:rPr>
              <w:sz w:val="28"/>
              <w:szCs w:val="28"/>
            </w:rPr>
            <w:tab/>
          </w:r>
          <w:r>
            <w:rPr>
              <w:sz w:val="28"/>
              <w:szCs w:val="28"/>
            </w:rPr>
            <w:fldChar w:fldCharType="begin"/>
          </w:r>
          <w:r>
            <w:rPr>
              <w:sz w:val="28"/>
              <w:szCs w:val="28"/>
            </w:rPr>
            <w:instrText xml:space="preserve"> PAGEREF _Toc2830 \h </w:instrText>
          </w:r>
          <w:r>
            <w:rPr>
              <w:sz w:val="28"/>
              <w:szCs w:val="28"/>
            </w:rPr>
            <w:fldChar w:fldCharType="separate"/>
          </w:r>
          <w:r>
            <w:rPr>
              <w:sz w:val="28"/>
              <w:szCs w:val="28"/>
            </w:rPr>
            <w:t>20</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660491FB">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_Toc30409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lang w:val="en-US" w:eastAsia="zh-CN"/>
            </w:rPr>
            <w:t>2.组织实施</w:t>
          </w:r>
          <w:r>
            <w:rPr>
              <w:sz w:val="28"/>
              <w:szCs w:val="28"/>
            </w:rPr>
            <w:tab/>
          </w:r>
          <w:r>
            <w:rPr>
              <w:sz w:val="28"/>
              <w:szCs w:val="28"/>
            </w:rPr>
            <w:fldChar w:fldCharType="begin"/>
          </w:r>
          <w:r>
            <w:rPr>
              <w:sz w:val="28"/>
              <w:szCs w:val="28"/>
            </w:rPr>
            <w:instrText xml:space="preserve"> PAGEREF _Toc30409 \h </w:instrText>
          </w:r>
          <w:r>
            <w:rPr>
              <w:sz w:val="28"/>
              <w:szCs w:val="28"/>
            </w:rPr>
            <w:fldChar w:fldCharType="separate"/>
          </w:r>
          <w:r>
            <w:rPr>
              <w:sz w:val="28"/>
              <w:szCs w:val="28"/>
            </w:rPr>
            <w:t>21</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3DF3E537">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_Toc31726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en-US" w:eastAsia="zh-CN"/>
            </w:rPr>
            <w:t>（三）项目产出情况</w:t>
          </w:r>
          <w:r>
            <w:rPr>
              <w:sz w:val="28"/>
              <w:szCs w:val="28"/>
            </w:rPr>
            <w:tab/>
          </w:r>
          <w:r>
            <w:rPr>
              <w:sz w:val="28"/>
              <w:szCs w:val="28"/>
            </w:rPr>
            <w:fldChar w:fldCharType="begin"/>
          </w:r>
          <w:r>
            <w:rPr>
              <w:sz w:val="28"/>
              <w:szCs w:val="28"/>
            </w:rPr>
            <w:instrText xml:space="preserve"> PAGEREF _Toc31726 \h </w:instrText>
          </w:r>
          <w:r>
            <w:rPr>
              <w:sz w:val="28"/>
              <w:szCs w:val="28"/>
            </w:rPr>
            <w:fldChar w:fldCharType="separate"/>
          </w:r>
          <w:r>
            <w:rPr>
              <w:sz w:val="28"/>
              <w:szCs w:val="28"/>
            </w:rPr>
            <w:t>24</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0F264EBE">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_Toc22830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lang w:val="en-US" w:eastAsia="zh-CN"/>
            </w:rPr>
            <w:t>1.产出数量</w:t>
          </w:r>
          <w:r>
            <w:rPr>
              <w:sz w:val="28"/>
              <w:szCs w:val="28"/>
            </w:rPr>
            <w:tab/>
          </w:r>
          <w:r>
            <w:rPr>
              <w:sz w:val="28"/>
              <w:szCs w:val="28"/>
            </w:rPr>
            <w:fldChar w:fldCharType="begin"/>
          </w:r>
          <w:r>
            <w:rPr>
              <w:sz w:val="28"/>
              <w:szCs w:val="28"/>
            </w:rPr>
            <w:instrText xml:space="preserve"> PAGEREF _Toc22830 \h </w:instrText>
          </w:r>
          <w:r>
            <w:rPr>
              <w:sz w:val="28"/>
              <w:szCs w:val="28"/>
            </w:rPr>
            <w:fldChar w:fldCharType="separate"/>
          </w:r>
          <w:r>
            <w:rPr>
              <w:sz w:val="28"/>
              <w:szCs w:val="28"/>
            </w:rPr>
            <w:t>24</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05E08221">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_Toc27218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lang w:val="en-US" w:eastAsia="zh-CN"/>
            </w:rPr>
            <w:t>2.产出质量</w:t>
          </w:r>
          <w:r>
            <w:rPr>
              <w:sz w:val="28"/>
              <w:szCs w:val="28"/>
            </w:rPr>
            <w:tab/>
          </w:r>
          <w:r>
            <w:rPr>
              <w:sz w:val="28"/>
              <w:szCs w:val="28"/>
            </w:rPr>
            <w:fldChar w:fldCharType="begin"/>
          </w:r>
          <w:r>
            <w:rPr>
              <w:sz w:val="28"/>
              <w:szCs w:val="28"/>
            </w:rPr>
            <w:instrText xml:space="preserve"> PAGEREF _Toc27218 \h </w:instrText>
          </w:r>
          <w:r>
            <w:rPr>
              <w:sz w:val="28"/>
              <w:szCs w:val="28"/>
            </w:rPr>
            <w:fldChar w:fldCharType="separate"/>
          </w:r>
          <w:r>
            <w:rPr>
              <w:sz w:val="28"/>
              <w:szCs w:val="28"/>
            </w:rPr>
            <w:t>26</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5D2BAEDA">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_Toc12142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lang w:val="en-US" w:eastAsia="zh-CN"/>
            </w:rPr>
            <w:t>3.产出时效</w:t>
          </w:r>
          <w:r>
            <w:rPr>
              <w:sz w:val="28"/>
              <w:szCs w:val="28"/>
            </w:rPr>
            <w:tab/>
          </w:r>
          <w:r>
            <w:rPr>
              <w:sz w:val="28"/>
              <w:szCs w:val="28"/>
            </w:rPr>
            <w:fldChar w:fldCharType="begin"/>
          </w:r>
          <w:r>
            <w:rPr>
              <w:sz w:val="28"/>
              <w:szCs w:val="28"/>
            </w:rPr>
            <w:instrText xml:space="preserve"> PAGEREF _Toc12142 \h </w:instrText>
          </w:r>
          <w:r>
            <w:rPr>
              <w:sz w:val="28"/>
              <w:szCs w:val="28"/>
            </w:rPr>
            <w:fldChar w:fldCharType="separate"/>
          </w:r>
          <w:r>
            <w:rPr>
              <w:sz w:val="28"/>
              <w:szCs w:val="28"/>
            </w:rPr>
            <w:t>31</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4EDB3531">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_Toc23795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lang w:val="en-US" w:eastAsia="zh-CN"/>
            </w:rPr>
            <w:t>4.产出成本</w:t>
          </w:r>
          <w:r>
            <w:rPr>
              <w:sz w:val="28"/>
              <w:szCs w:val="28"/>
            </w:rPr>
            <w:tab/>
          </w:r>
          <w:r>
            <w:rPr>
              <w:sz w:val="28"/>
              <w:szCs w:val="28"/>
            </w:rPr>
            <w:fldChar w:fldCharType="begin"/>
          </w:r>
          <w:r>
            <w:rPr>
              <w:sz w:val="28"/>
              <w:szCs w:val="28"/>
            </w:rPr>
            <w:instrText xml:space="preserve"> PAGEREF _Toc23795 \h </w:instrText>
          </w:r>
          <w:r>
            <w:rPr>
              <w:sz w:val="28"/>
              <w:szCs w:val="28"/>
            </w:rPr>
            <w:fldChar w:fldCharType="separate"/>
          </w:r>
          <w:r>
            <w:rPr>
              <w:sz w:val="28"/>
              <w:szCs w:val="28"/>
            </w:rPr>
            <w:t>31</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301C2412">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_Toc27266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en-US" w:eastAsia="zh-CN"/>
            </w:rPr>
            <w:t>（四）项目效益情况</w:t>
          </w:r>
          <w:r>
            <w:rPr>
              <w:sz w:val="28"/>
              <w:szCs w:val="28"/>
            </w:rPr>
            <w:tab/>
          </w:r>
          <w:r>
            <w:rPr>
              <w:sz w:val="28"/>
              <w:szCs w:val="28"/>
            </w:rPr>
            <w:fldChar w:fldCharType="begin"/>
          </w:r>
          <w:r>
            <w:rPr>
              <w:sz w:val="28"/>
              <w:szCs w:val="28"/>
            </w:rPr>
            <w:instrText xml:space="preserve"> PAGEREF _Toc27266 \h </w:instrText>
          </w:r>
          <w:r>
            <w:rPr>
              <w:sz w:val="28"/>
              <w:szCs w:val="28"/>
            </w:rPr>
            <w:fldChar w:fldCharType="separate"/>
          </w:r>
          <w:r>
            <w:rPr>
              <w:sz w:val="28"/>
              <w:szCs w:val="28"/>
            </w:rPr>
            <w:t>31</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4E32E38B">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_Toc6509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highlight w:val="none"/>
              <w:lang w:val="en-US" w:eastAsia="zh-CN"/>
            </w:rPr>
            <w:t>1.社会效益</w:t>
          </w:r>
          <w:r>
            <w:rPr>
              <w:sz w:val="28"/>
              <w:szCs w:val="28"/>
            </w:rPr>
            <w:tab/>
          </w:r>
          <w:r>
            <w:rPr>
              <w:sz w:val="28"/>
              <w:szCs w:val="28"/>
            </w:rPr>
            <w:fldChar w:fldCharType="begin"/>
          </w:r>
          <w:r>
            <w:rPr>
              <w:sz w:val="28"/>
              <w:szCs w:val="28"/>
            </w:rPr>
            <w:instrText xml:space="preserve"> PAGEREF _Toc6509 \h </w:instrText>
          </w:r>
          <w:r>
            <w:rPr>
              <w:sz w:val="28"/>
              <w:szCs w:val="28"/>
            </w:rPr>
            <w:fldChar w:fldCharType="separate"/>
          </w:r>
          <w:r>
            <w:rPr>
              <w:sz w:val="28"/>
              <w:szCs w:val="28"/>
            </w:rPr>
            <w:t>32</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6A34E693">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_Toc30743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highlight w:val="none"/>
              <w:lang w:val="en-US" w:eastAsia="zh-CN"/>
            </w:rPr>
            <w:t>2.经济效益</w:t>
          </w:r>
          <w:r>
            <w:rPr>
              <w:sz w:val="28"/>
              <w:szCs w:val="28"/>
            </w:rPr>
            <w:tab/>
          </w:r>
          <w:r>
            <w:rPr>
              <w:sz w:val="28"/>
              <w:szCs w:val="28"/>
            </w:rPr>
            <w:fldChar w:fldCharType="begin"/>
          </w:r>
          <w:r>
            <w:rPr>
              <w:sz w:val="28"/>
              <w:szCs w:val="28"/>
            </w:rPr>
            <w:instrText xml:space="preserve"> PAGEREF _Toc30743 \h </w:instrText>
          </w:r>
          <w:r>
            <w:rPr>
              <w:sz w:val="28"/>
              <w:szCs w:val="28"/>
            </w:rPr>
            <w:fldChar w:fldCharType="separate"/>
          </w:r>
          <w:r>
            <w:rPr>
              <w:sz w:val="28"/>
              <w:szCs w:val="28"/>
            </w:rPr>
            <w:t>34</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068522B0">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_Toc839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highlight w:val="none"/>
              <w:lang w:val="en-US" w:eastAsia="zh-CN"/>
            </w:rPr>
            <w:t>3.生态效益</w:t>
          </w:r>
          <w:r>
            <w:rPr>
              <w:sz w:val="28"/>
              <w:szCs w:val="28"/>
            </w:rPr>
            <w:tab/>
          </w:r>
          <w:r>
            <w:rPr>
              <w:sz w:val="28"/>
              <w:szCs w:val="28"/>
            </w:rPr>
            <w:fldChar w:fldCharType="begin"/>
          </w:r>
          <w:r>
            <w:rPr>
              <w:sz w:val="28"/>
              <w:szCs w:val="28"/>
            </w:rPr>
            <w:instrText xml:space="preserve"> PAGEREF _Toc839 \h </w:instrText>
          </w:r>
          <w:r>
            <w:rPr>
              <w:sz w:val="28"/>
              <w:szCs w:val="28"/>
            </w:rPr>
            <w:fldChar w:fldCharType="separate"/>
          </w:r>
          <w:r>
            <w:rPr>
              <w:sz w:val="28"/>
              <w:szCs w:val="28"/>
            </w:rPr>
            <w:t>39</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18AB86C7">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_Toc28639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highlight w:val="none"/>
              <w:lang w:val="en-US" w:eastAsia="zh-CN"/>
            </w:rPr>
            <w:t>4.可持续性发展效益</w:t>
          </w:r>
          <w:r>
            <w:rPr>
              <w:sz w:val="28"/>
              <w:szCs w:val="28"/>
            </w:rPr>
            <w:tab/>
          </w:r>
          <w:r>
            <w:rPr>
              <w:sz w:val="28"/>
              <w:szCs w:val="28"/>
            </w:rPr>
            <w:fldChar w:fldCharType="begin"/>
          </w:r>
          <w:r>
            <w:rPr>
              <w:sz w:val="28"/>
              <w:szCs w:val="28"/>
            </w:rPr>
            <w:instrText xml:space="preserve"> PAGEREF _Toc28639 \h </w:instrText>
          </w:r>
          <w:r>
            <w:rPr>
              <w:sz w:val="28"/>
              <w:szCs w:val="28"/>
            </w:rPr>
            <w:fldChar w:fldCharType="separate"/>
          </w:r>
          <w:r>
            <w:rPr>
              <w:sz w:val="28"/>
              <w:szCs w:val="28"/>
            </w:rPr>
            <w:t>42</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2D08D6C2">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_Toc13453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sz w:val="28"/>
              <w:szCs w:val="28"/>
              <w:highlight w:val="none"/>
              <w:lang w:val="en-US" w:eastAsia="zh-CN"/>
            </w:rPr>
            <w:t>5.满意度</w:t>
          </w:r>
          <w:r>
            <w:rPr>
              <w:sz w:val="28"/>
              <w:szCs w:val="28"/>
            </w:rPr>
            <w:tab/>
          </w:r>
          <w:r>
            <w:rPr>
              <w:sz w:val="28"/>
              <w:szCs w:val="28"/>
            </w:rPr>
            <w:fldChar w:fldCharType="begin"/>
          </w:r>
          <w:r>
            <w:rPr>
              <w:sz w:val="28"/>
              <w:szCs w:val="28"/>
            </w:rPr>
            <w:instrText xml:space="preserve"> PAGEREF _Toc13453 \h </w:instrText>
          </w:r>
          <w:r>
            <w:rPr>
              <w:sz w:val="28"/>
              <w:szCs w:val="28"/>
            </w:rPr>
            <w:fldChar w:fldCharType="separate"/>
          </w:r>
          <w:r>
            <w:rPr>
              <w:sz w:val="28"/>
              <w:szCs w:val="28"/>
            </w:rPr>
            <w:t>45</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2DAB7CE0">
          <w:pPr>
            <w:pStyle w:val="11"/>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_Toc26704 </w:instrText>
          </w:r>
          <w:r>
            <w:rPr>
              <w:rFonts w:hint="eastAsia" w:ascii="仿宋" w:hAnsi="仿宋" w:eastAsia="仿宋" w:cs="仿宋"/>
              <w:bCs/>
              <w:kern w:val="2"/>
              <w:sz w:val="28"/>
              <w:szCs w:val="28"/>
              <w:lang w:val="en-US" w:eastAsia="zh-CN"/>
            </w:rPr>
            <w:fldChar w:fldCharType="separate"/>
          </w:r>
          <w:r>
            <w:rPr>
              <w:rFonts w:hint="eastAsia" w:ascii="黑体" w:hAnsi="黑体" w:eastAsia="黑体" w:cs="黑体"/>
              <w:bCs/>
              <w:sz w:val="28"/>
              <w:szCs w:val="28"/>
              <w:lang w:val="en-US" w:eastAsia="zh-CN"/>
            </w:rPr>
            <w:t>五、主要问题及建议</w:t>
          </w:r>
          <w:r>
            <w:rPr>
              <w:sz w:val="28"/>
              <w:szCs w:val="28"/>
            </w:rPr>
            <w:tab/>
          </w:r>
          <w:r>
            <w:rPr>
              <w:sz w:val="28"/>
              <w:szCs w:val="28"/>
            </w:rPr>
            <w:fldChar w:fldCharType="begin"/>
          </w:r>
          <w:r>
            <w:rPr>
              <w:sz w:val="28"/>
              <w:szCs w:val="28"/>
            </w:rPr>
            <w:instrText xml:space="preserve"> PAGEREF _Toc26704 \h </w:instrText>
          </w:r>
          <w:r>
            <w:rPr>
              <w:sz w:val="28"/>
              <w:szCs w:val="28"/>
            </w:rPr>
            <w:fldChar w:fldCharType="separate"/>
          </w:r>
          <w:r>
            <w:rPr>
              <w:sz w:val="28"/>
              <w:szCs w:val="28"/>
            </w:rPr>
            <w:t>45</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13F71C8A">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_Toc9235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highlight w:val="none"/>
              <w:lang w:val="en-US" w:eastAsia="zh-CN"/>
            </w:rPr>
            <w:t>（一）主要问题</w:t>
          </w:r>
          <w:r>
            <w:rPr>
              <w:sz w:val="28"/>
              <w:szCs w:val="28"/>
            </w:rPr>
            <w:tab/>
          </w:r>
          <w:r>
            <w:rPr>
              <w:sz w:val="28"/>
              <w:szCs w:val="28"/>
            </w:rPr>
            <w:fldChar w:fldCharType="begin"/>
          </w:r>
          <w:r>
            <w:rPr>
              <w:sz w:val="28"/>
              <w:szCs w:val="28"/>
            </w:rPr>
            <w:instrText xml:space="preserve"> PAGEREF _Toc9235 \h </w:instrText>
          </w:r>
          <w:r>
            <w:rPr>
              <w:sz w:val="28"/>
              <w:szCs w:val="28"/>
            </w:rPr>
            <w:fldChar w:fldCharType="separate"/>
          </w:r>
          <w:r>
            <w:rPr>
              <w:sz w:val="28"/>
              <w:szCs w:val="28"/>
            </w:rPr>
            <w:t>45</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3260B413">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_Toc5720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kern w:val="0"/>
              <w:sz w:val="28"/>
              <w:szCs w:val="28"/>
              <w:highlight w:val="none"/>
              <w:lang w:val="en-US" w:eastAsia="zh-CN" w:bidi="ar-SA"/>
            </w:rPr>
            <w:t>1.项目进度严重滞后，关键环节推进受阻</w:t>
          </w:r>
          <w:r>
            <w:rPr>
              <w:sz w:val="28"/>
              <w:szCs w:val="28"/>
            </w:rPr>
            <w:tab/>
          </w:r>
          <w:r>
            <w:rPr>
              <w:sz w:val="28"/>
              <w:szCs w:val="28"/>
            </w:rPr>
            <w:fldChar w:fldCharType="begin"/>
          </w:r>
          <w:r>
            <w:rPr>
              <w:sz w:val="28"/>
              <w:szCs w:val="28"/>
            </w:rPr>
            <w:instrText xml:space="preserve"> PAGEREF _Toc5720 \h </w:instrText>
          </w:r>
          <w:r>
            <w:rPr>
              <w:sz w:val="28"/>
              <w:szCs w:val="28"/>
            </w:rPr>
            <w:fldChar w:fldCharType="separate"/>
          </w:r>
          <w:r>
            <w:rPr>
              <w:sz w:val="28"/>
              <w:szCs w:val="28"/>
            </w:rPr>
            <w:t>45</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46BDB94B">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_Toc3786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kern w:val="0"/>
              <w:sz w:val="28"/>
              <w:szCs w:val="28"/>
              <w:highlight w:val="none"/>
              <w:lang w:val="en-US" w:eastAsia="zh-CN" w:bidi="ar-SA"/>
            </w:rPr>
            <w:t>2.资金管理存在漏洞，使用效率与风险管控不足</w:t>
          </w:r>
          <w:r>
            <w:rPr>
              <w:sz w:val="28"/>
              <w:szCs w:val="28"/>
            </w:rPr>
            <w:tab/>
          </w:r>
          <w:r>
            <w:rPr>
              <w:sz w:val="28"/>
              <w:szCs w:val="28"/>
            </w:rPr>
            <w:fldChar w:fldCharType="begin"/>
          </w:r>
          <w:r>
            <w:rPr>
              <w:sz w:val="28"/>
              <w:szCs w:val="28"/>
            </w:rPr>
            <w:instrText xml:space="preserve"> PAGEREF _Toc3786 \h </w:instrText>
          </w:r>
          <w:r>
            <w:rPr>
              <w:sz w:val="28"/>
              <w:szCs w:val="28"/>
            </w:rPr>
            <w:fldChar w:fldCharType="separate"/>
          </w:r>
          <w:r>
            <w:rPr>
              <w:sz w:val="28"/>
              <w:szCs w:val="28"/>
            </w:rPr>
            <w:t>45</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465864F9">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_Toc14302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kern w:val="0"/>
              <w:sz w:val="28"/>
              <w:szCs w:val="28"/>
              <w:highlight w:val="none"/>
              <w:lang w:val="en-US" w:eastAsia="zh-CN" w:bidi="ar-SA"/>
            </w:rPr>
            <w:t>3.组织实施不规范，核心环节管控缺位</w:t>
          </w:r>
          <w:r>
            <w:rPr>
              <w:sz w:val="28"/>
              <w:szCs w:val="28"/>
            </w:rPr>
            <w:tab/>
          </w:r>
          <w:r>
            <w:rPr>
              <w:sz w:val="28"/>
              <w:szCs w:val="28"/>
            </w:rPr>
            <w:fldChar w:fldCharType="begin"/>
          </w:r>
          <w:r>
            <w:rPr>
              <w:sz w:val="28"/>
              <w:szCs w:val="28"/>
            </w:rPr>
            <w:instrText xml:space="preserve"> PAGEREF _Toc14302 \h </w:instrText>
          </w:r>
          <w:r>
            <w:rPr>
              <w:sz w:val="28"/>
              <w:szCs w:val="28"/>
            </w:rPr>
            <w:fldChar w:fldCharType="separate"/>
          </w:r>
          <w:r>
            <w:rPr>
              <w:sz w:val="28"/>
              <w:szCs w:val="28"/>
            </w:rPr>
            <w:t>46</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5B03A4FB">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_Toc17624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kern w:val="0"/>
              <w:sz w:val="28"/>
              <w:szCs w:val="28"/>
              <w:highlight w:val="none"/>
              <w:lang w:val="en-US" w:eastAsia="zh-CN" w:bidi="ar-SA"/>
            </w:rPr>
            <w:t>4.绩效目标设置不科学，指标明确性不足</w:t>
          </w:r>
          <w:r>
            <w:rPr>
              <w:sz w:val="28"/>
              <w:szCs w:val="28"/>
            </w:rPr>
            <w:tab/>
          </w:r>
          <w:r>
            <w:rPr>
              <w:sz w:val="28"/>
              <w:szCs w:val="28"/>
            </w:rPr>
            <w:fldChar w:fldCharType="begin"/>
          </w:r>
          <w:r>
            <w:rPr>
              <w:sz w:val="28"/>
              <w:szCs w:val="28"/>
            </w:rPr>
            <w:instrText xml:space="preserve"> PAGEREF _Toc17624 \h </w:instrText>
          </w:r>
          <w:r>
            <w:rPr>
              <w:sz w:val="28"/>
              <w:szCs w:val="28"/>
            </w:rPr>
            <w:fldChar w:fldCharType="separate"/>
          </w:r>
          <w:r>
            <w:rPr>
              <w:sz w:val="28"/>
              <w:szCs w:val="28"/>
            </w:rPr>
            <w:t>47</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13622002">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_Toc1786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highlight w:val="none"/>
              <w:lang w:val="en-US" w:eastAsia="zh-CN"/>
            </w:rPr>
            <w:t>（二）有关建议</w:t>
          </w:r>
          <w:r>
            <w:rPr>
              <w:sz w:val="28"/>
              <w:szCs w:val="28"/>
            </w:rPr>
            <w:tab/>
          </w:r>
          <w:r>
            <w:rPr>
              <w:sz w:val="28"/>
              <w:szCs w:val="28"/>
            </w:rPr>
            <w:fldChar w:fldCharType="begin"/>
          </w:r>
          <w:r>
            <w:rPr>
              <w:sz w:val="28"/>
              <w:szCs w:val="28"/>
            </w:rPr>
            <w:instrText xml:space="preserve"> PAGEREF _Toc1786 \h </w:instrText>
          </w:r>
          <w:r>
            <w:rPr>
              <w:sz w:val="28"/>
              <w:szCs w:val="28"/>
            </w:rPr>
            <w:fldChar w:fldCharType="separate"/>
          </w:r>
          <w:r>
            <w:rPr>
              <w:sz w:val="28"/>
              <w:szCs w:val="28"/>
            </w:rPr>
            <w:t>47</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06723ADD">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_Toc16463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kern w:val="0"/>
              <w:sz w:val="28"/>
              <w:szCs w:val="28"/>
              <w:highlight w:val="none"/>
              <w:lang w:val="en-US" w:eastAsia="zh-CN" w:bidi="ar-SA"/>
            </w:rPr>
            <w:t>1.</w:t>
          </w:r>
          <w:r>
            <w:rPr>
              <w:rFonts w:hint="default" w:ascii="仿宋_GB2312" w:hAnsi="仿宋_GB2312" w:eastAsia="仿宋_GB2312" w:cs="仿宋_GB2312"/>
              <w:kern w:val="0"/>
              <w:sz w:val="28"/>
              <w:szCs w:val="28"/>
              <w:highlight w:val="none"/>
              <w:lang w:val="en-US" w:eastAsia="zh-CN" w:bidi="ar-SA"/>
            </w:rPr>
            <w:t>强化进度管控，推动项目高效落地</w:t>
          </w:r>
          <w:r>
            <w:rPr>
              <w:sz w:val="28"/>
              <w:szCs w:val="28"/>
            </w:rPr>
            <w:tab/>
          </w:r>
          <w:r>
            <w:rPr>
              <w:sz w:val="28"/>
              <w:szCs w:val="28"/>
            </w:rPr>
            <w:fldChar w:fldCharType="begin"/>
          </w:r>
          <w:r>
            <w:rPr>
              <w:sz w:val="28"/>
              <w:szCs w:val="28"/>
            </w:rPr>
            <w:instrText xml:space="preserve"> PAGEREF _Toc16463 \h </w:instrText>
          </w:r>
          <w:r>
            <w:rPr>
              <w:sz w:val="28"/>
              <w:szCs w:val="28"/>
            </w:rPr>
            <w:fldChar w:fldCharType="separate"/>
          </w:r>
          <w:r>
            <w:rPr>
              <w:sz w:val="28"/>
              <w:szCs w:val="28"/>
            </w:rPr>
            <w:t>47</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55C60800">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_Toc9298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kern w:val="0"/>
              <w:sz w:val="28"/>
              <w:szCs w:val="28"/>
              <w:highlight w:val="none"/>
              <w:lang w:val="en-US" w:eastAsia="zh-CN" w:bidi="ar-SA"/>
            </w:rPr>
            <w:t>2.</w:t>
          </w:r>
          <w:r>
            <w:rPr>
              <w:rFonts w:hint="default" w:ascii="仿宋_GB2312" w:hAnsi="仿宋_GB2312" w:eastAsia="仿宋_GB2312" w:cs="仿宋_GB2312"/>
              <w:kern w:val="0"/>
              <w:sz w:val="28"/>
              <w:szCs w:val="28"/>
              <w:highlight w:val="none"/>
              <w:lang w:val="en-US" w:eastAsia="zh-CN" w:bidi="ar-SA"/>
            </w:rPr>
            <w:t>优化资金管理，提升使用效率与风险防控能力</w:t>
          </w:r>
          <w:r>
            <w:rPr>
              <w:sz w:val="28"/>
              <w:szCs w:val="28"/>
            </w:rPr>
            <w:tab/>
          </w:r>
          <w:r>
            <w:rPr>
              <w:sz w:val="28"/>
              <w:szCs w:val="28"/>
            </w:rPr>
            <w:fldChar w:fldCharType="begin"/>
          </w:r>
          <w:r>
            <w:rPr>
              <w:sz w:val="28"/>
              <w:szCs w:val="28"/>
            </w:rPr>
            <w:instrText xml:space="preserve"> PAGEREF _Toc9298 \h </w:instrText>
          </w:r>
          <w:r>
            <w:rPr>
              <w:sz w:val="28"/>
              <w:szCs w:val="28"/>
            </w:rPr>
            <w:fldChar w:fldCharType="separate"/>
          </w:r>
          <w:r>
            <w:rPr>
              <w:sz w:val="28"/>
              <w:szCs w:val="28"/>
            </w:rPr>
            <w:t>47</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4C82B158">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_Toc23220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kern w:val="0"/>
              <w:sz w:val="28"/>
              <w:szCs w:val="28"/>
              <w:highlight w:val="none"/>
              <w:lang w:val="en-US" w:eastAsia="zh-CN" w:bidi="ar-SA"/>
            </w:rPr>
            <w:t>3.</w:t>
          </w:r>
          <w:r>
            <w:rPr>
              <w:rFonts w:hint="default" w:ascii="仿宋_GB2312" w:hAnsi="仿宋_GB2312" w:eastAsia="仿宋_GB2312" w:cs="仿宋_GB2312"/>
              <w:kern w:val="0"/>
              <w:sz w:val="28"/>
              <w:szCs w:val="28"/>
              <w:highlight w:val="none"/>
              <w:lang w:val="en-US" w:eastAsia="zh-CN" w:bidi="ar-SA"/>
            </w:rPr>
            <w:t>规范组织实施，筑牢项目管理基础</w:t>
          </w:r>
          <w:r>
            <w:rPr>
              <w:sz w:val="28"/>
              <w:szCs w:val="28"/>
            </w:rPr>
            <w:tab/>
          </w:r>
          <w:r>
            <w:rPr>
              <w:sz w:val="28"/>
              <w:szCs w:val="28"/>
            </w:rPr>
            <w:fldChar w:fldCharType="begin"/>
          </w:r>
          <w:r>
            <w:rPr>
              <w:sz w:val="28"/>
              <w:szCs w:val="28"/>
            </w:rPr>
            <w:instrText xml:space="preserve"> PAGEREF _Toc23220 \h </w:instrText>
          </w:r>
          <w:r>
            <w:rPr>
              <w:sz w:val="28"/>
              <w:szCs w:val="28"/>
            </w:rPr>
            <w:fldChar w:fldCharType="separate"/>
          </w:r>
          <w:r>
            <w:rPr>
              <w:sz w:val="28"/>
              <w:szCs w:val="28"/>
            </w:rPr>
            <w:t>48</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17115A84">
          <w:pPr>
            <w:pStyle w:val="8"/>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_Toc6399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kern w:val="0"/>
              <w:sz w:val="28"/>
              <w:szCs w:val="28"/>
              <w:highlight w:val="none"/>
              <w:lang w:val="en-US" w:eastAsia="zh-CN" w:bidi="ar-SA"/>
            </w:rPr>
            <w:t>4.</w:t>
          </w:r>
          <w:r>
            <w:rPr>
              <w:rFonts w:hint="default" w:ascii="仿宋_GB2312" w:hAnsi="仿宋_GB2312" w:eastAsia="仿宋_GB2312" w:cs="仿宋_GB2312"/>
              <w:kern w:val="0"/>
              <w:sz w:val="28"/>
              <w:szCs w:val="28"/>
              <w:highlight w:val="none"/>
              <w:lang w:val="en-US" w:eastAsia="zh-CN" w:bidi="ar-SA"/>
            </w:rPr>
            <w:t>完善绩效目标，提升指标科学性与可操作性</w:t>
          </w:r>
          <w:r>
            <w:rPr>
              <w:sz w:val="28"/>
              <w:szCs w:val="28"/>
            </w:rPr>
            <w:tab/>
          </w:r>
          <w:r>
            <w:rPr>
              <w:sz w:val="28"/>
              <w:szCs w:val="28"/>
            </w:rPr>
            <w:fldChar w:fldCharType="begin"/>
          </w:r>
          <w:r>
            <w:rPr>
              <w:sz w:val="28"/>
              <w:szCs w:val="28"/>
            </w:rPr>
            <w:instrText xml:space="preserve"> PAGEREF _Toc6399 \h </w:instrText>
          </w:r>
          <w:r>
            <w:rPr>
              <w:sz w:val="28"/>
              <w:szCs w:val="28"/>
            </w:rPr>
            <w:fldChar w:fldCharType="separate"/>
          </w:r>
          <w:r>
            <w:rPr>
              <w:sz w:val="28"/>
              <w:szCs w:val="28"/>
            </w:rPr>
            <w:t>48</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30F7EF3C">
          <w:pPr>
            <w:pStyle w:val="11"/>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_Toc24507 </w:instrText>
          </w:r>
          <w:r>
            <w:rPr>
              <w:rFonts w:hint="eastAsia" w:ascii="仿宋" w:hAnsi="仿宋" w:eastAsia="仿宋" w:cs="仿宋"/>
              <w:bCs/>
              <w:kern w:val="2"/>
              <w:sz w:val="28"/>
              <w:szCs w:val="28"/>
              <w:lang w:val="en-US" w:eastAsia="zh-CN"/>
            </w:rPr>
            <w:fldChar w:fldCharType="separate"/>
          </w:r>
          <w:r>
            <w:rPr>
              <w:rFonts w:hint="eastAsia" w:ascii="黑体" w:hAnsi="黑体" w:eastAsia="黑体" w:cs="黑体"/>
              <w:bCs/>
              <w:sz w:val="28"/>
              <w:szCs w:val="28"/>
              <w:lang w:val="en-US" w:eastAsia="zh-CN"/>
            </w:rPr>
            <w:t>六、附件</w:t>
          </w:r>
          <w:r>
            <w:rPr>
              <w:sz w:val="28"/>
              <w:szCs w:val="28"/>
            </w:rPr>
            <w:tab/>
          </w:r>
          <w:r>
            <w:rPr>
              <w:sz w:val="28"/>
              <w:szCs w:val="28"/>
            </w:rPr>
            <w:fldChar w:fldCharType="begin"/>
          </w:r>
          <w:r>
            <w:rPr>
              <w:sz w:val="28"/>
              <w:szCs w:val="28"/>
            </w:rPr>
            <w:instrText xml:space="preserve"> PAGEREF _Toc24507 \h </w:instrText>
          </w:r>
          <w:r>
            <w:rPr>
              <w:sz w:val="28"/>
              <w:szCs w:val="28"/>
            </w:rPr>
            <w:fldChar w:fldCharType="separate"/>
          </w:r>
          <w:r>
            <w:rPr>
              <w:sz w:val="28"/>
              <w:szCs w:val="28"/>
            </w:rPr>
            <w:t>49</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7B991374">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_Toc21726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2"/>
              <w:sz w:val="28"/>
              <w:szCs w:val="28"/>
              <w:lang w:val="en-US" w:eastAsia="zh-CN" w:bidi="ar-SA"/>
            </w:rPr>
            <w:t>附件1 石狮市高标准农田建设（一期）“五化”示范项目事中绩效评价指标体系评分表</w:t>
          </w:r>
          <w:r>
            <w:rPr>
              <w:sz w:val="28"/>
              <w:szCs w:val="28"/>
            </w:rPr>
            <w:tab/>
          </w:r>
          <w:r>
            <w:rPr>
              <w:sz w:val="28"/>
              <w:szCs w:val="28"/>
            </w:rPr>
            <w:fldChar w:fldCharType="begin"/>
          </w:r>
          <w:r>
            <w:rPr>
              <w:sz w:val="28"/>
              <w:szCs w:val="28"/>
            </w:rPr>
            <w:instrText xml:space="preserve"> PAGEREF _Toc21726 \h </w:instrText>
          </w:r>
          <w:r>
            <w:rPr>
              <w:sz w:val="28"/>
              <w:szCs w:val="28"/>
            </w:rPr>
            <w:fldChar w:fldCharType="separate"/>
          </w:r>
          <w:r>
            <w:rPr>
              <w:sz w:val="28"/>
              <w:szCs w:val="28"/>
            </w:rPr>
            <w:t>50</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47E82057">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_Toc28385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2"/>
              <w:sz w:val="28"/>
              <w:szCs w:val="28"/>
              <w:lang w:val="en-US" w:eastAsia="zh-CN" w:bidi="ar-SA"/>
            </w:rPr>
            <w:t>附件2 问卷调查</w:t>
          </w:r>
          <w:r>
            <w:rPr>
              <w:sz w:val="28"/>
              <w:szCs w:val="28"/>
            </w:rPr>
            <w:tab/>
          </w:r>
          <w:r>
            <w:rPr>
              <w:sz w:val="28"/>
              <w:szCs w:val="28"/>
            </w:rPr>
            <w:fldChar w:fldCharType="begin"/>
          </w:r>
          <w:r>
            <w:rPr>
              <w:sz w:val="28"/>
              <w:szCs w:val="28"/>
            </w:rPr>
            <w:instrText xml:space="preserve"> PAGEREF _Toc28385 \h </w:instrText>
          </w:r>
          <w:r>
            <w:rPr>
              <w:sz w:val="28"/>
              <w:szCs w:val="28"/>
            </w:rPr>
            <w:fldChar w:fldCharType="separate"/>
          </w:r>
          <w:r>
            <w:rPr>
              <w:sz w:val="28"/>
              <w:szCs w:val="28"/>
            </w:rPr>
            <w:t>58</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176F04B4">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rPr>
              <w:sz w:val="28"/>
              <w:szCs w:val="28"/>
            </w:rPr>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_Toc29764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2"/>
              <w:sz w:val="28"/>
              <w:szCs w:val="28"/>
              <w:lang w:val="en-US" w:eastAsia="zh-CN" w:bidi="ar-SA"/>
            </w:rPr>
            <w:t>附件3 编制单位签章</w:t>
          </w:r>
          <w:r>
            <w:rPr>
              <w:sz w:val="28"/>
              <w:szCs w:val="28"/>
            </w:rPr>
            <w:tab/>
          </w:r>
          <w:r>
            <w:rPr>
              <w:sz w:val="28"/>
              <w:szCs w:val="28"/>
            </w:rPr>
            <w:fldChar w:fldCharType="begin"/>
          </w:r>
          <w:r>
            <w:rPr>
              <w:sz w:val="28"/>
              <w:szCs w:val="28"/>
            </w:rPr>
            <w:instrText xml:space="preserve"> PAGEREF _Toc29764 \h </w:instrText>
          </w:r>
          <w:r>
            <w:rPr>
              <w:sz w:val="28"/>
              <w:szCs w:val="28"/>
            </w:rPr>
            <w:fldChar w:fldCharType="separate"/>
          </w:r>
          <w:r>
            <w:rPr>
              <w:sz w:val="28"/>
              <w:szCs w:val="28"/>
            </w:rPr>
            <w:t>61</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509F177F">
          <w:pPr>
            <w:pStyle w:val="12"/>
            <w:keepNext w:val="0"/>
            <w:keepLines w:val="0"/>
            <w:pageBreakBefore w:val="0"/>
            <w:widowControl w:val="0"/>
            <w:tabs>
              <w:tab w:val="right" w:leader="dot" w:pos="8800"/>
            </w:tabs>
            <w:kinsoku/>
            <w:wordWrap/>
            <w:overflowPunct/>
            <w:topLinePunct w:val="0"/>
            <w:autoSpaceDE/>
            <w:autoSpaceDN/>
            <w:bidi w:val="0"/>
            <w:adjustRightInd/>
            <w:snapToGrid/>
            <w:spacing w:line="560" w:lineRule="exact"/>
            <w:textAlignment w:val="auto"/>
          </w:pPr>
          <w:r>
            <w:rPr>
              <w:rFonts w:hint="eastAsia" w:ascii="仿宋" w:hAnsi="仿宋" w:eastAsia="仿宋" w:cs="仿宋"/>
              <w:bCs/>
              <w:color w:val="FF0000"/>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_Toc27335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2"/>
              <w:sz w:val="28"/>
              <w:szCs w:val="28"/>
              <w:lang w:val="en-US" w:eastAsia="zh-CN" w:bidi="ar-SA"/>
            </w:rPr>
            <w:t>附件4 编制单位营业执照</w:t>
          </w:r>
          <w:r>
            <w:rPr>
              <w:sz w:val="28"/>
              <w:szCs w:val="28"/>
            </w:rPr>
            <w:tab/>
          </w:r>
          <w:r>
            <w:rPr>
              <w:sz w:val="28"/>
              <w:szCs w:val="28"/>
            </w:rPr>
            <w:fldChar w:fldCharType="begin"/>
          </w:r>
          <w:r>
            <w:rPr>
              <w:sz w:val="28"/>
              <w:szCs w:val="28"/>
            </w:rPr>
            <w:instrText xml:space="preserve"> PAGEREF _Toc27335 \h </w:instrText>
          </w:r>
          <w:r>
            <w:rPr>
              <w:sz w:val="28"/>
              <w:szCs w:val="28"/>
            </w:rPr>
            <w:fldChar w:fldCharType="separate"/>
          </w:r>
          <w:r>
            <w:rPr>
              <w:sz w:val="28"/>
              <w:szCs w:val="28"/>
            </w:rPr>
            <w:t>62</w:t>
          </w:r>
          <w:r>
            <w:rPr>
              <w:sz w:val="28"/>
              <w:szCs w:val="28"/>
            </w:rPr>
            <w:fldChar w:fldCharType="end"/>
          </w:r>
          <w:r>
            <w:rPr>
              <w:rFonts w:hint="eastAsia" w:ascii="仿宋" w:hAnsi="仿宋" w:eastAsia="仿宋" w:cs="仿宋"/>
              <w:bCs/>
              <w:color w:val="FF0000"/>
              <w:kern w:val="2"/>
              <w:sz w:val="28"/>
              <w:szCs w:val="28"/>
              <w:lang w:val="en-US" w:eastAsia="zh-CN"/>
            </w:rPr>
            <w:fldChar w:fldCharType="end"/>
          </w:r>
        </w:p>
        <w:p w14:paraId="16ACB025">
          <w:pPr>
            <w:pageBreakBefore w:val="0"/>
            <w:widowControl/>
            <w:kinsoku/>
            <w:wordWrap/>
            <w:overflowPunct/>
            <w:topLinePunct w:val="0"/>
            <w:autoSpaceDE/>
            <w:autoSpaceDN/>
            <w:bidi w:val="0"/>
            <w:adjustRightInd/>
            <w:snapToGrid/>
            <w:spacing w:before="0" w:beforeLines="0" w:after="0" w:afterLines="0" w:line="360" w:lineRule="auto"/>
            <w:ind w:left="0" w:leftChars="0" w:right="0" w:rightChars="0" w:firstLine="0" w:firstLineChars="0"/>
            <w:jc w:val="center"/>
            <w:textAlignment w:val="auto"/>
            <w:rPr>
              <w:rFonts w:hint="eastAsia" w:ascii="仿宋" w:hAnsi="仿宋" w:eastAsia="仿宋" w:cs="仿宋"/>
              <w:b/>
              <w:bCs/>
              <w:color w:val="auto"/>
              <w:kern w:val="2"/>
              <w:sz w:val="28"/>
              <w:szCs w:val="28"/>
              <w:lang w:val="en-US" w:eastAsia="zh-CN"/>
            </w:rPr>
            <w:sectPr>
              <w:headerReference r:id="rId5" w:type="default"/>
              <w:footerReference r:id="rId6" w:type="default"/>
              <w:footerReference r:id="rId7" w:type="even"/>
              <w:pgSz w:w="11906" w:h="16838"/>
              <w:pgMar w:top="1440" w:right="1587" w:bottom="1440" w:left="1519" w:header="851" w:footer="992" w:gutter="0"/>
              <w:pgNumType w:fmt="upperRoman" w:start="1"/>
              <w:cols w:space="425" w:num="1"/>
              <w:docGrid w:type="lines" w:linePitch="312" w:charSpace="0"/>
            </w:sectPr>
          </w:pPr>
          <w:r>
            <w:rPr>
              <w:rFonts w:hint="eastAsia" w:ascii="仿宋" w:hAnsi="仿宋" w:eastAsia="仿宋" w:cs="仿宋"/>
              <w:bCs/>
              <w:color w:val="FF0000"/>
              <w:kern w:val="2"/>
              <w:szCs w:val="28"/>
              <w:lang w:val="en-US" w:eastAsia="zh-CN"/>
            </w:rPr>
            <w:fldChar w:fldCharType="end"/>
          </w:r>
        </w:p>
      </w:sdtContent>
    </w:sdt>
    <w:p w14:paraId="4E59E5AA">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黑体" w:hAnsi="黑体" w:eastAsia="黑体" w:cs="黑体"/>
          <w:b/>
          <w:bCs/>
          <w:color w:val="auto"/>
          <w:sz w:val="32"/>
          <w:szCs w:val="32"/>
          <w:lang w:val="en-US" w:eastAsia="zh-CN"/>
        </w:rPr>
      </w:pPr>
      <w:bookmarkStart w:id="5" w:name="_Toc11864"/>
      <w:r>
        <w:rPr>
          <w:rFonts w:hint="eastAsia" w:ascii="黑体" w:hAnsi="黑体" w:eastAsia="黑体" w:cs="黑体"/>
          <w:b/>
          <w:bCs/>
          <w:color w:val="auto"/>
          <w:sz w:val="32"/>
          <w:szCs w:val="32"/>
          <w:lang w:val="en-US" w:eastAsia="zh-CN"/>
        </w:rPr>
        <w:t>前 言</w:t>
      </w:r>
      <w:bookmarkEnd w:id="0"/>
      <w:bookmarkEnd w:id="1"/>
      <w:bookmarkEnd w:id="2"/>
      <w:bookmarkEnd w:id="5"/>
    </w:p>
    <w:p w14:paraId="405E85A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bookmarkStart w:id="6" w:name="_Toc9199"/>
      <w:bookmarkStart w:id="7" w:name="_Toc6800"/>
      <w:bookmarkStart w:id="8" w:name="_Toc21368"/>
      <w:bookmarkStart w:id="9" w:name="_Toc1679"/>
      <w:bookmarkStart w:id="10" w:name="_Toc25464"/>
      <w:bookmarkStart w:id="11" w:name="_Toc15277"/>
      <w:bookmarkStart w:id="12" w:name="_Toc22601"/>
      <w:bookmarkStart w:id="13" w:name="_Toc29564"/>
      <w:bookmarkStart w:id="14" w:name="_Toc4659"/>
      <w:bookmarkStart w:id="15" w:name="_Toc5701"/>
      <w:bookmarkStart w:id="16" w:name="_Toc8309"/>
      <w:bookmarkStart w:id="17" w:name="_Toc28585"/>
      <w:r>
        <w:rPr>
          <w:rFonts w:hint="eastAsia" w:ascii="仿宋_GB2312" w:hAnsi="仿宋_GB2312" w:eastAsia="仿宋_GB2312" w:cs="仿宋_GB2312"/>
          <w:color w:val="auto"/>
          <w:kern w:val="0"/>
          <w:sz w:val="32"/>
          <w:szCs w:val="32"/>
          <w:highlight w:val="none"/>
          <w:lang w:val="en-US" w:eastAsia="zh-CN" w:bidi="ar-SA"/>
        </w:rPr>
        <w:t>为加强财政资金管理，强化支出责任，提高财政资金使用效益，建立科学、合理的财政支出绩效管理体系，为领导决策提供科学有力的依据，泉州市招标咨询中心地方财政绩效评价所受石狮市财政局的委托，组织专业人员成立项目支出事中绩效评价工作小组，根据《财政部关于印发〈项目支出绩效评价管理办法〉的通知》（财预〔2020〕10号）《中共中央 国务院关于全面实施预算绩效管理的意见》（中发〔2018〕34号）《福建省委、省政府关于全面实施预算绩效管理的实施意见》（闽委发〔2019〕5号）《福建省财政厅〈关于全面实施预算绩效管理若干措施〉的通知》（闽财绩〔2019〕2号）等有关文件要求，对石狮市高标准农田建设（一期）“五化”示范项目开展事中绩效评价工作，按照财政部《第三方机构预算绩效评价业务监督管理暂行办法》（财监〔2021〕4号）的要求，以第三方身份出具报告。我中心评价小组经过数据采集、书面资料审查、实地调研、社会调查和分析研究等必要的绩效评价程序，结合单位情况，在梳理、分析、研究评估数据资料的基础上，形成《石狮市高标准农田建设（一期）“五化”示范项目事中绩效评价报告》。</w:t>
      </w:r>
      <w:bookmarkEnd w:id="3"/>
      <w:bookmarkEnd w:id="4"/>
      <w:bookmarkEnd w:id="6"/>
      <w:bookmarkEnd w:id="7"/>
      <w:bookmarkEnd w:id="8"/>
      <w:bookmarkEnd w:id="9"/>
      <w:bookmarkEnd w:id="10"/>
      <w:bookmarkEnd w:id="11"/>
      <w:bookmarkEnd w:id="12"/>
      <w:bookmarkEnd w:id="13"/>
      <w:bookmarkEnd w:id="14"/>
      <w:bookmarkEnd w:id="15"/>
      <w:bookmarkEnd w:id="16"/>
      <w:bookmarkEnd w:id="17"/>
    </w:p>
    <w:p w14:paraId="21B1F532">
      <w:pPr>
        <w:pStyle w:val="20"/>
        <w:keepNext w:val="0"/>
        <w:keepLines w:val="0"/>
        <w:pageBreakBefore w:val="0"/>
        <w:shd w:val="clear" w:fill="FFFFFF" w:themeFill="background1"/>
        <w:kinsoku/>
        <w:wordWrap/>
        <w:topLinePunct w:val="0"/>
        <w:bidi w:val="0"/>
        <w:snapToGrid/>
        <w:spacing w:line="240" w:lineRule="auto"/>
        <w:ind w:left="0" w:leftChars="0" w:firstLine="0" w:firstLineChars="0"/>
        <w:jc w:val="center"/>
        <w:outlineLvl w:val="9"/>
        <w:rPr>
          <w:rFonts w:hint="eastAsia" w:ascii="仿宋_GB2312" w:hAnsi="仿宋_GB2312" w:eastAsia="仿宋_GB2312" w:cs="仿宋_GB2312"/>
          <w:color w:val="auto"/>
          <w:kern w:val="0"/>
          <w:sz w:val="32"/>
          <w:szCs w:val="32"/>
          <w:highlight w:val="none"/>
          <w:lang w:val="en-US" w:eastAsia="zh-CN" w:bidi="ar-SA"/>
        </w:rPr>
      </w:pPr>
    </w:p>
    <w:p w14:paraId="5A67CF9A">
      <w:pPr>
        <w:pStyle w:val="20"/>
        <w:keepNext w:val="0"/>
        <w:keepLines w:val="0"/>
        <w:pageBreakBefore w:val="0"/>
        <w:shd w:val="clear" w:fill="FFFFFF" w:themeFill="background1"/>
        <w:kinsoku/>
        <w:wordWrap/>
        <w:topLinePunct w:val="0"/>
        <w:bidi w:val="0"/>
        <w:snapToGrid/>
        <w:spacing w:line="240" w:lineRule="auto"/>
        <w:ind w:left="0" w:leftChars="0" w:firstLine="0" w:firstLineChars="0"/>
        <w:jc w:val="center"/>
        <w:outlineLvl w:val="9"/>
        <w:rPr>
          <w:rFonts w:hint="eastAsia" w:ascii="仿宋" w:hAnsi="仿宋" w:eastAsia="仿宋" w:cs="仿宋"/>
          <w:b/>
          <w:bCs/>
          <w:color w:val="auto"/>
          <w:sz w:val="44"/>
          <w:szCs w:val="44"/>
          <w:highlight w:val="none"/>
          <w:lang w:val="en-US" w:eastAsia="zh-CN"/>
        </w:rPr>
      </w:pPr>
    </w:p>
    <w:p w14:paraId="5B85BA5F">
      <w:pPr>
        <w:pStyle w:val="20"/>
        <w:keepNext w:val="0"/>
        <w:keepLines w:val="0"/>
        <w:pageBreakBefore w:val="0"/>
        <w:shd w:val="clear" w:fill="FFFFFF" w:themeFill="background1"/>
        <w:kinsoku/>
        <w:wordWrap/>
        <w:topLinePunct w:val="0"/>
        <w:bidi w:val="0"/>
        <w:snapToGrid/>
        <w:spacing w:line="240" w:lineRule="auto"/>
        <w:ind w:left="0" w:leftChars="0" w:firstLine="0" w:firstLineChars="0"/>
        <w:jc w:val="center"/>
        <w:outlineLvl w:val="9"/>
        <w:rPr>
          <w:rFonts w:hint="eastAsia" w:ascii="仿宋" w:hAnsi="仿宋" w:eastAsia="仿宋" w:cs="仿宋"/>
          <w:b/>
          <w:bCs/>
          <w:color w:val="auto"/>
          <w:sz w:val="44"/>
          <w:szCs w:val="44"/>
          <w:highlight w:val="none"/>
          <w:lang w:val="en-US" w:eastAsia="zh-CN"/>
        </w:rPr>
      </w:pPr>
    </w:p>
    <w:p w14:paraId="66DD6F13">
      <w:pPr>
        <w:pStyle w:val="20"/>
        <w:keepNext w:val="0"/>
        <w:keepLines w:val="0"/>
        <w:pageBreakBefore w:val="0"/>
        <w:shd w:val="clear" w:fill="FFFFFF" w:themeFill="background1"/>
        <w:kinsoku/>
        <w:wordWrap/>
        <w:topLinePunct w:val="0"/>
        <w:bidi w:val="0"/>
        <w:snapToGrid/>
        <w:spacing w:line="240" w:lineRule="auto"/>
        <w:ind w:left="0" w:leftChars="0" w:firstLine="0" w:firstLineChars="0"/>
        <w:jc w:val="center"/>
        <w:outlineLvl w:val="9"/>
        <w:rPr>
          <w:rFonts w:hint="eastAsia" w:ascii="仿宋" w:hAnsi="仿宋" w:eastAsia="仿宋" w:cs="仿宋"/>
          <w:b/>
          <w:bCs/>
          <w:color w:val="auto"/>
          <w:sz w:val="44"/>
          <w:szCs w:val="44"/>
          <w:highlight w:val="none"/>
          <w:lang w:val="en-US" w:eastAsia="zh-CN"/>
        </w:rPr>
      </w:pPr>
    </w:p>
    <w:p w14:paraId="502502EE">
      <w:pPr>
        <w:keepNext w:val="0"/>
        <w:keepLines w:val="0"/>
        <w:pageBreakBefore w:val="0"/>
        <w:kinsoku/>
        <w:wordWrap/>
        <w:topLinePunct w:val="0"/>
        <w:bidi w:val="0"/>
        <w:snapToGrid/>
        <w:spacing w:line="240" w:lineRule="auto"/>
        <w:jc w:val="center"/>
        <w:rPr>
          <w:rFonts w:hint="eastAsia" w:ascii="仿宋" w:hAnsi="仿宋" w:eastAsia="仿宋" w:cs="仿宋"/>
          <w:b/>
          <w:bCs/>
          <w:color w:val="auto"/>
          <w:sz w:val="44"/>
          <w:szCs w:val="44"/>
          <w:highlight w:val="none"/>
          <w:lang w:val="en-US" w:eastAsia="zh-CN"/>
        </w:rPr>
        <w:sectPr>
          <w:headerReference r:id="rId8" w:type="default"/>
          <w:footerReference r:id="rId10" w:type="default"/>
          <w:headerReference r:id="rId9" w:type="even"/>
          <w:footerReference r:id="rId11" w:type="even"/>
          <w:pgSz w:w="11906" w:h="16838"/>
          <w:pgMar w:top="1417" w:right="1474" w:bottom="1417" w:left="1587"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bookmarkStart w:id="18" w:name="_Toc4462"/>
    </w:p>
    <w:bookmarkEnd w:id="18"/>
    <w:p w14:paraId="59633863">
      <w:pPr>
        <w:pStyle w:val="20"/>
        <w:keepNext w:val="0"/>
        <w:keepLines w:val="0"/>
        <w:pageBreakBefore w:val="0"/>
        <w:shd w:val="clear" w:fill="FFFFFF" w:themeFill="background1"/>
        <w:kinsoku/>
        <w:wordWrap/>
        <w:topLinePunct w:val="0"/>
        <w:bidi w:val="0"/>
        <w:snapToGrid/>
        <w:spacing w:line="240" w:lineRule="auto"/>
        <w:ind w:left="0" w:leftChars="0" w:firstLine="0" w:firstLineChars="0"/>
        <w:jc w:val="center"/>
        <w:outlineLvl w:val="9"/>
        <w:rPr>
          <w:rFonts w:hint="eastAsia" w:ascii="黑体" w:hAnsi="黑体" w:eastAsia="黑体" w:cs="黑体"/>
          <w:b/>
          <w:bCs/>
          <w:color w:val="auto"/>
          <w:kern w:val="0"/>
          <w:sz w:val="32"/>
          <w:szCs w:val="32"/>
          <w:lang w:val="en-US" w:eastAsia="zh-CN" w:bidi="ar"/>
        </w:rPr>
      </w:pPr>
      <w:bookmarkStart w:id="19" w:name="_Toc18511"/>
      <w:bookmarkStart w:id="20" w:name="_Toc22025"/>
      <w:r>
        <w:rPr>
          <w:rFonts w:hint="eastAsia" w:ascii="黑体" w:hAnsi="黑体" w:eastAsia="黑体" w:cs="黑体"/>
          <w:b/>
          <w:bCs/>
          <w:color w:val="auto"/>
          <w:kern w:val="0"/>
          <w:sz w:val="32"/>
          <w:szCs w:val="32"/>
          <w:lang w:val="en-US" w:eastAsia="zh-CN" w:bidi="ar"/>
        </w:rPr>
        <w:t>报告正文</w:t>
      </w:r>
      <w:bookmarkEnd w:id="19"/>
      <w:bookmarkEnd w:id="20"/>
    </w:p>
    <w:p w14:paraId="2343F953">
      <w:pPr>
        <w:keepNext w:val="0"/>
        <w:keepLines w:val="0"/>
        <w:pageBreakBefore w:val="0"/>
        <w:widowControl w:val="0"/>
        <w:numPr>
          <w:ilvl w:val="0"/>
          <w:numId w:val="0"/>
        </w:numPr>
        <w:shd w:val="clear" w:fill="FFFFFF" w:themeFill="background1"/>
        <w:kinsoku/>
        <w:wordWrap/>
        <w:overflowPunct w:val="0"/>
        <w:topLinePunct w:val="0"/>
        <w:autoSpaceDE w:val="0"/>
        <w:autoSpaceDN w:val="0"/>
        <w:bidi w:val="0"/>
        <w:adjustRightInd w:val="0"/>
        <w:snapToGrid/>
        <w:spacing w:line="240" w:lineRule="auto"/>
        <w:ind w:firstLine="200" w:firstLineChars="200"/>
        <w:jc w:val="both"/>
        <w:textAlignment w:val="baseline"/>
        <w:outlineLvl w:val="9"/>
        <w:rPr>
          <w:rFonts w:hint="eastAsia" w:ascii="仿宋_GB2312" w:hAnsi="仿宋_GB2312" w:eastAsia="仿宋_GB2312" w:cs="仿宋_GB2312"/>
          <w:color w:val="auto"/>
          <w:kern w:val="2"/>
          <w:sz w:val="10"/>
          <w:szCs w:val="10"/>
          <w:lang w:val="en-US" w:eastAsia="zh-CN" w:bidi="ar-SA"/>
        </w:rPr>
      </w:pPr>
      <w:bookmarkStart w:id="21" w:name="_Toc12949"/>
      <w:bookmarkStart w:id="22" w:name="_Toc31225"/>
    </w:p>
    <w:p w14:paraId="56E7CCEC">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0"/>
        <w:rPr>
          <w:rFonts w:hint="eastAsia" w:ascii="黑体" w:hAnsi="黑体" w:eastAsia="黑体" w:cs="黑体"/>
          <w:b/>
          <w:bCs/>
          <w:color w:val="auto"/>
          <w:sz w:val="32"/>
          <w:szCs w:val="32"/>
          <w:lang w:val="en-US" w:eastAsia="zh-CN"/>
        </w:rPr>
      </w:pPr>
      <w:bookmarkStart w:id="23" w:name="_Toc5069"/>
      <w:r>
        <w:rPr>
          <w:rFonts w:hint="eastAsia" w:ascii="黑体" w:hAnsi="黑体" w:eastAsia="黑体" w:cs="黑体"/>
          <w:b/>
          <w:bCs/>
          <w:color w:val="auto"/>
          <w:sz w:val="32"/>
          <w:szCs w:val="32"/>
          <w:lang w:val="en-US" w:eastAsia="zh-CN"/>
        </w:rPr>
        <w:t>一、项目基本情况</w:t>
      </w:r>
      <w:bookmarkEnd w:id="21"/>
      <w:bookmarkEnd w:id="22"/>
      <w:bookmarkEnd w:id="23"/>
    </w:p>
    <w:p w14:paraId="59E755E9">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1"/>
        <w:rPr>
          <w:rFonts w:hint="eastAsia" w:ascii="仿宋_GB2312" w:hAnsi="仿宋_GB2312" w:eastAsia="仿宋_GB2312" w:cs="仿宋_GB2312"/>
          <w:color w:val="auto"/>
          <w:sz w:val="32"/>
          <w:szCs w:val="32"/>
          <w:lang w:val="en-US" w:eastAsia="zh-CN"/>
        </w:rPr>
      </w:pPr>
      <w:bookmarkStart w:id="24" w:name="_Toc32508"/>
      <w:bookmarkStart w:id="25" w:name="_Toc29193"/>
      <w:bookmarkStart w:id="26" w:name="_Toc28228"/>
      <w:r>
        <w:rPr>
          <w:rFonts w:hint="eastAsia" w:ascii="楷体_GB2312" w:hAnsi="楷体_GB2312" w:eastAsia="楷体_GB2312" w:cs="楷体_GB2312"/>
          <w:b/>
          <w:bCs/>
          <w:color w:val="auto"/>
          <w:sz w:val="32"/>
          <w:szCs w:val="32"/>
          <w:lang w:val="en-US" w:eastAsia="zh-CN"/>
        </w:rPr>
        <w:t>（一）项目</w:t>
      </w:r>
      <w:bookmarkEnd w:id="24"/>
      <w:bookmarkEnd w:id="25"/>
      <w:r>
        <w:rPr>
          <w:rFonts w:hint="eastAsia" w:ascii="楷体_GB2312" w:hAnsi="楷体_GB2312" w:eastAsia="楷体_GB2312" w:cs="楷体_GB2312"/>
          <w:b/>
          <w:bCs/>
          <w:color w:val="auto"/>
          <w:sz w:val="32"/>
          <w:szCs w:val="32"/>
          <w:lang w:val="en-US" w:eastAsia="zh-CN"/>
        </w:rPr>
        <w:t>背景</w:t>
      </w:r>
      <w:bookmarkEnd w:id="26"/>
    </w:p>
    <w:p w14:paraId="1BBB939F">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eastAsia" w:ascii="仿宋_GB2312" w:hAnsi="仿宋_GB2312" w:eastAsia="仿宋_GB2312" w:cs="仿宋_GB2312"/>
          <w:b/>
          <w:bCs/>
          <w:color w:val="auto"/>
          <w:sz w:val="32"/>
          <w:szCs w:val="32"/>
          <w:lang w:val="en-US" w:eastAsia="zh-CN"/>
        </w:rPr>
      </w:pPr>
      <w:bookmarkStart w:id="27" w:name="_Toc3080"/>
      <w:r>
        <w:rPr>
          <w:rFonts w:hint="eastAsia" w:ascii="仿宋_GB2312" w:hAnsi="仿宋_GB2312" w:eastAsia="仿宋_GB2312" w:cs="仿宋_GB2312"/>
          <w:b/>
          <w:bCs/>
          <w:color w:val="auto"/>
          <w:sz w:val="32"/>
          <w:szCs w:val="32"/>
          <w:lang w:val="en-US" w:eastAsia="zh-CN"/>
        </w:rPr>
        <w:t>1.贯彻国家及地方政策要求</w:t>
      </w:r>
      <w:bookmarkEnd w:id="27"/>
    </w:p>
    <w:p w14:paraId="7B67271B">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党中央、国务院高度重视“三农”问题，党的十九大提出乡村振兴战略，2018年中央及福建省印发的《乡村振兴战略规划（2018-2022年）》明确提出大规模推进高标准农田建设。为深入实施藏粮于地、藏粮于技战略，根据《国务院办公厅关于切实加强高标准农田建设提升国家粮食安全保障能力的意见》《福建省人民政府办公厅切实加强高标准农田建设提升粮食生产能力实施方案》等有关文件精神，石狮市编制了相关规划，推动高标准农田建设。</w:t>
      </w:r>
    </w:p>
    <w:p w14:paraId="370F96BC">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2"/>
        <w:rPr>
          <w:rFonts w:hint="default" w:ascii="仿宋_GB2312" w:hAnsi="仿宋_GB2312" w:eastAsia="仿宋_GB2312" w:cs="仿宋_GB2312"/>
          <w:b/>
          <w:bCs/>
          <w:color w:val="auto"/>
          <w:sz w:val="32"/>
          <w:szCs w:val="32"/>
          <w:lang w:val="en-US" w:eastAsia="zh-CN"/>
        </w:rPr>
      </w:pPr>
      <w:bookmarkStart w:id="28" w:name="_Toc560"/>
      <w:r>
        <w:rPr>
          <w:rFonts w:hint="eastAsia" w:ascii="仿宋_GB2312" w:hAnsi="仿宋_GB2312" w:eastAsia="仿宋_GB2312" w:cs="仿宋_GB2312"/>
          <w:b/>
          <w:bCs/>
          <w:color w:val="auto"/>
          <w:sz w:val="32"/>
          <w:szCs w:val="32"/>
          <w:lang w:val="en-US" w:eastAsia="zh-CN"/>
        </w:rPr>
        <w:t>2.解决土地资源及农田建设问题</w:t>
      </w:r>
      <w:bookmarkEnd w:id="28"/>
    </w:p>
    <w:p w14:paraId="43A9DE31">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石狮市人口众多，人均土地面积少，域内产业密集，土地资源约束明显。早期建设的高标准农田大多位于基础条件较好、相对连片的区域，剩余待建耕地基础条件较差、分布零散、面积碎小，耕地细片化问题较突出。同时，已建农田质量不平衡，受自然灾害破坏、建后管护差强人意等因素影响，部分已建成高标准农田存在建设标准低、工程老化、设施不配套、地力下降、抗灾减灾能力不强等问题，迫切需要开展改造提升。</w:t>
      </w:r>
    </w:p>
    <w:p w14:paraId="7F79A357">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2"/>
        <w:rPr>
          <w:rFonts w:hint="default" w:ascii="仿宋_GB2312" w:hAnsi="仿宋_GB2312" w:eastAsia="仿宋_GB2312" w:cs="仿宋_GB2312"/>
          <w:b/>
          <w:bCs/>
          <w:color w:val="auto"/>
          <w:sz w:val="32"/>
          <w:szCs w:val="32"/>
          <w:lang w:val="en-US" w:eastAsia="zh-CN"/>
        </w:rPr>
      </w:pPr>
      <w:bookmarkStart w:id="29" w:name="_Toc27785"/>
      <w:r>
        <w:rPr>
          <w:rFonts w:hint="eastAsia" w:ascii="仿宋_GB2312" w:hAnsi="仿宋_GB2312" w:eastAsia="仿宋_GB2312" w:cs="仿宋_GB2312"/>
          <w:b/>
          <w:bCs/>
          <w:color w:val="auto"/>
          <w:sz w:val="32"/>
          <w:szCs w:val="32"/>
          <w:lang w:val="en-US" w:eastAsia="zh-CN"/>
        </w:rPr>
        <w:t>3.响应泉州市相关建设方案</w:t>
      </w:r>
      <w:bookmarkEnd w:id="29"/>
    </w:p>
    <w:p w14:paraId="068DE07F">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泉州市人民政府办公室关于印发泉州市2024年高标准农田“连片整治・千亩良田”示范片建设实施方案的通知》印发，旨在落实全面推进乡村振兴，加快实现农业农村现代化的战略部署，强化农业基础设施建设，实现耕地高效利用、科学管理，保障农民增收。方案提出进一步推进农田标准化建设、土地规模化流转、农田生态化改造、农业产业化发展，打造一批灌排化、机耕化、生态化、田园化、数字化的“五化”高标准农田典型示范样板，石狮市的项目正是对这一方案的响应。</w:t>
      </w:r>
    </w:p>
    <w:p w14:paraId="47F5F6E7">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3" w:firstLineChars="200"/>
        <w:jc w:val="both"/>
        <w:textAlignment w:val="auto"/>
        <w:outlineLvl w:val="9"/>
        <w:rPr>
          <w:rFonts w:hint="eastAsia" w:ascii="仿宋_GB2312" w:hAnsi="仿宋_GB2312" w:eastAsia="仿宋_GB2312" w:cs="仿宋_GB2312"/>
          <w:b/>
          <w:bCs/>
          <w:color w:val="auto"/>
          <w:sz w:val="32"/>
          <w:szCs w:val="32"/>
          <w:lang w:val="en-US" w:eastAsia="zh-CN"/>
        </w:rPr>
      </w:pPr>
      <w:r>
        <w:rPr>
          <w:rFonts w:hint="eastAsia" w:ascii="仿宋_GB2312" w:hAnsi="仿宋_GB2312" w:eastAsia="仿宋_GB2312" w:cs="仿宋_GB2312"/>
          <w:b/>
          <w:bCs/>
          <w:color w:val="auto"/>
          <w:sz w:val="32"/>
          <w:szCs w:val="32"/>
          <w:lang w:val="en-US" w:eastAsia="zh-CN"/>
        </w:rPr>
        <w:t>4.推动当地田园风光综合体建设</w:t>
      </w:r>
    </w:p>
    <w:p w14:paraId="2152EA95">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石狮市贯彻落实泉州市“千万工程”经验现场会精神和“一县一溪一特色”田园风光建设指导意见要求，围绕“一园”“一带”“三环”“五心”“五轴”“四片区”的核心空间布局，打造空间层次丰富的滨海田园风光综合体，助力共同富裕先行区建设。高标准农田“五化”示范片建设项目是该综合体建设的重要组成部分。</w:t>
      </w:r>
    </w:p>
    <w:p w14:paraId="5281CC77">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1"/>
        <w:rPr>
          <w:rFonts w:hint="default" w:ascii="楷体_GB2312" w:hAnsi="楷体_GB2312" w:eastAsia="楷体_GB2312" w:cs="楷体_GB2312"/>
          <w:b/>
          <w:bCs/>
          <w:color w:val="auto"/>
          <w:sz w:val="32"/>
          <w:szCs w:val="32"/>
          <w:lang w:val="en-US" w:eastAsia="zh-CN"/>
        </w:rPr>
      </w:pPr>
      <w:bookmarkStart w:id="30" w:name="_Toc21883"/>
      <w:bookmarkStart w:id="31" w:name="_Toc12380"/>
      <w:bookmarkStart w:id="32" w:name="_Toc23177"/>
      <w:bookmarkStart w:id="33" w:name="_Toc22365"/>
      <w:bookmarkStart w:id="34" w:name="_Toc19104"/>
      <w:bookmarkStart w:id="35" w:name="_Toc7295"/>
      <w:bookmarkStart w:id="36" w:name="_Toc11322"/>
      <w:bookmarkStart w:id="37" w:name="_Toc12683"/>
      <w:r>
        <w:rPr>
          <w:rFonts w:hint="eastAsia" w:ascii="楷体_GB2312" w:hAnsi="楷体_GB2312" w:eastAsia="楷体_GB2312" w:cs="楷体_GB2312"/>
          <w:b/>
          <w:bCs/>
          <w:color w:val="auto"/>
          <w:sz w:val="32"/>
          <w:szCs w:val="32"/>
          <w:lang w:val="en-US" w:eastAsia="zh-CN"/>
        </w:rPr>
        <w:t>（二）项目内容</w:t>
      </w:r>
      <w:bookmarkEnd w:id="30"/>
    </w:p>
    <w:bookmarkEnd w:id="31"/>
    <w:bookmarkEnd w:id="32"/>
    <w:bookmarkEnd w:id="33"/>
    <w:bookmarkEnd w:id="34"/>
    <w:p w14:paraId="727CF980">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通过完善农田基础设施，建设高标准农田“灌排化、机械化、生态化、田园化、数字化”基础设施，促进农业农村现代化。项目具体内容如下：</w:t>
      </w:r>
      <w:bookmarkEnd w:id="35"/>
      <w:bookmarkEnd w:id="36"/>
      <w:bookmarkEnd w:id="37"/>
      <w:bookmarkStart w:id="38" w:name="_Toc32352"/>
    </w:p>
    <w:p w14:paraId="734F8C30">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仿宋" w:hAnsi="仿宋" w:eastAsia="仿宋" w:cs="仿宋"/>
          <w:b/>
          <w:bCs/>
          <w:color w:val="auto"/>
          <w:kern w:val="0"/>
          <w:sz w:val="28"/>
          <w:szCs w:val="28"/>
          <w:highlight w:val="none"/>
          <w:lang w:val="en-US" w:eastAsia="zh-CN" w:bidi="ar-SA"/>
        </w:rPr>
      </w:pPr>
      <w:r>
        <w:rPr>
          <w:rFonts w:hint="eastAsia" w:ascii="仿宋" w:hAnsi="仿宋" w:eastAsia="仿宋" w:cs="仿宋"/>
          <w:b/>
          <w:bCs/>
          <w:color w:val="auto"/>
          <w:kern w:val="0"/>
          <w:sz w:val="28"/>
          <w:szCs w:val="28"/>
          <w:highlight w:val="none"/>
          <w:lang w:val="en-US" w:eastAsia="zh-CN" w:bidi="ar-SA"/>
        </w:rPr>
        <w:t>表1 项目建设内容</w:t>
      </w:r>
    </w:p>
    <w:tbl>
      <w:tblPr>
        <w:tblStyle w:val="15"/>
        <w:tblW w:w="92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1737"/>
        <w:gridCol w:w="1980"/>
        <w:gridCol w:w="5581"/>
      </w:tblGrid>
      <w:tr w14:paraId="1DACF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94" w:hRule="atLeast"/>
          <w:tblHeader/>
          <w:jc w:val="center"/>
        </w:trPr>
        <w:tc>
          <w:tcPr>
            <w:tcW w:w="1737" w:type="dxa"/>
            <w:shd w:val="clear" w:color="auto" w:fill="D7D7D7" w:themeFill="background1" w:themeFillShade="D8"/>
            <w:tcMar>
              <w:top w:w="60" w:type="dxa"/>
              <w:left w:w="120" w:type="dxa"/>
              <w:bottom w:w="30" w:type="dxa"/>
              <w:right w:w="120" w:type="dxa"/>
            </w:tcMar>
            <w:vAlign w:val="center"/>
          </w:tcPr>
          <w:p w14:paraId="1622569A">
            <w:pPr>
              <w:keepNext w:val="0"/>
              <w:keepLines w:val="0"/>
              <w:widowControl/>
              <w:suppressLineNumbers w:val="0"/>
              <w:jc w:val="center"/>
              <w:textAlignment w:val="center"/>
              <w:rPr>
                <w:rFonts w:hint="eastAsia" w:ascii="仿宋" w:hAnsi="仿宋" w:eastAsia="仿宋" w:cs="仿宋"/>
                <w:b/>
                <w:bCs/>
                <w:i w:val="0"/>
                <w:iCs w:val="0"/>
                <w:color w:val="000000"/>
                <w:kern w:val="0"/>
                <w:sz w:val="28"/>
                <w:szCs w:val="28"/>
                <w:u w:val="none"/>
                <w:lang w:val="en-US" w:eastAsia="zh-CN" w:bidi="ar"/>
              </w:rPr>
            </w:pPr>
            <w:r>
              <w:rPr>
                <w:rFonts w:hint="eastAsia" w:ascii="仿宋" w:hAnsi="仿宋" w:eastAsia="仿宋" w:cs="仿宋"/>
                <w:b/>
                <w:bCs/>
                <w:i w:val="0"/>
                <w:iCs w:val="0"/>
                <w:color w:val="000000"/>
                <w:kern w:val="0"/>
                <w:sz w:val="28"/>
                <w:szCs w:val="28"/>
                <w:u w:val="none"/>
                <w:lang w:val="en-US" w:eastAsia="zh-CN" w:bidi="ar"/>
              </w:rPr>
              <w:t>工程类别</w:t>
            </w:r>
          </w:p>
        </w:tc>
        <w:tc>
          <w:tcPr>
            <w:tcW w:w="1980" w:type="dxa"/>
            <w:shd w:val="clear" w:color="auto" w:fill="D7D7D7" w:themeFill="background1" w:themeFillShade="D8"/>
            <w:tcMar>
              <w:top w:w="60" w:type="dxa"/>
              <w:left w:w="120" w:type="dxa"/>
              <w:bottom w:w="30" w:type="dxa"/>
              <w:right w:w="120" w:type="dxa"/>
            </w:tcMar>
            <w:vAlign w:val="center"/>
          </w:tcPr>
          <w:p w14:paraId="67272F01">
            <w:pPr>
              <w:keepNext w:val="0"/>
              <w:keepLines w:val="0"/>
              <w:widowControl/>
              <w:suppressLineNumbers w:val="0"/>
              <w:jc w:val="center"/>
              <w:textAlignment w:val="center"/>
              <w:rPr>
                <w:rFonts w:hint="eastAsia" w:ascii="仿宋" w:hAnsi="仿宋" w:eastAsia="仿宋" w:cs="仿宋"/>
                <w:b/>
                <w:bCs/>
                <w:i w:val="0"/>
                <w:iCs w:val="0"/>
                <w:color w:val="000000"/>
                <w:kern w:val="0"/>
                <w:sz w:val="28"/>
                <w:szCs w:val="28"/>
                <w:u w:val="none"/>
                <w:lang w:val="en-US" w:eastAsia="zh-CN" w:bidi="ar"/>
              </w:rPr>
            </w:pPr>
            <w:r>
              <w:rPr>
                <w:rFonts w:hint="eastAsia" w:ascii="仿宋" w:hAnsi="仿宋" w:eastAsia="仿宋" w:cs="仿宋"/>
                <w:b/>
                <w:bCs/>
                <w:i w:val="0"/>
                <w:iCs w:val="0"/>
                <w:color w:val="000000"/>
                <w:kern w:val="0"/>
                <w:sz w:val="28"/>
                <w:szCs w:val="28"/>
                <w:u w:val="none"/>
                <w:lang w:val="en-US" w:eastAsia="zh-CN" w:bidi="ar"/>
              </w:rPr>
              <w:t>具体项目</w:t>
            </w:r>
          </w:p>
        </w:tc>
        <w:tc>
          <w:tcPr>
            <w:tcW w:w="5581" w:type="dxa"/>
            <w:shd w:val="clear" w:color="auto" w:fill="D7D7D7" w:themeFill="background1" w:themeFillShade="D8"/>
            <w:tcMar>
              <w:top w:w="60" w:type="dxa"/>
              <w:left w:w="120" w:type="dxa"/>
              <w:bottom w:w="30" w:type="dxa"/>
              <w:right w:w="120" w:type="dxa"/>
            </w:tcMar>
            <w:vAlign w:val="center"/>
          </w:tcPr>
          <w:p w14:paraId="6744A6A7">
            <w:pPr>
              <w:keepNext w:val="0"/>
              <w:keepLines w:val="0"/>
              <w:widowControl/>
              <w:suppressLineNumbers w:val="0"/>
              <w:jc w:val="center"/>
              <w:textAlignment w:val="center"/>
              <w:rPr>
                <w:rFonts w:hint="eastAsia" w:ascii="仿宋" w:hAnsi="仿宋" w:eastAsia="仿宋" w:cs="仿宋"/>
                <w:b/>
                <w:bCs/>
                <w:i w:val="0"/>
                <w:iCs w:val="0"/>
                <w:color w:val="000000"/>
                <w:kern w:val="0"/>
                <w:sz w:val="28"/>
                <w:szCs w:val="28"/>
                <w:u w:val="none"/>
                <w:lang w:val="en-US" w:eastAsia="zh-CN" w:bidi="ar"/>
              </w:rPr>
            </w:pPr>
            <w:r>
              <w:rPr>
                <w:rFonts w:hint="eastAsia" w:ascii="仿宋" w:hAnsi="仿宋" w:eastAsia="仿宋" w:cs="仿宋"/>
                <w:b/>
                <w:bCs/>
                <w:i w:val="0"/>
                <w:iCs w:val="0"/>
                <w:color w:val="000000"/>
                <w:kern w:val="0"/>
                <w:sz w:val="28"/>
                <w:szCs w:val="28"/>
                <w:u w:val="none"/>
                <w:lang w:val="en-US" w:eastAsia="zh-CN" w:bidi="ar"/>
              </w:rPr>
              <w:t>建设详情</w:t>
            </w:r>
          </w:p>
        </w:tc>
      </w:tr>
      <w:tr w14:paraId="078E6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jc w:val="center"/>
        </w:trPr>
        <w:tc>
          <w:tcPr>
            <w:tcW w:w="1737" w:type="dxa"/>
            <w:vMerge w:val="restart"/>
            <w:tcMar>
              <w:top w:w="60" w:type="dxa"/>
              <w:left w:w="120" w:type="dxa"/>
              <w:bottom w:w="30" w:type="dxa"/>
              <w:right w:w="120" w:type="dxa"/>
            </w:tcMar>
            <w:vAlign w:val="center"/>
          </w:tcPr>
          <w:p w14:paraId="2675C53D">
            <w:pPr>
              <w:pStyle w:val="32"/>
              <w:jc w:val="center"/>
              <w:rPr>
                <w:rFonts w:hint="eastAsia" w:ascii="仿宋" w:hAnsi="仿宋" w:eastAsia="仿宋" w:cs="仿宋"/>
                <w:sz w:val="24"/>
                <w:szCs w:val="24"/>
              </w:rPr>
            </w:pPr>
            <w:r>
              <w:rPr>
                <w:rFonts w:hint="eastAsia" w:ascii="仿宋" w:hAnsi="仿宋" w:eastAsia="仿宋" w:cs="仿宋"/>
                <w:sz w:val="24"/>
                <w:szCs w:val="24"/>
              </w:rPr>
              <w:t>农田灌排化建设工程</w:t>
            </w:r>
          </w:p>
        </w:tc>
        <w:tc>
          <w:tcPr>
            <w:tcW w:w="1980" w:type="dxa"/>
            <w:tcMar>
              <w:top w:w="60" w:type="dxa"/>
              <w:left w:w="120" w:type="dxa"/>
              <w:bottom w:w="30" w:type="dxa"/>
              <w:right w:w="120" w:type="dxa"/>
            </w:tcMar>
            <w:vAlign w:val="center"/>
          </w:tcPr>
          <w:p w14:paraId="7AFCFB09">
            <w:pPr>
              <w:pStyle w:val="32"/>
              <w:jc w:val="center"/>
              <w:rPr>
                <w:rFonts w:hint="eastAsia" w:ascii="仿宋" w:hAnsi="仿宋" w:eastAsia="仿宋" w:cs="仿宋"/>
                <w:sz w:val="24"/>
                <w:szCs w:val="24"/>
              </w:rPr>
            </w:pPr>
            <w:r>
              <w:rPr>
                <w:rFonts w:hint="eastAsia" w:ascii="仿宋" w:hAnsi="仿宋" w:eastAsia="仿宋" w:cs="仿宋"/>
                <w:sz w:val="24"/>
                <w:szCs w:val="24"/>
              </w:rPr>
              <w:t>水源工程</w:t>
            </w:r>
          </w:p>
        </w:tc>
        <w:tc>
          <w:tcPr>
            <w:tcW w:w="5581" w:type="dxa"/>
            <w:tcMar>
              <w:top w:w="60" w:type="dxa"/>
              <w:left w:w="120" w:type="dxa"/>
              <w:bottom w:w="30" w:type="dxa"/>
              <w:right w:w="120" w:type="dxa"/>
            </w:tcMar>
            <w:vAlign w:val="center"/>
          </w:tcPr>
          <w:p w14:paraId="367F2006">
            <w:pPr>
              <w:pStyle w:val="32"/>
              <w:jc w:val="both"/>
              <w:rPr>
                <w:rFonts w:hint="eastAsia" w:ascii="仿宋" w:hAnsi="仿宋" w:eastAsia="仿宋" w:cs="仿宋"/>
                <w:sz w:val="24"/>
                <w:szCs w:val="24"/>
              </w:rPr>
            </w:pPr>
            <w:r>
              <w:rPr>
                <w:rFonts w:hint="eastAsia" w:ascii="仿宋" w:hAnsi="仿宋" w:eastAsia="仿宋" w:cs="仿宋"/>
                <w:sz w:val="24"/>
                <w:szCs w:val="24"/>
              </w:rPr>
              <w:t>新建泵站1座</w:t>
            </w:r>
          </w:p>
        </w:tc>
      </w:tr>
      <w:tr w14:paraId="2AD8D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jc w:val="center"/>
        </w:trPr>
        <w:tc>
          <w:tcPr>
            <w:tcW w:w="1737" w:type="dxa"/>
            <w:vMerge w:val="continue"/>
            <w:tcMar>
              <w:top w:w="60" w:type="dxa"/>
              <w:left w:w="120" w:type="dxa"/>
              <w:bottom w:w="30" w:type="dxa"/>
              <w:right w:w="120" w:type="dxa"/>
            </w:tcMar>
            <w:vAlign w:val="center"/>
          </w:tcPr>
          <w:p w14:paraId="32A36471">
            <w:pPr>
              <w:pStyle w:val="32"/>
              <w:jc w:val="center"/>
              <w:rPr>
                <w:rFonts w:hint="eastAsia" w:ascii="仿宋" w:hAnsi="仿宋" w:eastAsia="仿宋" w:cs="仿宋"/>
                <w:sz w:val="24"/>
                <w:szCs w:val="24"/>
              </w:rPr>
            </w:pPr>
          </w:p>
        </w:tc>
        <w:tc>
          <w:tcPr>
            <w:tcW w:w="1980" w:type="dxa"/>
            <w:tcMar>
              <w:top w:w="60" w:type="dxa"/>
              <w:left w:w="120" w:type="dxa"/>
              <w:bottom w:w="30" w:type="dxa"/>
              <w:right w:w="120" w:type="dxa"/>
            </w:tcMar>
            <w:vAlign w:val="center"/>
          </w:tcPr>
          <w:p w14:paraId="293FC5F3">
            <w:pPr>
              <w:pStyle w:val="32"/>
              <w:jc w:val="center"/>
              <w:rPr>
                <w:rFonts w:hint="eastAsia" w:ascii="仿宋" w:hAnsi="仿宋" w:eastAsia="仿宋" w:cs="仿宋"/>
                <w:sz w:val="24"/>
                <w:szCs w:val="24"/>
              </w:rPr>
            </w:pPr>
            <w:r>
              <w:rPr>
                <w:rFonts w:hint="eastAsia" w:ascii="仿宋" w:hAnsi="仿宋" w:eastAsia="仿宋" w:cs="仿宋"/>
                <w:sz w:val="24"/>
                <w:szCs w:val="24"/>
              </w:rPr>
              <w:t>灌排渠工程</w:t>
            </w:r>
          </w:p>
        </w:tc>
        <w:tc>
          <w:tcPr>
            <w:tcW w:w="5581" w:type="dxa"/>
            <w:tcMar>
              <w:top w:w="60" w:type="dxa"/>
              <w:left w:w="120" w:type="dxa"/>
              <w:bottom w:w="30" w:type="dxa"/>
              <w:right w:w="120" w:type="dxa"/>
            </w:tcMar>
            <w:vAlign w:val="center"/>
          </w:tcPr>
          <w:p w14:paraId="04F5C1E2">
            <w:pPr>
              <w:pStyle w:val="32"/>
              <w:jc w:val="both"/>
              <w:rPr>
                <w:rFonts w:hint="eastAsia" w:ascii="仿宋" w:hAnsi="仿宋" w:eastAsia="仿宋" w:cs="仿宋"/>
                <w:sz w:val="24"/>
                <w:szCs w:val="24"/>
              </w:rPr>
            </w:pPr>
            <w:r>
              <w:rPr>
                <w:rFonts w:hint="eastAsia" w:ascii="仿宋" w:hAnsi="仿宋" w:eastAsia="仿宋" w:cs="仿宋"/>
                <w:sz w:val="24"/>
                <w:szCs w:val="24"/>
              </w:rPr>
              <w:t>改建灌排渠6条，总长1752m</w:t>
            </w:r>
          </w:p>
        </w:tc>
      </w:tr>
      <w:tr w14:paraId="509A4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jc w:val="center"/>
        </w:trPr>
        <w:tc>
          <w:tcPr>
            <w:tcW w:w="1737" w:type="dxa"/>
            <w:vMerge w:val="continue"/>
            <w:tcMar>
              <w:top w:w="60" w:type="dxa"/>
              <w:left w:w="120" w:type="dxa"/>
              <w:bottom w:w="30" w:type="dxa"/>
              <w:right w:w="120" w:type="dxa"/>
            </w:tcMar>
            <w:vAlign w:val="center"/>
          </w:tcPr>
          <w:p w14:paraId="62FC4C18">
            <w:pPr>
              <w:pStyle w:val="32"/>
              <w:jc w:val="center"/>
              <w:rPr>
                <w:rFonts w:hint="eastAsia" w:ascii="仿宋" w:hAnsi="仿宋" w:eastAsia="仿宋" w:cs="仿宋"/>
                <w:sz w:val="24"/>
                <w:szCs w:val="24"/>
              </w:rPr>
            </w:pPr>
          </w:p>
        </w:tc>
        <w:tc>
          <w:tcPr>
            <w:tcW w:w="1980" w:type="dxa"/>
            <w:tcMar>
              <w:top w:w="60" w:type="dxa"/>
              <w:left w:w="120" w:type="dxa"/>
              <w:bottom w:w="30" w:type="dxa"/>
              <w:right w:w="120" w:type="dxa"/>
            </w:tcMar>
            <w:vAlign w:val="center"/>
          </w:tcPr>
          <w:p w14:paraId="623F77F5">
            <w:pPr>
              <w:pStyle w:val="32"/>
              <w:jc w:val="center"/>
              <w:rPr>
                <w:rFonts w:hint="eastAsia" w:ascii="仿宋" w:hAnsi="仿宋" w:eastAsia="仿宋" w:cs="仿宋"/>
                <w:sz w:val="24"/>
                <w:szCs w:val="24"/>
              </w:rPr>
            </w:pPr>
            <w:r>
              <w:rPr>
                <w:rFonts w:hint="eastAsia" w:ascii="仿宋" w:hAnsi="仿宋" w:eastAsia="仿宋" w:cs="仿宋"/>
                <w:sz w:val="24"/>
                <w:szCs w:val="24"/>
              </w:rPr>
              <w:t>排水工程</w:t>
            </w:r>
          </w:p>
        </w:tc>
        <w:tc>
          <w:tcPr>
            <w:tcW w:w="5581" w:type="dxa"/>
            <w:tcMar>
              <w:top w:w="60" w:type="dxa"/>
              <w:left w:w="120" w:type="dxa"/>
              <w:bottom w:w="30" w:type="dxa"/>
              <w:right w:w="120" w:type="dxa"/>
            </w:tcMar>
            <w:vAlign w:val="center"/>
          </w:tcPr>
          <w:p w14:paraId="52FAF2A5">
            <w:pPr>
              <w:pStyle w:val="32"/>
              <w:jc w:val="both"/>
              <w:rPr>
                <w:rFonts w:hint="eastAsia" w:ascii="仿宋" w:hAnsi="仿宋" w:eastAsia="仿宋" w:cs="仿宋"/>
                <w:sz w:val="24"/>
                <w:szCs w:val="24"/>
              </w:rPr>
            </w:pPr>
            <w:r>
              <w:rPr>
                <w:rFonts w:hint="eastAsia" w:ascii="仿宋" w:hAnsi="仿宋" w:eastAsia="仿宋" w:cs="仿宋"/>
                <w:sz w:val="24"/>
                <w:szCs w:val="24"/>
              </w:rPr>
              <w:t>加固排水沟4条，总长2188m</w:t>
            </w:r>
          </w:p>
        </w:tc>
      </w:tr>
      <w:tr w14:paraId="54CE9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jc w:val="center"/>
        </w:trPr>
        <w:tc>
          <w:tcPr>
            <w:tcW w:w="1737" w:type="dxa"/>
            <w:vMerge w:val="continue"/>
            <w:tcMar>
              <w:top w:w="60" w:type="dxa"/>
              <w:left w:w="120" w:type="dxa"/>
              <w:bottom w:w="30" w:type="dxa"/>
              <w:right w:w="120" w:type="dxa"/>
            </w:tcMar>
            <w:vAlign w:val="center"/>
          </w:tcPr>
          <w:p w14:paraId="440BE932">
            <w:pPr>
              <w:pStyle w:val="32"/>
              <w:jc w:val="center"/>
              <w:rPr>
                <w:rFonts w:hint="eastAsia" w:ascii="仿宋" w:hAnsi="仿宋" w:eastAsia="仿宋" w:cs="仿宋"/>
                <w:sz w:val="24"/>
                <w:szCs w:val="24"/>
              </w:rPr>
            </w:pPr>
          </w:p>
        </w:tc>
        <w:tc>
          <w:tcPr>
            <w:tcW w:w="1980" w:type="dxa"/>
            <w:tcMar>
              <w:top w:w="60" w:type="dxa"/>
              <w:left w:w="120" w:type="dxa"/>
              <w:bottom w:w="30" w:type="dxa"/>
              <w:right w:w="120" w:type="dxa"/>
            </w:tcMar>
            <w:vAlign w:val="center"/>
          </w:tcPr>
          <w:p w14:paraId="4911DA97">
            <w:pPr>
              <w:pStyle w:val="32"/>
              <w:jc w:val="center"/>
              <w:rPr>
                <w:rFonts w:hint="eastAsia" w:ascii="仿宋" w:hAnsi="仿宋" w:eastAsia="仿宋" w:cs="仿宋"/>
                <w:sz w:val="24"/>
                <w:szCs w:val="24"/>
              </w:rPr>
            </w:pPr>
            <w:r>
              <w:rPr>
                <w:rFonts w:hint="eastAsia" w:ascii="仿宋" w:hAnsi="仿宋" w:eastAsia="仿宋" w:cs="仿宋"/>
                <w:sz w:val="24"/>
                <w:szCs w:val="24"/>
              </w:rPr>
              <w:t>渠系建筑物</w:t>
            </w:r>
          </w:p>
        </w:tc>
        <w:tc>
          <w:tcPr>
            <w:tcW w:w="5581" w:type="dxa"/>
            <w:tcMar>
              <w:top w:w="60" w:type="dxa"/>
              <w:left w:w="120" w:type="dxa"/>
              <w:bottom w:w="30" w:type="dxa"/>
              <w:right w:w="120" w:type="dxa"/>
            </w:tcMar>
            <w:vAlign w:val="center"/>
          </w:tcPr>
          <w:p w14:paraId="2C57DE42">
            <w:pPr>
              <w:pStyle w:val="32"/>
              <w:jc w:val="both"/>
              <w:rPr>
                <w:rFonts w:hint="eastAsia" w:ascii="仿宋" w:hAnsi="仿宋" w:eastAsia="仿宋" w:cs="仿宋"/>
                <w:sz w:val="24"/>
                <w:szCs w:val="24"/>
              </w:rPr>
            </w:pPr>
            <w:r>
              <w:rPr>
                <w:rFonts w:hint="eastAsia" w:ascii="仿宋" w:hAnsi="仿宋" w:eastAsia="仿宋" w:cs="仿宋"/>
                <w:sz w:val="24"/>
                <w:szCs w:val="24"/>
              </w:rPr>
              <w:t>配套量水尺6把、放水口70个、涵洞4座、渠过路涵5座</w:t>
            </w:r>
          </w:p>
        </w:tc>
      </w:tr>
      <w:tr w14:paraId="411A5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jc w:val="center"/>
        </w:trPr>
        <w:tc>
          <w:tcPr>
            <w:tcW w:w="1737" w:type="dxa"/>
            <w:vMerge w:val="restart"/>
            <w:tcMar>
              <w:top w:w="60" w:type="dxa"/>
              <w:left w:w="120" w:type="dxa"/>
              <w:bottom w:w="30" w:type="dxa"/>
              <w:right w:w="120" w:type="dxa"/>
            </w:tcMar>
            <w:vAlign w:val="center"/>
          </w:tcPr>
          <w:p w14:paraId="026B9B4C">
            <w:pPr>
              <w:pStyle w:val="32"/>
              <w:jc w:val="center"/>
              <w:rPr>
                <w:rFonts w:hint="eastAsia" w:ascii="仿宋" w:hAnsi="仿宋" w:eastAsia="仿宋" w:cs="仿宋"/>
                <w:sz w:val="24"/>
                <w:szCs w:val="24"/>
              </w:rPr>
            </w:pPr>
            <w:r>
              <w:rPr>
                <w:rFonts w:hint="eastAsia" w:ascii="仿宋" w:hAnsi="仿宋" w:eastAsia="仿宋" w:cs="仿宋"/>
                <w:sz w:val="24"/>
                <w:szCs w:val="24"/>
              </w:rPr>
              <w:t>农田机械化改造工程</w:t>
            </w:r>
          </w:p>
        </w:tc>
        <w:tc>
          <w:tcPr>
            <w:tcW w:w="1980" w:type="dxa"/>
            <w:tcMar>
              <w:top w:w="60" w:type="dxa"/>
              <w:left w:w="120" w:type="dxa"/>
              <w:bottom w:w="30" w:type="dxa"/>
              <w:right w:w="120" w:type="dxa"/>
            </w:tcMar>
            <w:vAlign w:val="center"/>
          </w:tcPr>
          <w:p w14:paraId="0F0C4EB7">
            <w:pPr>
              <w:pStyle w:val="32"/>
              <w:jc w:val="center"/>
              <w:rPr>
                <w:rFonts w:hint="eastAsia" w:ascii="仿宋" w:hAnsi="仿宋" w:eastAsia="仿宋" w:cs="仿宋"/>
                <w:sz w:val="24"/>
                <w:szCs w:val="24"/>
              </w:rPr>
            </w:pPr>
            <w:r>
              <w:rPr>
                <w:rFonts w:hint="eastAsia" w:ascii="仿宋" w:hAnsi="仿宋" w:eastAsia="仿宋" w:cs="仿宋"/>
                <w:sz w:val="24"/>
                <w:szCs w:val="24"/>
              </w:rPr>
              <w:t>田间道</w:t>
            </w:r>
          </w:p>
        </w:tc>
        <w:tc>
          <w:tcPr>
            <w:tcW w:w="5581" w:type="dxa"/>
            <w:tcMar>
              <w:top w:w="60" w:type="dxa"/>
              <w:left w:w="120" w:type="dxa"/>
              <w:bottom w:w="30" w:type="dxa"/>
              <w:right w:w="120" w:type="dxa"/>
            </w:tcMar>
            <w:vAlign w:val="center"/>
          </w:tcPr>
          <w:p w14:paraId="40354643">
            <w:pPr>
              <w:pStyle w:val="32"/>
              <w:jc w:val="both"/>
              <w:rPr>
                <w:rFonts w:hint="eastAsia" w:ascii="仿宋" w:hAnsi="仿宋" w:eastAsia="仿宋" w:cs="仿宋"/>
                <w:sz w:val="24"/>
                <w:szCs w:val="24"/>
              </w:rPr>
            </w:pPr>
            <w:r>
              <w:rPr>
                <w:rFonts w:hint="eastAsia" w:ascii="仿宋" w:hAnsi="仿宋" w:eastAsia="仿宋" w:cs="仿宋"/>
                <w:sz w:val="24"/>
                <w:szCs w:val="24"/>
              </w:rPr>
              <w:t>改建2条，总长718m，采用砼彩色压花路面，宽度3.0m</w:t>
            </w:r>
          </w:p>
        </w:tc>
      </w:tr>
      <w:tr w14:paraId="10CDA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jc w:val="center"/>
        </w:trPr>
        <w:tc>
          <w:tcPr>
            <w:tcW w:w="1737" w:type="dxa"/>
            <w:vMerge w:val="continue"/>
            <w:tcMar>
              <w:top w:w="60" w:type="dxa"/>
              <w:left w:w="120" w:type="dxa"/>
              <w:bottom w:w="30" w:type="dxa"/>
              <w:right w:w="120" w:type="dxa"/>
            </w:tcMar>
            <w:vAlign w:val="center"/>
          </w:tcPr>
          <w:p w14:paraId="5175ADA4">
            <w:pPr>
              <w:pStyle w:val="32"/>
              <w:jc w:val="center"/>
              <w:rPr>
                <w:rFonts w:hint="eastAsia" w:ascii="仿宋" w:hAnsi="仿宋" w:eastAsia="仿宋" w:cs="仿宋"/>
                <w:sz w:val="24"/>
                <w:szCs w:val="24"/>
              </w:rPr>
            </w:pPr>
          </w:p>
        </w:tc>
        <w:tc>
          <w:tcPr>
            <w:tcW w:w="1980" w:type="dxa"/>
            <w:tcMar>
              <w:top w:w="60" w:type="dxa"/>
              <w:left w:w="120" w:type="dxa"/>
              <w:bottom w:w="30" w:type="dxa"/>
              <w:right w:w="120" w:type="dxa"/>
            </w:tcMar>
            <w:vAlign w:val="center"/>
          </w:tcPr>
          <w:p w14:paraId="0E77E443">
            <w:pPr>
              <w:pStyle w:val="32"/>
              <w:jc w:val="center"/>
              <w:rPr>
                <w:rFonts w:hint="eastAsia" w:ascii="仿宋" w:hAnsi="仿宋" w:eastAsia="仿宋" w:cs="仿宋"/>
                <w:sz w:val="24"/>
                <w:szCs w:val="24"/>
              </w:rPr>
            </w:pPr>
            <w:r>
              <w:rPr>
                <w:rFonts w:hint="eastAsia" w:ascii="仿宋" w:hAnsi="仿宋" w:eastAsia="仿宋" w:cs="仿宋"/>
                <w:sz w:val="24"/>
                <w:szCs w:val="24"/>
              </w:rPr>
              <w:t>辅助设施</w:t>
            </w:r>
          </w:p>
        </w:tc>
        <w:tc>
          <w:tcPr>
            <w:tcW w:w="5581" w:type="dxa"/>
            <w:tcMar>
              <w:top w:w="60" w:type="dxa"/>
              <w:left w:w="120" w:type="dxa"/>
              <w:bottom w:w="30" w:type="dxa"/>
              <w:right w:w="120" w:type="dxa"/>
            </w:tcMar>
            <w:vAlign w:val="center"/>
          </w:tcPr>
          <w:p w14:paraId="1100DEF7">
            <w:pPr>
              <w:pStyle w:val="32"/>
              <w:jc w:val="both"/>
              <w:rPr>
                <w:rFonts w:hint="eastAsia" w:ascii="仿宋" w:hAnsi="仿宋" w:eastAsia="仿宋" w:cs="仿宋"/>
                <w:sz w:val="24"/>
                <w:szCs w:val="24"/>
              </w:rPr>
            </w:pPr>
            <w:r>
              <w:rPr>
                <w:rFonts w:hint="eastAsia" w:ascii="仿宋" w:hAnsi="仿宋" w:eastAsia="仿宋" w:cs="仿宋"/>
                <w:sz w:val="24"/>
                <w:szCs w:val="24"/>
              </w:rPr>
              <w:t>新建错车道2处、下田坡道8处</w:t>
            </w:r>
          </w:p>
        </w:tc>
      </w:tr>
      <w:tr w14:paraId="6E9C1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jc w:val="center"/>
        </w:trPr>
        <w:tc>
          <w:tcPr>
            <w:tcW w:w="1737" w:type="dxa"/>
            <w:tcMar>
              <w:top w:w="60" w:type="dxa"/>
              <w:left w:w="120" w:type="dxa"/>
              <w:bottom w:w="30" w:type="dxa"/>
              <w:right w:w="120" w:type="dxa"/>
            </w:tcMar>
            <w:vAlign w:val="center"/>
          </w:tcPr>
          <w:p w14:paraId="3F4E89ED">
            <w:pPr>
              <w:pStyle w:val="32"/>
              <w:jc w:val="center"/>
              <w:rPr>
                <w:rFonts w:hint="eastAsia" w:ascii="仿宋" w:hAnsi="仿宋" w:eastAsia="仿宋" w:cs="仿宋"/>
                <w:sz w:val="24"/>
                <w:szCs w:val="24"/>
              </w:rPr>
            </w:pPr>
            <w:r>
              <w:rPr>
                <w:rFonts w:hint="eastAsia" w:ascii="仿宋" w:hAnsi="仿宋" w:eastAsia="仿宋" w:cs="仿宋"/>
                <w:sz w:val="24"/>
                <w:szCs w:val="24"/>
              </w:rPr>
              <w:t>农田生态化建设工程</w:t>
            </w:r>
          </w:p>
        </w:tc>
        <w:tc>
          <w:tcPr>
            <w:tcW w:w="1980" w:type="dxa"/>
            <w:tcMar>
              <w:top w:w="60" w:type="dxa"/>
              <w:left w:w="120" w:type="dxa"/>
              <w:bottom w:w="30" w:type="dxa"/>
              <w:right w:w="120" w:type="dxa"/>
            </w:tcMar>
            <w:vAlign w:val="center"/>
          </w:tcPr>
          <w:p w14:paraId="6FEFAD58">
            <w:pPr>
              <w:pStyle w:val="32"/>
              <w:jc w:val="center"/>
              <w:rPr>
                <w:rFonts w:hint="eastAsia" w:ascii="仿宋" w:hAnsi="仿宋" w:eastAsia="仿宋" w:cs="仿宋"/>
                <w:sz w:val="24"/>
                <w:szCs w:val="24"/>
              </w:rPr>
            </w:pPr>
            <w:r>
              <w:rPr>
                <w:rFonts w:hint="eastAsia" w:ascii="仿宋" w:hAnsi="仿宋" w:eastAsia="仿宋" w:cs="仿宋"/>
                <w:sz w:val="24"/>
                <w:szCs w:val="24"/>
              </w:rPr>
              <w:t>地力培肥</w:t>
            </w:r>
          </w:p>
        </w:tc>
        <w:tc>
          <w:tcPr>
            <w:tcW w:w="5581" w:type="dxa"/>
            <w:tcMar>
              <w:top w:w="60" w:type="dxa"/>
              <w:left w:w="120" w:type="dxa"/>
              <w:bottom w:w="30" w:type="dxa"/>
              <w:right w:w="120" w:type="dxa"/>
            </w:tcMar>
            <w:vAlign w:val="center"/>
          </w:tcPr>
          <w:p w14:paraId="5CD00E3D">
            <w:pPr>
              <w:pStyle w:val="32"/>
              <w:jc w:val="both"/>
              <w:rPr>
                <w:rFonts w:hint="eastAsia" w:ascii="仿宋" w:hAnsi="仿宋" w:eastAsia="仿宋" w:cs="仿宋"/>
                <w:sz w:val="24"/>
                <w:szCs w:val="24"/>
              </w:rPr>
            </w:pPr>
            <w:r>
              <w:rPr>
                <w:rFonts w:hint="eastAsia" w:ascii="仿宋" w:hAnsi="仿宋" w:eastAsia="仿宋" w:cs="仿宋"/>
                <w:sz w:val="24"/>
                <w:szCs w:val="24"/>
              </w:rPr>
              <w:t>对3100亩农田施用商品有机肥进行地力培肥</w:t>
            </w:r>
          </w:p>
        </w:tc>
      </w:tr>
      <w:tr w14:paraId="43B27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jc w:val="center"/>
        </w:trPr>
        <w:tc>
          <w:tcPr>
            <w:tcW w:w="1737" w:type="dxa"/>
            <w:vMerge w:val="restart"/>
            <w:tcMar>
              <w:top w:w="60" w:type="dxa"/>
              <w:left w:w="120" w:type="dxa"/>
              <w:bottom w:w="30" w:type="dxa"/>
              <w:right w:w="120" w:type="dxa"/>
            </w:tcMar>
            <w:vAlign w:val="center"/>
          </w:tcPr>
          <w:p w14:paraId="59AE6CAA">
            <w:pPr>
              <w:pStyle w:val="32"/>
              <w:jc w:val="center"/>
              <w:rPr>
                <w:rFonts w:hint="eastAsia" w:ascii="仿宋" w:hAnsi="仿宋" w:eastAsia="仿宋" w:cs="仿宋"/>
                <w:sz w:val="24"/>
                <w:szCs w:val="24"/>
              </w:rPr>
            </w:pPr>
            <w:r>
              <w:rPr>
                <w:rFonts w:hint="eastAsia" w:ascii="仿宋" w:hAnsi="仿宋" w:eastAsia="仿宋" w:cs="仿宋"/>
                <w:sz w:val="24"/>
                <w:szCs w:val="24"/>
              </w:rPr>
              <w:t>农田田园化建设工程</w:t>
            </w:r>
          </w:p>
        </w:tc>
        <w:tc>
          <w:tcPr>
            <w:tcW w:w="1980" w:type="dxa"/>
            <w:tcMar>
              <w:top w:w="60" w:type="dxa"/>
              <w:left w:w="120" w:type="dxa"/>
              <w:bottom w:w="30" w:type="dxa"/>
              <w:right w:w="120" w:type="dxa"/>
            </w:tcMar>
            <w:vAlign w:val="center"/>
          </w:tcPr>
          <w:p w14:paraId="42825DFC">
            <w:pPr>
              <w:pStyle w:val="32"/>
              <w:jc w:val="center"/>
              <w:rPr>
                <w:rFonts w:hint="eastAsia" w:ascii="仿宋" w:hAnsi="仿宋" w:eastAsia="仿宋" w:cs="仿宋"/>
                <w:sz w:val="24"/>
                <w:szCs w:val="24"/>
              </w:rPr>
            </w:pPr>
            <w:r>
              <w:rPr>
                <w:rFonts w:hint="eastAsia" w:ascii="仿宋" w:hAnsi="仿宋" w:eastAsia="仿宋" w:cs="仿宋"/>
                <w:sz w:val="24"/>
                <w:szCs w:val="24"/>
              </w:rPr>
              <w:t>彩色沥青道路</w:t>
            </w:r>
          </w:p>
        </w:tc>
        <w:tc>
          <w:tcPr>
            <w:tcW w:w="5581" w:type="dxa"/>
            <w:tcMar>
              <w:top w:w="60" w:type="dxa"/>
              <w:left w:w="120" w:type="dxa"/>
              <w:bottom w:w="30" w:type="dxa"/>
              <w:right w:w="120" w:type="dxa"/>
            </w:tcMar>
            <w:vAlign w:val="center"/>
          </w:tcPr>
          <w:p w14:paraId="2740E81F">
            <w:pPr>
              <w:pStyle w:val="32"/>
              <w:jc w:val="both"/>
              <w:rPr>
                <w:rFonts w:hint="eastAsia" w:ascii="仿宋" w:hAnsi="仿宋" w:eastAsia="仿宋" w:cs="仿宋"/>
                <w:sz w:val="24"/>
                <w:szCs w:val="24"/>
              </w:rPr>
            </w:pPr>
            <w:r>
              <w:rPr>
                <w:rFonts w:hint="eastAsia" w:ascii="仿宋" w:hAnsi="仿宋" w:eastAsia="仿宋" w:cs="仿宋"/>
                <w:sz w:val="24"/>
                <w:szCs w:val="24"/>
              </w:rPr>
              <w:t>完善环高标农田核心区道路4962m，其中新建3条共1732m（宽5.0m），提升改建2条共3230m（宽5.0m），形成“520”田园景观休闲健身步道</w:t>
            </w:r>
          </w:p>
        </w:tc>
      </w:tr>
      <w:tr w14:paraId="7C9C7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jc w:val="center"/>
        </w:trPr>
        <w:tc>
          <w:tcPr>
            <w:tcW w:w="1737" w:type="dxa"/>
            <w:vMerge w:val="continue"/>
            <w:tcMar>
              <w:top w:w="60" w:type="dxa"/>
              <w:left w:w="120" w:type="dxa"/>
              <w:bottom w:w="30" w:type="dxa"/>
              <w:right w:w="120" w:type="dxa"/>
            </w:tcMar>
            <w:vAlign w:val="center"/>
          </w:tcPr>
          <w:p w14:paraId="3A7EEAAD">
            <w:pPr>
              <w:pStyle w:val="32"/>
              <w:jc w:val="center"/>
              <w:rPr>
                <w:rFonts w:hint="eastAsia" w:ascii="仿宋" w:hAnsi="仿宋" w:eastAsia="仿宋" w:cs="仿宋"/>
                <w:sz w:val="24"/>
                <w:szCs w:val="24"/>
              </w:rPr>
            </w:pPr>
          </w:p>
        </w:tc>
        <w:tc>
          <w:tcPr>
            <w:tcW w:w="1980" w:type="dxa"/>
            <w:tcMar>
              <w:top w:w="60" w:type="dxa"/>
              <w:left w:w="120" w:type="dxa"/>
              <w:bottom w:w="30" w:type="dxa"/>
              <w:right w:w="120" w:type="dxa"/>
            </w:tcMar>
            <w:vAlign w:val="center"/>
          </w:tcPr>
          <w:p w14:paraId="2046EA9D">
            <w:pPr>
              <w:pStyle w:val="32"/>
              <w:jc w:val="center"/>
              <w:rPr>
                <w:rFonts w:hint="eastAsia" w:ascii="仿宋" w:hAnsi="仿宋" w:eastAsia="仿宋" w:cs="仿宋"/>
                <w:sz w:val="24"/>
                <w:szCs w:val="24"/>
              </w:rPr>
            </w:pPr>
            <w:r>
              <w:rPr>
                <w:rFonts w:hint="eastAsia" w:ascii="仿宋" w:hAnsi="仿宋" w:eastAsia="仿宋" w:cs="仿宋"/>
                <w:sz w:val="24"/>
                <w:szCs w:val="24"/>
              </w:rPr>
              <w:t>绿化种植</w:t>
            </w:r>
          </w:p>
        </w:tc>
        <w:tc>
          <w:tcPr>
            <w:tcW w:w="5581" w:type="dxa"/>
            <w:tcMar>
              <w:top w:w="60" w:type="dxa"/>
              <w:left w:w="120" w:type="dxa"/>
              <w:bottom w:w="30" w:type="dxa"/>
              <w:right w:w="120" w:type="dxa"/>
            </w:tcMar>
            <w:vAlign w:val="center"/>
          </w:tcPr>
          <w:p w14:paraId="703CD47E">
            <w:pPr>
              <w:pStyle w:val="32"/>
              <w:jc w:val="both"/>
              <w:rPr>
                <w:rFonts w:hint="eastAsia" w:ascii="仿宋" w:hAnsi="仿宋" w:eastAsia="仿宋" w:cs="仿宋"/>
                <w:sz w:val="24"/>
                <w:szCs w:val="24"/>
              </w:rPr>
            </w:pPr>
            <w:r>
              <w:rPr>
                <w:rFonts w:hint="eastAsia" w:ascii="仿宋" w:hAnsi="仿宋" w:eastAsia="仿宋" w:cs="仿宋"/>
                <w:sz w:val="24"/>
                <w:szCs w:val="24"/>
              </w:rPr>
              <w:t>在核心区彩色沥青道路单侧单排种植紫色风铃木1100棵，株距5m</w:t>
            </w:r>
          </w:p>
        </w:tc>
      </w:tr>
      <w:tr w14:paraId="7D416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jc w:val="center"/>
        </w:trPr>
        <w:tc>
          <w:tcPr>
            <w:tcW w:w="1737" w:type="dxa"/>
            <w:vMerge w:val="continue"/>
            <w:tcMar>
              <w:top w:w="60" w:type="dxa"/>
              <w:left w:w="120" w:type="dxa"/>
              <w:bottom w:w="30" w:type="dxa"/>
              <w:right w:w="120" w:type="dxa"/>
            </w:tcMar>
            <w:vAlign w:val="center"/>
          </w:tcPr>
          <w:p w14:paraId="4B3BF2A0">
            <w:pPr>
              <w:pStyle w:val="32"/>
              <w:jc w:val="center"/>
              <w:rPr>
                <w:rFonts w:hint="eastAsia" w:ascii="仿宋" w:hAnsi="仿宋" w:eastAsia="仿宋" w:cs="仿宋"/>
                <w:sz w:val="24"/>
                <w:szCs w:val="24"/>
              </w:rPr>
            </w:pPr>
          </w:p>
        </w:tc>
        <w:tc>
          <w:tcPr>
            <w:tcW w:w="1980" w:type="dxa"/>
            <w:tcMar>
              <w:top w:w="60" w:type="dxa"/>
              <w:left w:w="120" w:type="dxa"/>
              <w:bottom w:w="30" w:type="dxa"/>
              <w:right w:w="120" w:type="dxa"/>
            </w:tcMar>
            <w:vAlign w:val="center"/>
          </w:tcPr>
          <w:p w14:paraId="5E9439EE">
            <w:pPr>
              <w:pStyle w:val="32"/>
              <w:jc w:val="center"/>
              <w:rPr>
                <w:rFonts w:hint="eastAsia" w:ascii="仿宋" w:hAnsi="仿宋" w:eastAsia="仿宋" w:cs="仿宋"/>
                <w:sz w:val="24"/>
                <w:szCs w:val="24"/>
              </w:rPr>
            </w:pPr>
            <w:r>
              <w:rPr>
                <w:rFonts w:hint="eastAsia" w:ascii="仿宋" w:hAnsi="仿宋" w:eastAsia="仿宋" w:cs="仿宋"/>
                <w:sz w:val="24"/>
                <w:szCs w:val="24"/>
              </w:rPr>
              <w:t>照明设施</w:t>
            </w:r>
          </w:p>
        </w:tc>
        <w:tc>
          <w:tcPr>
            <w:tcW w:w="5581" w:type="dxa"/>
            <w:tcMar>
              <w:top w:w="60" w:type="dxa"/>
              <w:left w:w="120" w:type="dxa"/>
              <w:bottom w:w="30" w:type="dxa"/>
              <w:right w:w="120" w:type="dxa"/>
            </w:tcMar>
            <w:vAlign w:val="center"/>
          </w:tcPr>
          <w:p w14:paraId="3C7787A0">
            <w:pPr>
              <w:pStyle w:val="32"/>
              <w:jc w:val="both"/>
              <w:rPr>
                <w:rFonts w:hint="eastAsia" w:ascii="仿宋" w:hAnsi="仿宋" w:eastAsia="仿宋" w:cs="仿宋"/>
                <w:sz w:val="24"/>
                <w:szCs w:val="24"/>
              </w:rPr>
            </w:pPr>
            <w:r>
              <w:rPr>
                <w:rFonts w:hint="eastAsia" w:ascii="仿宋" w:hAnsi="仿宋" w:eastAsia="仿宋" w:cs="仿宋"/>
                <w:sz w:val="24"/>
                <w:szCs w:val="24"/>
              </w:rPr>
              <w:t>沿道路布置洗墙灯1300盏，与紫色风铃木同侧</w:t>
            </w:r>
          </w:p>
        </w:tc>
      </w:tr>
      <w:tr w14:paraId="58E7C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jc w:val="center"/>
        </w:trPr>
        <w:tc>
          <w:tcPr>
            <w:tcW w:w="1737" w:type="dxa"/>
            <w:vMerge w:val="restart"/>
            <w:tcMar>
              <w:top w:w="60" w:type="dxa"/>
              <w:left w:w="120" w:type="dxa"/>
              <w:bottom w:w="30" w:type="dxa"/>
              <w:right w:w="120" w:type="dxa"/>
            </w:tcMar>
            <w:vAlign w:val="center"/>
          </w:tcPr>
          <w:p w14:paraId="7B4B5CB5">
            <w:pPr>
              <w:pStyle w:val="32"/>
              <w:jc w:val="center"/>
              <w:rPr>
                <w:rFonts w:hint="eastAsia" w:ascii="仿宋" w:hAnsi="仿宋" w:eastAsia="仿宋" w:cs="仿宋"/>
                <w:sz w:val="24"/>
                <w:szCs w:val="24"/>
              </w:rPr>
            </w:pPr>
            <w:r>
              <w:rPr>
                <w:rFonts w:hint="eastAsia" w:ascii="仿宋" w:hAnsi="仿宋" w:eastAsia="仿宋" w:cs="仿宋"/>
                <w:sz w:val="24"/>
                <w:szCs w:val="24"/>
              </w:rPr>
              <w:t>农田数字化工程</w:t>
            </w:r>
          </w:p>
        </w:tc>
        <w:tc>
          <w:tcPr>
            <w:tcW w:w="1980" w:type="dxa"/>
            <w:tcMar>
              <w:top w:w="60" w:type="dxa"/>
              <w:left w:w="120" w:type="dxa"/>
              <w:bottom w:w="30" w:type="dxa"/>
              <w:right w:w="120" w:type="dxa"/>
            </w:tcMar>
            <w:vAlign w:val="center"/>
          </w:tcPr>
          <w:p w14:paraId="13441E1D">
            <w:pPr>
              <w:pStyle w:val="32"/>
              <w:jc w:val="center"/>
              <w:rPr>
                <w:rFonts w:hint="eastAsia" w:ascii="仿宋" w:hAnsi="仿宋" w:eastAsia="仿宋" w:cs="仿宋"/>
                <w:sz w:val="24"/>
                <w:szCs w:val="24"/>
              </w:rPr>
            </w:pPr>
            <w:r>
              <w:rPr>
                <w:rFonts w:hint="eastAsia" w:ascii="仿宋" w:hAnsi="仿宋" w:eastAsia="仿宋" w:cs="仿宋"/>
                <w:sz w:val="24"/>
                <w:szCs w:val="24"/>
              </w:rPr>
              <w:t>基础建设</w:t>
            </w:r>
          </w:p>
        </w:tc>
        <w:tc>
          <w:tcPr>
            <w:tcW w:w="5581" w:type="dxa"/>
            <w:tcMar>
              <w:top w:w="60" w:type="dxa"/>
              <w:left w:w="120" w:type="dxa"/>
              <w:bottom w:w="30" w:type="dxa"/>
              <w:right w:w="120" w:type="dxa"/>
            </w:tcMar>
            <w:vAlign w:val="center"/>
          </w:tcPr>
          <w:p w14:paraId="360032D3">
            <w:pPr>
              <w:pStyle w:val="32"/>
              <w:jc w:val="both"/>
              <w:rPr>
                <w:rFonts w:hint="eastAsia" w:ascii="仿宋" w:hAnsi="仿宋" w:eastAsia="仿宋" w:cs="仿宋"/>
                <w:sz w:val="24"/>
                <w:szCs w:val="24"/>
              </w:rPr>
            </w:pPr>
            <w:r>
              <w:rPr>
                <w:rFonts w:hint="eastAsia" w:ascii="仿宋" w:hAnsi="仿宋" w:eastAsia="仿宋" w:cs="仿宋"/>
                <w:sz w:val="24"/>
                <w:szCs w:val="24"/>
              </w:rPr>
              <w:t>新建智慧指挥中心机房1座</w:t>
            </w:r>
          </w:p>
        </w:tc>
      </w:tr>
      <w:tr w14:paraId="4B137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jc w:val="center"/>
        </w:trPr>
        <w:tc>
          <w:tcPr>
            <w:tcW w:w="1737" w:type="dxa"/>
            <w:vMerge w:val="continue"/>
            <w:tcMar>
              <w:top w:w="60" w:type="dxa"/>
              <w:left w:w="120" w:type="dxa"/>
              <w:bottom w:w="30" w:type="dxa"/>
              <w:right w:w="120" w:type="dxa"/>
            </w:tcMar>
            <w:vAlign w:val="center"/>
          </w:tcPr>
          <w:p w14:paraId="02EDCB3E">
            <w:pPr>
              <w:pStyle w:val="32"/>
              <w:jc w:val="center"/>
              <w:rPr>
                <w:rFonts w:hint="eastAsia" w:ascii="仿宋" w:hAnsi="仿宋" w:eastAsia="仿宋" w:cs="仿宋"/>
                <w:sz w:val="24"/>
                <w:szCs w:val="24"/>
              </w:rPr>
            </w:pPr>
          </w:p>
        </w:tc>
        <w:tc>
          <w:tcPr>
            <w:tcW w:w="1980" w:type="dxa"/>
            <w:tcMar>
              <w:top w:w="60" w:type="dxa"/>
              <w:left w:w="120" w:type="dxa"/>
              <w:bottom w:w="30" w:type="dxa"/>
              <w:right w:w="120" w:type="dxa"/>
            </w:tcMar>
            <w:vAlign w:val="center"/>
          </w:tcPr>
          <w:p w14:paraId="3A0C29CB">
            <w:pPr>
              <w:pStyle w:val="32"/>
              <w:jc w:val="center"/>
              <w:rPr>
                <w:rFonts w:hint="eastAsia" w:ascii="仿宋" w:hAnsi="仿宋" w:eastAsia="仿宋" w:cs="仿宋"/>
                <w:sz w:val="24"/>
                <w:szCs w:val="24"/>
              </w:rPr>
            </w:pPr>
            <w:r>
              <w:rPr>
                <w:rFonts w:hint="eastAsia" w:ascii="仿宋" w:hAnsi="仿宋" w:eastAsia="仿宋" w:cs="仿宋"/>
                <w:sz w:val="24"/>
                <w:szCs w:val="24"/>
              </w:rPr>
              <w:t>软件系统</w:t>
            </w:r>
          </w:p>
        </w:tc>
        <w:tc>
          <w:tcPr>
            <w:tcW w:w="5581" w:type="dxa"/>
            <w:tcMar>
              <w:top w:w="60" w:type="dxa"/>
              <w:left w:w="120" w:type="dxa"/>
              <w:bottom w:w="30" w:type="dxa"/>
              <w:right w:w="120" w:type="dxa"/>
            </w:tcMar>
            <w:vAlign w:val="center"/>
          </w:tcPr>
          <w:p w14:paraId="50A95730">
            <w:pPr>
              <w:pStyle w:val="32"/>
              <w:jc w:val="both"/>
              <w:rPr>
                <w:rFonts w:hint="eastAsia" w:ascii="仿宋" w:hAnsi="仿宋" w:eastAsia="仿宋" w:cs="仿宋"/>
                <w:sz w:val="24"/>
                <w:szCs w:val="24"/>
              </w:rPr>
            </w:pPr>
            <w:r>
              <w:rPr>
                <w:rFonts w:hint="eastAsia" w:ascii="仿宋" w:hAnsi="仿宋" w:eastAsia="仿宋" w:cs="仿宋"/>
                <w:sz w:val="24"/>
                <w:szCs w:val="24"/>
              </w:rPr>
              <w:t>包含高标准空间数据建模、PC端及移动端数字化综合管理平台、AIGC高标准农田数字管家各1项</w:t>
            </w:r>
          </w:p>
        </w:tc>
      </w:tr>
      <w:tr w14:paraId="2A894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jc w:val="center"/>
        </w:trPr>
        <w:tc>
          <w:tcPr>
            <w:tcW w:w="1737" w:type="dxa"/>
            <w:vMerge w:val="continue"/>
            <w:tcMar>
              <w:top w:w="60" w:type="dxa"/>
              <w:left w:w="120" w:type="dxa"/>
              <w:bottom w:w="30" w:type="dxa"/>
              <w:right w:w="120" w:type="dxa"/>
            </w:tcMar>
            <w:vAlign w:val="center"/>
          </w:tcPr>
          <w:p w14:paraId="3BF4EC3E">
            <w:pPr>
              <w:pStyle w:val="32"/>
              <w:jc w:val="center"/>
              <w:rPr>
                <w:rFonts w:hint="eastAsia" w:ascii="仿宋" w:hAnsi="仿宋" w:eastAsia="仿宋" w:cs="仿宋"/>
                <w:sz w:val="24"/>
                <w:szCs w:val="24"/>
              </w:rPr>
            </w:pPr>
          </w:p>
        </w:tc>
        <w:tc>
          <w:tcPr>
            <w:tcW w:w="1980" w:type="dxa"/>
            <w:tcMar>
              <w:top w:w="60" w:type="dxa"/>
              <w:left w:w="120" w:type="dxa"/>
              <w:bottom w:w="30" w:type="dxa"/>
              <w:right w:w="120" w:type="dxa"/>
            </w:tcMar>
            <w:vAlign w:val="center"/>
          </w:tcPr>
          <w:p w14:paraId="5207913A">
            <w:pPr>
              <w:pStyle w:val="32"/>
              <w:jc w:val="center"/>
              <w:rPr>
                <w:rFonts w:hint="eastAsia" w:ascii="仿宋" w:hAnsi="仿宋" w:eastAsia="仿宋" w:cs="仿宋"/>
                <w:sz w:val="24"/>
                <w:szCs w:val="24"/>
              </w:rPr>
            </w:pPr>
            <w:r>
              <w:rPr>
                <w:rFonts w:hint="eastAsia" w:ascii="仿宋" w:hAnsi="仿宋" w:eastAsia="仿宋" w:cs="仿宋"/>
                <w:sz w:val="24"/>
                <w:szCs w:val="24"/>
              </w:rPr>
              <w:t>硬件设备</w:t>
            </w:r>
          </w:p>
        </w:tc>
        <w:tc>
          <w:tcPr>
            <w:tcW w:w="5581" w:type="dxa"/>
            <w:tcMar>
              <w:top w:w="60" w:type="dxa"/>
              <w:left w:w="120" w:type="dxa"/>
              <w:bottom w:w="30" w:type="dxa"/>
              <w:right w:w="120" w:type="dxa"/>
            </w:tcMar>
            <w:vAlign w:val="center"/>
          </w:tcPr>
          <w:p w14:paraId="7635FF2D">
            <w:pPr>
              <w:pStyle w:val="32"/>
              <w:jc w:val="both"/>
              <w:rPr>
                <w:rFonts w:hint="eastAsia" w:ascii="仿宋" w:hAnsi="仿宋" w:eastAsia="仿宋" w:cs="仿宋"/>
                <w:sz w:val="24"/>
                <w:szCs w:val="24"/>
              </w:rPr>
            </w:pPr>
            <w:r>
              <w:rPr>
                <w:rFonts w:hint="eastAsia" w:ascii="仿宋" w:hAnsi="仿宋" w:eastAsia="仿宋" w:cs="仿宋"/>
                <w:sz w:val="24"/>
                <w:szCs w:val="24"/>
              </w:rPr>
              <w:t>配备AIGC智慧指挥系统1套、气象监测站1套、土壤墒情监测20套、超声波流量计2套、农业无人机1套、田间监控摄像头及配套设备30套、虫情监测一体机1套、孢子捕捉分析仪1套、杀虫灯30套</w:t>
            </w:r>
          </w:p>
        </w:tc>
      </w:tr>
      <w:tr w14:paraId="4879E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 w:hRule="atLeast"/>
          <w:jc w:val="center"/>
        </w:trPr>
        <w:tc>
          <w:tcPr>
            <w:tcW w:w="1737" w:type="dxa"/>
            <w:tcMar>
              <w:top w:w="60" w:type="dxa"/>
              <w:left w:w="120" w:type="dxa"/>
              <w:bottom w:w="30" w:type="dxa"/>
              <w:right w:w="120" w:type="dxa"/>
            </w:tcMar>
            <w:vAlign w:val="center"/>
          </w:tcPr>
          <w:p w14:paraId="32C83A75">
            <w:pPr>
              <w:pStyle w:val="32"/>
              <w:jc w:val="center"/>
              <w:rPr>
                <w:rFonts w:hint="eastAsia" w:ascii="仿宋" w:hAnsi="仿宋" w:eastAsia="仿宋" w:cs="仿宋"/>
                <w:sz w:val="24"/>
                <w:szCs w:val="24"/>
              </w:rPr>
            </w:pPr>
            <w:r>
              <w:rPr>
                <w:rFonts w:hint="eastAsia" w:ascii="仿宋" w:hAnsi="仿宋" w:eastAsia="仿宋" w:cs="仿宋"/>
                <w:sz w:val="24"/>
                <w:szCs w:val="24"/>
                <w:lang w:eastAsia="zh-CN"/>
              </w:rPr>
              <w:t>其他</w:t>
            </w:r>
            <w:r>
              <w:rPr>
                <w:rFonts w:hint="eastAsia" w:ascii="仿宋" w:hAnsi="仿宋" w:eastAsia="仿宋" w:cs="仿宋"/>
                <w:sz w:val="24"/>
                <w:szCs w:val="24"/>
              </w:rPr>
              <w:t>工程</w:t>
            </w:r>
          </w:p>
        </w:tc>
        <w:tc>
          <w:tcPr>
            <w:tcW w:w="1980" w:type="dxa"/>
            <w:tcMar>
              <w:top w:w="60" w:type="dxa"/>
              <w:left w:w="120" w:type="dxa"/>
              <w:bottom w:w="30" w:type="dxa"/>
              <w:right w:w="120" w:type="dxa"/>
            </w:tcMar>
            <w:vAlign w:val="center"/>
          </w:tcPr>
          <w:p w14:paraId="48019459">
            <w:pPr>
              <w:pStyle w:val="32"/>
              <w:jc w:val="center"/>
              <w:rPr>
                <w:rFonts w:hint="eastAsia" w:ascii="仿宋" w:hAnsi="仿宋" w:eastAsia="仿宋" w:cs="仿宋"/>
                <w:sz w:val="24"/>
                <w:szCs w:val="24"/>
              </w:rPr>
            </w:pPr>
            <w:r>
              <w:rPr>
                <w:rFonts w:hint="eastAsia" w:ascii="仿宋" w:hAnsi="仿宋" w:eastAsia="仿宋" w:cs="仿宋"/>
                <w:sz w:val="24"/>
                <w:szCs w:val="24"/>
              </w:rPr>
              <w:t>标志牌</w:t>
            </w:r>
          </w:p>
        </w:tc>
        <w:tc>
          <w:tcPr>
            <w:tcW w:w="5581" w:type="dxa"/>
            <w:tcMar>
              <w:top w:w="60" w:type="dxa"/>
              <w:left w:w="120" w:type="dxa"/>
              <w:bottom w:w="30" w:type="dxa"/>
              <w:right w:w="120" w:type="dxa"/>
            </w:tcMar>
            <w:vAlign w:val="center"/>
          </w:tcPr>
          <w:p w14:paraId="5CF90612">
            <w:pPr>
              <w:pStyle w:val="32"/>
              <w:jc w:val="both"/>
              <w:rPr>
                <w:rFonts w:hint="eastAsia" w:ascii="仿宋" w:hAnsi="仿宋" w:eastAsia="仿宋" w:cs="仿宋"/>
                <w:sz w:val="24"/>
                <w:szCs w:val="24"/>
              </w:rPr>
            </w:pPr>
            <w:r>
              <w:rPr>
                <w:rFonts w:hint="eastAsia" w:ascii="仿宋" w:hAnsi="仿宋" w:eastAsia="仿宋" w:cs="仿宋"/>
                <w:sz w:val="24"/>
                <w:szCs w:val="24"/>
              </w:rPr>
              <w:t>新建标志牌1座</w:t>
            </w:r>
          </w:p>
        </w:tc>
      </w:tr>
    </w:tbl>
    <w:p w14:paraId="726D80C4">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1"/>
        <w:rPr>
          <w:rFonts w:hint="eastAsia" w:ascii="仿宋_GB2312" w:hAnsi="仿宋_GB2312" w:eastAsia="仿宋_GB2312" w:cs="仿宋_GB2312"/>
          <w:color w:val="auto"/>
          <w:sz w:val="32"/>
          <w:szCs w:val="32"/>
          <w:highlight w:val="none"/>
          <w:lang w:val="en-US" w:eastAsia="zh-CN"/>
        </w:rPr>
      </w:pPr>
      <w:bookmarkStart w:id="39" w:name="_Toc14173"/>
      <w:r>
        <w:rPr>
          <w:rFonts w:hint="eastAsia" w:ascii="楷体_GB2312" w:hAnsi="楷体_GB2312" w:eastAsia="楷体_GB2312" w:cs="楷体_GB2312"/>
          <w:b/>
          <w:bCs/>
          <w:color w:val="auto"/>
          <w:sz w:val="32"/>
          <w:szCs w:val="32"/>
          <w:highlight w:val="none"/>
          <w:lang w:val="en-US" w:eastAsia="zh-CN"/>
        </w:rPr>
        <w:t>（三）项目组织管理情况</w:t>
      </w:r>
      <w:bookmarkEnd w:id="39"/>
    </w:p>
    <w:p w14:paraId="19F7EC3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石狮市高标准农田建设（一期）“五化”示范项目实施单位主要涉及石狮市财政局、石狮市农业农村局、石狮市福狮振兴乡村投资发展有限公司，具体职责分工如下：</w:t>
      </w:r>
    </w:p>
    <w:p w14:paraId="114CDBF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石狮市财政局：监督项目建设单位（如石狮市福狮振兴乡村投资发展有限公司）的财务行为，规范会计核算，要求按项目建设进度和合同约定支付工程款、监理费等费用；项目完工后，组织或参与资金使用绩效评价，评估资金投入与项目效益（如农田产出提升、基础设施改善等）的匹配度，为后续项目资金管理提供参考。</w:t>
      </w:r>
    </w:p>
    <w:p w14:paraId="2FBC2FD5">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石狮市农业农村局：作为项目行业主管部门，牵头制定项目实施方案、建设标准，明确建设内容、技术规范和验收标准，指导项目业主单位（石狮市福狮振兴乡村投资发展有限公司）开展前期调研、规划设计、用地协调等工作，确保项目符合国家和地方高标准农田建设政策要求，对项目建设全过程进行行业监督，包括工程进度、建设质量、安全生产等，组织开展中期检查、专项督查，及时发现并督促整改问题。</w:t>
      </w:r>
    </w:p>
    <w:p w14:paraId="6BEB2A81">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3.石狮市福狮振兴乡村投资发展有限公司：作为石狮市2025年度高标准农田建设（一期）“五化”示范项目的业主单位，负责项目的具体实施和管理。</w:t>
      </w:r>
    </w:p>
    <w:p w14:paraId="2AAC28C9">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1"/>
        <w:rPr>
          <w:rFonts w:hint="eastAsia" w:ascii="仿宋_GB2312" w:hAnsi="仿宋_GB2312" w:eastAsia="仿宋_GB2312" w:cs="仿宋_GB2312"/>
          <w:color w:val="auto"/>
          <w:sz w:val="32"/>
          <w:szCs w:val="32"/>
          <w:highlight w:val="none"/>
          <w:lang w:val="en-US" w:eastAsia="zh-CN"/>
        </w:rPr>
      </w:pPr>
      <w:bookmarkStart w:id="40" w:name="_Toc15744"/>
      <w:r>
        <w:rPr>
          <w:rFonts w:hint="eastAsia" w:ascii="楷体_GB2312" w:hAnsi="楷体_GB2312" w:eastAsia="楷体_GB2312" w:cs="楷体_GB2312"/>
          <w:b/>
          <w:bCs/>
          <w:color w:val="auto"/>
          <w:sz w:val="32"/>
          <w:szCs w:val="32"/>
          <w:highlight w:val="none"/>
          <w:lang w:val="en-US" w:eastAsia="zh-CN"/>
        </w:rPr>
        <w:t>（四）项目资金投入情况</w:t>
      </w:r>
      <w:bookmarkEnd w:id="40"/>
    </w:p>
    <w:p w14:paraId="2897D985">
      <w:pPr>
        <w:pStyle w:val="32"/>
        <w:keepNext w:val="0"/>
        <w:keepLines w:val="0"/>
        <w:pageBreakBefore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本项目概算总投资为1846.36万元，亩均投资5956元。投资构成涵盖工程施工费、设备购置费、其他费用和商品有机肥示范推广措施费四大类，具体占比及金额如下：</w:t>
      </w:r>
    </w:p>
    <w:p w14:paraId="0B11ADE6">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仿宋" w:hAnsi="仿宋" w:eastAsia="仿宋" w:cs="仿宋"/>
          <w:b/>
          <w:bCs/>
          <w:color w:val="auto"/>
          <w:kern w:val="0"/>
          <w:sz w:val="28"/>
          <w:szCs w:val="28"/>
          <w:highlight w:val="none"/>
          <w:lang w:val="en-US" w:eastAsia="zh-CN" w:bidi="ar-SA"/>
        </w:rPr>
      </w:pPr>
      <w:r>
        <w:rPr>
          <w:rFonts w:hint="eastAsia" w:ascii="仿宋" w:hAnsi="仿宋" w:eastAsia="仿宋" w:cs="仿宋"/>
          <w:b/>
          <w:bCs/>
          <w:color w:val="auto"/>
          <w:kern w:val="0"/>
          <w:sz w:val="28"/>
          <w:szCs w:val="28"/>
          <w:highlight w:val="none"/>
          <w:lang w:val="en-US" w:eastAsia="zh-CN" w:bidi="ar-SA"/>
        </w:rPr>
        <w:t>表2 石狮市高标准农田建设（一期）“五化”示范项目资金分配情况表</w:t>
      </w:r>
    </w:p>
    <w:tbl>
      <w:tblPr>
        <w:tblStyle w:val="15"/>
        <w:tblW w:w="4603"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54"/>
        <w:gridCol w:w="3674"/>
        <w:gridCol w:w="1736"/>
        <w:gridCol w:w="2078"/>
      </w:tblGrid>
      <w:tr w14:paraId="5564AC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tblHeader/>
          <w:jc w:val="center"/>
        </w:trPr>
        <w:tc>
          <w:tcPr>
            <w:tcW w:w="854"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270C8D2C">
            <w:pPr>
              <w:keepNext w:val="0"/>
              <w:keepLines w:val="0"/>
              <w:pageBreakBefore w:val="0"/>
              <w:widowControl/>
              <w:suppressLineNumbers w:val="0"/>
              <w:kinsoku/>
              <w:wordWrap/>
              <w:topLinePunct w:val="0"/>
              <w:bidi w:val="0"/>
              <w:snapToGrid/>
              <w:spacing w:line="240" w:lineRule="auto"/>
              <w:jc w:val="center"/>
              <w:textAlignment w:val="center"/>
              <w:rPr>
                <w:rFonts w:hint="default" w:ascii="仿宋" w:hAnsi="仿宋" w:eastAsia="仿宋" w:cs="仿宋"/>
                <w:b/>
                <w:bCs/>
                <w:i w:val="0"/>
                <w:iCs w:val="0"/>
                <w:color w:val="000000"/>
                <w:kern w:val="0"/>
                <w:sz w:val="28"/>
                <w:szCs w:val="28"/>
                <w:u w:val="none"/>
                <w:lang w:val="en-US" w:eastAsia="zh-CN" w:bidi="ar"/>
              </w:rPr>
            </w:pPr>
            <w:r>
              <w:rPr>
                <w:rFonts w:hint="eastAsia" w:ascii="仿宋" w:hAnsi="仿宋" w:eastAsia="仿宋" w:cs="仿宋"/>
                <w:b/>
                <w:bCs/>
                <w:i w:val="0"/>
                <w:iCs w:val="0"/>
                <w:color w:val="000000"/>
                <w:kern w:val="0"/>
                <w:sz w:val="28"/>
                <w:szCs w:val="28"/>
                <w:u w:val="none"/>
                <w:lang w:val="en-US" w:eastAsia="zh-CN" w:bidi="ar"/>
              </w:rPr>
              <w:t>序号</w:t>
            </w:r>
          </w:p>
        </w:tc>
        <w:tc>
          <w:tcPr>
            <w:tcW w:w="3674"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1BC1B75F">
            <w:pPr>
              <w:pStyle w:val="32"/>
              <w:ind w:left="0" w:leftChars="0"/>
              <w:jc w:val="center"/>
              <w:rPr>
                <w:rFonts w:hint="default" w:ascii="仿宋" w:hAnsi="仿宋" w:eastAsia="仿宋" w:cs="仿宋"/>
                <w:b/>
                <w:bCs/>
                <w:i w:val="0"/>
                <w:iCs w:val="0"/>
                <w:color w:val="000000"/>
                <w:kern w:val="0"/>
                <w:sz w:val="28"/>
                <w:szCs w:val="28"/>
                <w:u w:val="none"/>
                <w:lang w:val="en-US" w:eastAsia="zh-CN" w:bidi="ar"/>
              </w:rPr>
            </w:pPr>
            <w:r>
              <w:rPr>
                <w:rFonts w:hint="eastAsia" w:ascii="仿宋" w:hAnsi="仿宋" w:eastAsia="仿宋" w:cs="仿宋"/>
                <w:b/>
                <w:bCs/>
                <w:i w:val="0"/>
                <w:iCs w:val="0"/>
                <w:color w:val="000000"/>
                <w:kern w:val="0"/>
                <w:sz w:val="28"/>
                <w:szCs w:val="28"/>
                <w:u w:val="none"/>
                <w:lang w:val="en-US" w:eastAsia="zh-CN" w:bidi="ar"/>
              </w:rPr>
              <w:t>费用类别</w:t>
            </w:r>
          </w:p>
        </w:tc>
        <w:tc>
          <w:tcPr>
            <w:tcW w:w="1736"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0FBC9666">
            <w:pPr>
              <w:pStyle w:val="32"/>
              <w:ind w:left="0" w:leftChars="0"/>
              <w:jc w:val="center"/>
              <w:rPr>
                <w:rFonts w:hint="default" w:ascii="仿宋" w:hAnsi="仿宋" w:eastAsia="仿宋" w:cs="仿宋"/>
                <w:b/>
                <w:bCs/>
                <w:i w:val="0"/>
                <w:iCs w:val="0"/>
                <w:color w:val="000000"/>
                <w:kern w:val="0"/>
                <w:sz w:val="28"/>
                <w:szCs w:val="28"/>
                <w:u w:val="none"/>
                <w:lang w:val="en-US" w:eastAsia="zh-CN" w:bidi="ar"/>
              </w:rPr>
            </w:pPr>
            <w:r>
              <w:rPr>
                <w:rFonts w:hint="eastAsia" w:ascii="仿宋" w:hAnsi="仿宋" w:eastAsia="仿宋" w:cs="仿宋"/>
                <w:b/>
                <w:bCs/>
                <w:i w:val="0"/>
                <w:iCs w:val="0"/>
                <w:color w:val="000000"/>
                <w:kern w:val="0"/>
                <w:sz w:val="28"/>
                <w:szCs w:val="28"/>
                <w:u w:val="none"/>
                <w:lang w:val="en-US" w:eastAsia="zh-CN" w:bidi="ar"/>
              </w:rPr>
              <w:t>金额（万元）</w:t>
            </w:r>
          </w:p>
        </w:tc>
        <w:tc>
          <w:tcPr>
            <w:tcW w:w="2078"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1CB5E48D">
            <w:pPr>
              <w:pStyle w:val="32"/>
              <w:ind w:left="0" w:leftChars="0"/>
              <w:jc w:val="center"/>
              <w:rPr>
                <w:rFonts w:hint="default" w:ascii="仿宋" w:hAnsi="仿宋" w:eastAsia="仿宋" w:cs="仿宋"/>
                <w:b/>
                <w:bCs/>
                <w:i w:val="0"/>
                <w:iCs w:val="0"/>
                <w:color w:val="000000"/>
                <w:kern w:val="0"/>
                <w:sz w:val="28"/>
                <w:szCs w:val="28"/>
                <w:u w:val="none"/>
                <w:lang w:val="en-US" w:eastAsia="zh-CN" w:bidi="ar"/>
              </w:rPr>
            </w:pPr>
            <w:r>
              <w:rPr>
                <w:rFonts w:hint="eastAsia" w:ascii="仿宋" w:hAnsi="仿宋" w:eastAsia="仿宋" w:cs="仿宋"/>
                <w:b/>
                <w:bCs/>
                <w:i w:val="0"/>
                <w:iCs w:val="0"/>
                <w:color w:val="000000"/>
                <w:kern w:val="0"/>
                <w:sz w:val="28"/>
                <w:szCs w:val="28"/>
                <w:u w:val="none"/>
                <w:lang w:val="en-US" w:eastAsia="zh-CN" w:bidi="ar"/>
              </w:rPr>
              <w:t>占总投资比例</w:t>
            </w:r>
          </w:p>
        </w:tc>
      </w:tr>
      <w:tr w14:paraId="7DA428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EB3CC">
            <w:pPr>
              <w:keepNext w:val="0"/>
              <w:keepLines w:val="0"/>
              <w:pageBreakBefore w:val="0"/>
              <w:widowControl/>
              <w:suppressLineNumbers w:val="0"/>
              <w:kinsoku/>
              <w:wordWrap/>
              <w:topLinePunct w:val="0"/>
              <w:bidi w:val="0"/>
              <w:snapToGrid/>
              <w:spacing w:line="240" w:lineRule="auto"/>
              <w:jc w:val="center"/>
              <w:textAlignment w:val="center"/>
              <w:rPr>
                <w:rFonts w:hint="default" w:ascii="仿宋" w:hAnsi="仿宋" w:eastAsia="仿宋" w:cs="仿宋"/>
                <w:i w:val="0"/>
                <w:iCs w:val="0"/>
                <w:color w:val="000000"/>
                <w:kern w:val="0"/>
                <w:sz w:val="28"/>
                <w:szCs w:val="28"/>
                <w:u w:val="none"/>
                <w:lang w:val="en-US" w:eastAsia="zh-CN" w:bidi="ar"/>
              </w:rPr>
            </w:pPr>
            <w:r>
              <w:rPr>
                <w:rFonts w:hint="eastAsia" w:ascii="仿宋" w:hAnsi="仿宋" w:eastAsia="仿宋" w:cs="仿宋"/>
                <w:i w:val="0"/>
                <w:iCs w:val="0"/>
                <w:color w:val="000000"/>
                <w:kern w:val="0"/>
                <w:sz w:val="28"/>
                <w:szCs w:val="28"/>
                <w:u w:val="none"/>
                <w:lang w:val="en-US" w:eastAsia="zh-CN" w:bidi="ar"/>
              </w:rPr>
              <w:t>1</w:t>
            </w:r>
          </w:p>
        </w:tc>
        <w:tc>
          <w:tcPr>
            <w:tcW w:w="3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49A41">
            <w:pPr>
              <w:keepNext w:val="0"/>
              <w:keepLines w:val="0"/>
              <w:pageBreakBefore w:val="0"/>
              <w:widowControl/>
              <w:suppressLineNumbers w:val="0"/>
              <w:kinsoku/>
              <w:wordWrap/>
              <w:topLinePunct w:val="0"/>
              <w:bidi w:val="0"/>
              <w:snapToGrid/>
              <w:spacing w:line="240" w:lineRule="auto"/>
              <w:jc w:val="center"/>
              <w:textAlignment w:val="center"/>
              <w:rPr>
                <w:rFonts w:hint="eastAsia" w:ascii="仿宋" w:hAnsi="仿宋" w:eastAsia="仿宋" w:cs="仿宋"/>
                <w:i w:val="0"/>
                <w:iCs w:val="0"/>
                <w:color w:val="000000"/>
                <w:kern w:val="0"/>
                <w:sz w:val="28"/>
                <w:szCs w:val="28"/>
                <w:u w:val="none"/>
                <w:lang w:val="en-US" w:eastAsia="zh-CN" w:bidi="ar"/>
              </w:rPr>
            </w:pPr>
            <w:r>
              <w:rPr>
                <w:rFonts w:hint="eastAsia" w:ascii="仿宋" w:hAnsi="仿宋" w:eastAsia="仿宋" w:cs="仿宋"/>
                <w:i w:val="0"/>
                <w:iCs w:val="0"/>
                <w:color w:val="000000"/>
                <w:kern w:val="0"/>
                <w:sz w:val="28"/>
                <w:szCs w:val="28"/>
                <w:u w:val="none"/>
                <w:lang w:val="en-US" w:eastAsia="zh-CN" w:bidi="ar"/>
              </w:rPr>
              <w:t>工程施工费</w:t>
            </w:r>
          </w:p>
        </w:tc>
        <w:tc>
          <w:tcPr>
            <w:tcW w:w="1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3B4B1">
            <w:pPr>
              <w:keepNext w:val="0"/>
              <w:keepLines w:val="0"/>
              <w:pageBreakBefore w:val="0"/>
              <w:widowControl/>
              <w:suppressLineNumbers w:val="0"/>
              <w:kinsoku/>
              <w:wordWrap/>
              <w:topLinePunct w:val="0"/>
              <w:bidi w:val="0"/>
              <w:snapToGrid/>
              <w:spacing w:line="240" w:lineRule="auto"/>
              <w:jc w:val="center"/>
              <w:textAlignment w:val="center"/>
              <w:rPr>
                <w:rFonts w:hint="eastAsia" w:ascii="仿宋" w:hAnsi="仿宋" w:eastAsia="仿宋" w:cs="仿宋"/>
                <w:i w:val="0"/>
                <w:iCs w:val="0"/>
                <w:color w:val="000000"/>
                <w:kern w:val="0"/>
                <w:sz w:val="28"/>
                <w:szCs w:val="28"/>
                <w:u w:val="none"/>
                <w:lang w:val="en-US" w:eastAsia="zh-CN" w:bidi="ar"/>
              </w:rPr>
            </w:pPr>
            <w:r>
              <w:rPr>
                <w:rFonts w:hint="eastAsia" w:ascii="仿宋" w:hAnsi="仿宋" w:eastAsia="仿宋" w:cs="仿宋"/>
                <w:i w:val="0"/>
                <w:iCs w:val="0"/>
                <w:color w:val="000000"/>
                <w:kern w:val="0"/>
                <w:sz w:val="28"/>
                <w:szCs w:val="28"/>
                <w:u w:val="none"/>
                <w:lang w:val="en-US" w:eastAsia="zh-CN" w:bidi="ar"/>
              </w:rPr>
              <w:t>1308.30</w:t>
            </w:r>
          </w:p>
        </w:tc>
        <w:tc>
          <w:tcPr>
            <w:tcW w:w="20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18BEF">
            <w:pPr>
              <w:keepNext w:val="0"/>
              <w:keepLines w:val="0"/>
              <w:pageBreakBefore w:val="0"/>
              <w:widowControl/>
              <w:suppressLineNumbers w:val="0"/>
              <w:kinsoku/>
              <w:wordWrap/>
              <w:topLinePunct w:val="0"/>
              <w:bidi w:val="0"/>
              <w:snapToGrid/>
              <w:spacing w:line="240" w:lineRule="auto"/>
              <w:jc w:val="center"/>
              <w:textAlignment w:val="center"/>
              <w:rPr>
                <w:rFonts w:hint="default" w:ascii="仿宋" w:hAnsi="仿宋" w:eastAsia="仿宋" w:cs="仿宋"/>
                <w:i w:val="0"/>
                <w:iCs w:val="0"/>
                <w:color w:val="000000"/>
                <w:kern w:val="0"/>
                <w:sz w:val="28"/>
                <w:szCs w:val="28"/>
                <w:u w:val="none"/>
                <w:lang w:val="en-US" w:eastAsia="zh-CN" w:bidi="ar"/>
              </w:rPr>
            </w:pPr>
            <w:r>
              <w:rPr>
                <w:rFonts w:hint="eastAsia" w:ascii="仿宋" w:hAnsi="仿宋" w:eastAsia="仿宋" w:cs="仿宋"/>
                <w:i w:val="0"/>
                <w:iCs w:val="0"/>
                <w:color w:val="000000"/>
                <w:kern w:val="0"/>
                <w:sz w:val="28"/>
                <w:szCs w:val="28"/>
                <w:u w:val="none"/>
                <w:lang w:val="en-US" w:eastAsia="zh-CN" w:bidi="ar"/>
              </w:rPr>
              <w:t>70.86%</w:t>
            </w:r>
          </w:p>
        </w:tc>
      </w:tr>
      <w:tr w14:paraId="58D234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883B8">
            <w:pPr>
              <w:keepNext w:val="0"/>
              <w:keepLines w:val="0"/>
              <w:pageBreakBefore w:val="0"/>
              <w:widowControl/>
              <w:suppressLineNumbers w:val="0"/>
              <w:kinsoku/>
              <w:wordWrap/>
              <w:topLinePunct w:val="0"/>
              <w:bidi w:val="0"/>
              <w:snapToGrid/>
              <w:spacing w:line="240" w:lineRule="auto"/>
              <w:jc w:val="center"/>
              <w:textAlignment w:val="center"/>
              <w:rPr>
                <w:rFonts w:hint="default" w:ascii="仿宋" w:hAnsi="仿宋" w:eastAsia="仿宋" w:cs="仿宋"/>
                <w:i w:val="0"/>
                <w:iCs w:val="0"/>
                <w:color w:val="000000"/>
                <w:kern w:val="0"/>
                <w:sz w:val="28"/>
                <w:szCs w:val="28"/>
                <w:u w:val="none"/>
                <w:lang w:val="en-US" w:eastAsia="zh-CN" w:bidi="ar"/>
              </w:rPr>
            </w:pPr>
            <w:r>
              <w:rPr>
                <w:rFonts w:hint="eastAsia" w:ascii="仿宋" w:hAnsi="仿宋" w:eastAsia="仿宋" w:cs="仿宋"/>
                <w:i w:val="0"/>
                <w:iCs w:val="0"/>
                <w:color w:val="000000"/>
                <w:kern w:val="0"/>
                <w:sz w:val="28"/>
                <w:szCs w:val="28"/>
                <w:u w:val="none"/>
                <w:lang w:val="en-US" w:eastAsia="zh-CN" w:bidi="ar"/>
              </w:rPr>
              <w:t>2</w:t>
            </w:r>
          </w:p>
        </w:tc>
        <w:tc>
          <w:tcPr>
            <w:tcW w:w="3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A1ECD">
            <w:pPr>
              <w:keepNext w:val="0"/>
              <w:keepLines w:val="0"/>
              <w:pageBreakBefore w:val="0"/>
              <w:widowControl/>
              <w:suppressLineNumbers w:val="0"/>
              <w:kinsoku/>
              <w:wordWrap/>
              <w:topLinePunct w:val="0"/>
              <w:bidi w:val="0"/>
              <w:snapToGrid/>
              <w:spacing w:line="240" w:lineRule="auto"/>
              <w:jc w:val="center"/>
              <w:textAlignment w:val="center"/>
              <w:rPr>
                <w:rFonts w:hint="eastAsia" w:ascii="仿宋" w:hAnsi="仿宋" w:eastAsia="仿宋" w:cs="仿宋"/>
                <w:i w:val="0"/>
                <w:iCs w:val="0"/>
                <w:color w:val="000000"/>
                <w:kern w:val="0"/>
                <w:sz w:val="28"/>
                <w:szCs w:val="28"/>
                <w:u w:val="none"/>
                <w:lang w:val="en-US" w:eastAsia="zh-CN" w:bidi="ar"/>
              </w:rPr>
            </w:pPr>
            <w:r>
              <w:rPr>
                <w:rFonts w:hint="eastAsia" w:ascii="仿宋" w:hAnsi="仿宋" w:eastAsia="仿宋" w:cs="仿宋"/>
                <w:i w:val="0"/>
                <w:iCs w:val="0"/>
                <w:color w:val="000000"/>
                <w:kern w:val="0"/>
                <w:sz w:val="28"/>
                <w:szCs w:val="28"/>
                <w:u w:val="none"/>
                <w:lang w:val="en-US" w:eastAsia="zh-CN" w:bidi="ar"/>
              </w:rPr>
              <w:t>设备购置费</w:t>
            </w:r>
          </w:p>
        </w:tc>
        <w:tc>
          <w:tcPr>
            <w:tcW w:w="1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98C70">
            <w:pPr>
              <w:keepNext w:val="0"/>
              <w:keepLines w:val="0"/>
              <w:pageBreakBefore w:val="0"/>
              <w:widowControl/>
              <w:suppressLineNumbers w:val="0"/>
              <w:kinsoku/>
              <w:wordWrap/>
              <w:topLinePunct w:val="0"/>
              <w:bidi w:val="0"/>
              <w:snapToGrid/>
              <w:spacing w:line="240" w:lineRule="auto"/>
              <w:jc w:val="center"/>
              <w:textAlignment w:val="center"/>
              <w:rPr>
                <w:rFonts w:hint="eastAsia" w:ascii="仿宋" w:hAnsi="仿宋" w:eastAsia="仿宋" w:cs="仿宋"/>
                <w:i w:val="0"/>
                <w:iCs w:val="0"/>
                <w:color w:val="000000"/>
                <w:kern w:val="0"/>
                <w:sz w:val="28"/>
                <w:szCs w:val="28"/>
                <w:u w:val="none"/>
                <w:lang w:val="en-US" w:eastAsia="zh-CN" w:bidi="ar"/>
              </w:rPr>
            </w:pPr>
            <w:r>
              <w:rPr>
                <w:rFonts w:hint="eastAsia" w:ascii="仿宋" w:hAnsi="仿宋" w:eastAsia="仿宋" w:cs="仿宋"/>
                <w:i w:val="0"/>
                <w:iCs w:val="0"/>
                <w:color w:val="000000"/>
                <w:kern w:val="0"/>
                <w:sz w:val="28"/>
                <w:szCs w:val="28"/>
                <w:u w:val="none"/>
                <w:lang w:val="en-US" w:eastAsia="zh-CN" w:bidi="ar"/>
              </w:rPr>
              <w:t>261.10</w:t>
            </w:r>
          </w:p>
        </w:tc>
        <w:tc>
          <w:tcPr>
            <w:tcW w:w="20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FA764">
            <w:pPr>
              <w:keepNext w:val="0"/>
              <w:keepLines w:val="0"/>
              <w:pageBreakBefore w:val="0"/>
              <w:widowControl/>
              <w:suppressLineNumbers w:val="0"/>
              <w:kinsoku/>
              <w:wordWrap/>
              <w:topLinePunct w:val="0"/>
              <w:bidi w:val="0"/>
              <w:snapToGrid/>
              <w:spacing w:line="240" w:lineRule="auto"/>
              <w:jc w:val="center"/>
              <w:textAlignment w:val="center"/>
              <w:rPr>
                <w:rFonts w:hint="eastAsia" w:ascii="仿宋" w:hAnsi="仿宋" w:eastAsia="仿宋" w:cs="仿宋"/>
                <w:i w:val="0"/>
                <w:iCs w:val="0"/>
                <w:color w:val="000000"/>
                <w:kern w:val="0"/>
                <w:sz w:val="28"/>
                <w:szCs w:val="28"/>
                <w:u w:val="none"/>
                <w:lang w:val="en-US" w:eastAsia="zh-CN" w:bidi="ar"/>
              </w:rPr>
            </w:pPr>
            <w:r>
              <w:rPr>
                <w:rFonts w:hint="eastAsia" w:ascii="仿宋" w:hAnsi="仿宋" w:eastAsia="仿宋" w:cs="仿宋"/>
                <w:i w:val="0"/>
                <w:iCs w:val="0"/>
                <w:color w:val="000000"/>
                <w:kern w:val="0"/>
                <w:sz w:val="28"/>
                <w:szCs w:val="28"/>
                <w:u w:val="none"/>
                <w:lang w:val="en-US" w:eastAsia="zh-CN" w:bidi="ar"/>
              </w:rPr>
              <w:t>14.14%</w:t>
            </w:r>
          </w:p>
        </w:tc>
      </w:tr>
      <w:tr w14:paraId="2BF9FD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56DC1">
            <w:pPr>
              <w:keepNext w:val="0"/>
              <w:keepLines w:val="0"/>
              <w:pageBreakBefore w:val="0"/>
              <w:widowControl/>
              <w:suppressLineNumbers w:val="0"/>
              <w:kinsoku/>
              <w:wordWrap/>
              <w:topLinePunct w:val="0"/>
              <w:bidi w:val="0"/>
              <w:snapToGrid/>
              <w:spacing w:line="240" w:lineRule="auto"/>
              <w:jc w:val="center"/>
              <w:textAlignment w:val="center"/>
              <w:rPr>
                <w:rFonts w:hint="default" w:ascii="仿宋" w:hAnsi="仿宋" w:eastAsia="仿宋" w:cs="仿宋"/>
                <w:i w:val="0"/>
                <w:iCs w:val="0"/>
                <w:color w:val="000000"/>
                <w:kern w:val="0"/>
                <w:sz w:val="28"/>
                <w:szCs w:val="28"/>
                <w:u w:val="none"/>
                <w:lang w:val="en-US" w:eastAsia="zh-CN" w:bidi="ar"/>
              </w:rPr>
            </w:pPr>
            <w:r>
              <w:rPr>
                <w:rFonts w:hint="eastAsia" w:ascii="仿宋" w:hAnsi="仿宋" w:eastAsia="仿宋" w:cs="仿宋"/>
                <w:i w:val="0"/>
                <w:iCs w:val="0"/>
                <w:color w:val="000000"/>
                <w:kern w:val="0"/>
                <w:sz w:val="28"/>
                <w:szCs w:val="28"/>
                <w:u w:val="none"/>
                <w:lang w:val="en-US" w:eastAsia="zh-CN" w:bidi="ar"/>
              </w:rPr>
              <w:t>3</w:t>
            </w:r>
          </w:p>
        </w:tc>
        <w:tc>
          <w:tcPr>
            <w:tcW w:w="3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C66F19">
            <w:pPr>
              <w:keepNext w:val="0"/>
              <w:keepLines w:val="0"/>
              <w:pageBreakBefore w:val="0"/>
              <w:widowControl/>
              <w:suppressLineNumbers w:val="0"/>
              <w:kinsoku/>
              <w:wordWrap/>
              <w:topLinePunct w:val="0"/>
              <w:bidi w:val="0"/>
              <w:snapToGrid/>
              <w:spacing w:line="240" w:lineRule="auto"/>
              <w:jc w:val="center"/>
              <w:textAlignment w:val="center"/>
              <w:rPr>
                <w:rFonts w:hint="eastAsia" w:ascii="仿宋" w:hAnsi="仿宋" w:eastAsia="仿宋" w:cs="仿宋"/>
                <w:i w:val="0"/>
                <w:iCs w:val="0"/>
                <w:color w:val="000000"/>
                <w:kern w:val="0"/>
                <w:sz w:val="28"/>
                <w:szCs w:val="28"/>
                <w:u w:val="none"/>
                <w:lang w:val="en-US" w:eastAsia="zh-CN" w:bidi="ar"/>
              </w:rPr>
            </w:pPr>
            <w:r>
              <w:rPr>
                <w:rFonts w:hint="eastAsia" w:ascii="仿宋" w:hAnsi="仿宋" w:eastAsia="仿宋" w:cs="仿宋"/>
                <w:i w:val="0"/>
                <w:iCs w:val="0"/>
                <w:color w:val="000000"/>
                <w:kern w:val="0"/>
                <w:sz w:val="28"/>
                <w:szCs w:val="28"/>
                <w:u w:val="none"/>
                <w:lang w:val="en-US" w:eastAsia="zh-CN" w:bidi="ar"/>
              </w:rPr>
              <w:t>其他费用</w:t>
            </w:r>
          </w:p>
        </w:tc>
        <w:tc>
          <w:tcPr>
            <w:tcW w:w="1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8A0B8">
            <w:pPr>
              <w:keepNext w:val="0"/>
              <w:keepLines w:val="0"/>
              <w:pageBreakBefore w:val="0"/>
              <w:widowControl/>
              <w:suppressLineNumbers w:val="0"/>
              <w:kinsoku/>
              <w:wordWrap/>
              <w:topLinePunct w:val="0"/>
              <w:bidi w:val="0"/>
              <w:snapToGrid/>
              <w:spacing w:line="240" w:lineRule="auto"/>
              <w:jc w:val="center"/>
              <w:textAlignment w:val="center"/>
              <w:rPr>
                <w:rFonts w:hint="eastAsia" w:ascii="仿宋" w:hAnsi="仿宋" w:eastAsia="仿宋" w:cs="仿宋"/>
                <w:i w:val="0"/>
                <w:iCs w:val="0"/>
                <w:color w:val="000000"/>
                <w:kern w:val="0"/>
                <w:sz w:val="28"/>
                <w:szCs w:val="28"/>
                <w:u w:val="none"/>
                <w:lang w:val="en-US" w:eastAsia="zh-CN" w:bidi="ar"/>
              </w:rPr>
            </w:pPr>
            <w:r>
              <w:rPr>
                <w:rFonts w:hint="eastAsia" w:ascii="仿宋" w:hAnsi="仿宋" w:eastAsia="仿宋" w:cs="仿宋"/>
                <w:i w:val="0"/>
                <w:iCs w:val="0"/>
                <w:color w:val="000000"/>
                <w:kern w:val="0"/>
                <w:sz w:val="28"/>
                <w:szCs w:val="28"/>
                <w:u w:val="none"/>
                <w:lang w:val="en-US" w:eastAsia="zh-CN" w:bidi="ar"/>
              </w:rPr>
              <w:t>184.64</w:t>
            </w:r>
          </w:p>
        </w:tc>
        <w:tc>
          <w:tcPr>
            <w:tcW w:w="20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40900">
            <w:pPr>
              <w:keepNext w:val="0"/>
              <w:keepLines w:val="0"/>
              <w:pageBreakBefore w:val="0"/>
              <w:widowControl/>
              <w:suppressLineNumbers w:val="0"/>
              <w:kinsoku/>
              <w:wordWrap/>
              <w:topLinePunct w:val="0"/>
              <w:bidi w:val="0"/>
              <w:snapToGrid/>
              <w:spacing w:line="240" w:lineRule="auto"/>
              <w:jc w:val="center"/>
              <w:textAlignment w:val="center"/>
              <w:rPr>
                <w:rFonts w:hint="eastAsia" w:ascii="仿宋" w:hAnsi="仿宋" w:eastAsia="仿宋" w:cs="仿宋"/>
                <w:i w:val="0"/>
                <w:iCs w:val="0"/>
                <w:color w:val="000000"/>
                <w:kern w:val="0"/>
                <w:sz w:val="28"/>
                <w:szCs w:val="28"/>
                <w:u w:val="none"/>
                <w:lang w:val="en-US" w:eastAsia="zh-CN" w:bidi="ar"/>
              </w:rPr>
            </w:pPr>
            <w:r>
              <w:rPr>
                <w:rFonts w:hint="eastAsia" w:ascii="仿宋" w:hAnsi="仿宋" w:eastAsia="仿宋" w:cs="仿宋"/>
                <w:i w:val="0"/>
                <w:iCs w:val="0"/>
                <w:color w:val="000000"/>
                <w:kern w:val="0"/>
                <w:sz w:val="28"/>
                <w:szCs w:val="28"/>
                <w:u w:val="none"/>
                <w:lang w:val="en-US" w:eastAsia="zh-CN" w:bidi="ar"/>
              </w:rPr>
              <w:t>10.00%</w:t>
            </w:r>
          </w:p>
        </w:tc>
      </w:tr>
      <w:tr w14:paraId="0548AF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49255A">
            <w:pPr>
              <w:keepNext w:val="0"/>
              <w:keepLines w:val="0"/>
              <w:pageBreakBefore w:val="0"/>
              <w:widowControl/>
              <w:suppressLineNumbers w:val="0"/>
              <w:kinsoku/>
              <w:wordWrap/>
              <w:topLinePunct w:val="0"/>
              <w:bidi w:val="0"/>
              <w:snapToGrid/>
              <w:spacing w:line="240" w:lineRule="auto"/>
              <w:jc w:val="center"/>
              <w:textAlignment w:val="center"/>
              <w:rPr>
                <w:rFonts w:hint="default" w:ascii="仿宋" w:hAnsi="仿宋" w:eastAsia="仿宋" w:cs="仿宋"/>
                <w:i w:val="0"/>
                <w:iCs w:val="0"/>
                <w:color w:val="000000"/>
                <w:kern w:val="0"/>
                <w:sz w:val="28"/>
                <w:szCs w:val="28"/>
                <w:u w:val="none"/>
                <w:lang w:val="en-US" w:eastAsia="zh-CN" w:bidi="ar"/>
              </w:rPr>
            </w:pPr>
            <w:r>
              <w:rPr>
                <w:rFonts w:hint="eastAsia" w:ascii="仿宋" w:hAnsi="仿宋" w:eastAsia="仿宋" w:cs="仿宋"/>
                <w:i w:val="0"/>
                <w:iCs w:val="0"/>
                <w:color w:val="000000"/>
                <w:kern w:val="0"/>
                <w:sz w:val="28"/>
                <w:szCs w:val="28"/>
                <w:u w:val="none"/>
                <w:lang w:val="en-US" w:eastAsia="zh-CN" w:bidi="ar"/>
              </w:rPr>
              <w:t>4</w:t>
            </w:r>
          </w:p>
        </w:tc>
        <w:tc>
          <w:tcPr>
            <w:tcW w:w="3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17B1D">
            <w:pPr>
              <w:keepNext w:val="0"/>
              <w:keepLines w:val="0"/>
              <w:pageBreakBefore w:val="0"/>
              <w:widowControl/>
              <w:suppressLineNumbers w:val="0"/>
              <w:kinsoku/>
              <w:wordWrap/>
              <w:topLinePunct w:val="0"/>
              <w:bidi w:val="0"/>
              <w:snapToGrid/>
              <w:spacing w:line="240" w:lineRule="auto"/>
              <w:jc w:val="center"/>
              <w:textAlignment w:val="center"/>
              <w:rPr>
                <w:rFonts w:hint="eastAsia" w:ascii="仿宋" w:hAnsi="仿宋" w:eastAsia="仿宋" w:cs="仿宋"/>
                <w:i w:val="0"/>
                <w:iCs w:val="0"/>
                <w:color w:val="000000"/>
                <w:kern w:val="0"/>
                <w:sz w:val="28"/>
                <w:szCs w:val="28"/>
                <w:u w:val="none"/>
                <w:lang w:val="en-US" w:eastAsia="zh-CN" w:bidi="ar"/>
              </w:rPr>
            </w:pPr>
            <w:r>
              <w:rPr>
                <w:rFonts w:hint="eastAsia" w:ascii="仿宋" w:hAnsi="仿宋" w:eastAsia="仿宋" w:cs="仿宋"/>
                <w:i w:val="0"/>
                <w:iCs w:val="0"/>
                <w:color w:val="000000"/>
                <w:kern w:val="0"/>
                <w:sz w:val="28"/>
                <w:szCs w:val="28"/>
                <w:u w:val="none"/>
                <w:lang w:val="en-US" w:eastAsia="zh-CN" w:bidi="ar"/>
              </w:rPr>
              <w:t>商品有机肥示范推广措施费</w:t>
            </w:r>
          </w:p>
        </w:tc>
        <w:tc>
          <w:tcPr>
            <w:tcW w:w="1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BB4C9">
            <w:pPr>
              <w:keepNext w:val="0"/>
              <w:keepLines w:val="0"/>
              <w:pageBreakBefore w:val="0"/>
              <w:widowControl/>
              <w:suppressLineNumbers w:val="0"/>
              <w:kinsoku/>
              <w:wordWrap/>
              <w:topLinePunct w:val="0"/>
              <w:bidi w:val="0"/>
              <w:snapToGrid/>
              <w:spacing w:line="240" w:lineRule="auto"/>
              <w:jc w:val="center"/>
              <w:textAlignment w:val="center"/>
              <w:rPr>
                <w:rFonts w:hint="eastAsia" w:ascii="仿宋" w:hAnsi="仿宋" w:eastAsia="仿宋" w:cs="仿宋"/>
                <w:i w:val="0"/>
                <w:iCs w:val="0"/>
                <w:color w:val="000000"/>
                <w:kern w:val="0"/>
                <w:sz w:val="28"/>
                <w:szCs w:val="28"/>
                <w:u w:val="none"/>
                <w:lang w:val="en-US" w:eastAsia="zh-CN" w:bidi="ar"/>
              </w:rPr>
            </w:pPr>
            <w:r>
              <w:rPr>
                <w:rFonts w:hint="eastAsia" w:ascii="仿宋" w:hAnsi="仿宋" w:eastAsia="仿宋" w:cs="仿宋"/>
                <w:i w:val="0"/>
                <w:iCs w:val="0"/>
                <w:color w:val="000000"/>
                <w:kern w:val="0"/>
                <w:sz w:val="28"/>
                <w:szCs w:val="28"/>
                <w:u w:val="none"/>
                <w:lang w:val="en-US" w:eastAsia="zh-CN" w:bidi="ar"/>
              </w:rPr>
              <w:t>92.32</w:t>
            </w:r>
          </w:p>
        </w:tc>
        <w:tc>
          <w:tcPr>
            <w:tcW w:w="20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7B6F3">
            <w:pPr>
              <w:keepNext w:val="0"/>
              <w:keepLines w:val="0"/>
              <w:pageBreakBefore w:val="0"/>
              <w:widowControl/>
              <w:suppressLineNumbers w:val="0"/>
              <w:kinsoku/>
              <w:wordWrap/>
              <w:topLinePunct w:val="0"/>
              <w:bidi w:val="0"/>
              <w:snapToGrid/>
              <w:spacing w:line="240" w:lineRule="auto"/>
              <w:jc w:val="center"/>
              <w:textAlignment w:val="center"/>
              <w:rPr>
                <w:rFonts w:hint="eastAsia" w:ascii="仿宋" w:hAnsi="仿宋" w:eastAsia="仿宋" w:cs="仿宋"/>
                <w:i w:val="0"/>
                <w:iCs w:val="0"/>
                <w:color w:val="000000"/>
                <w:kern w:val="0"/>
                <w:sz w:val="28"/>
                <w:szCs w:val="28"/>
                <w:u w:val="none"/>
                <w:lang w:val="en-US" w:eastAsia="zh-CN" w:bidi="ar"/>
              </w:rPr>
            </w:pPr>
            <w:r>
              <w:rPr>
                <w:rFonts w:hint="eastAsia" w:ascii="仿宋" w:hAnsi="仿宋" w:eastAsia="仿宋" w:cs="仿宋"/>
                <w:i w:val="0"/>
                <w:iCs w:val="0"/>
                <w:color w:val="000000"/>
                <w:kern w:val="0"/>
                <w:sz w:val="28"/>
                <w:szCs w:val="28"/>
                <w:u w:val="none"/>
                <w:lang w:val="en-US" w:eastAsia="zh-CN" w:bidi="ar"/>
              </w:rPr>
              <w:t>5.00%</w:t>
            </w:r>
          </w:p>
        </w:tc>
      </w:tr>
      <w:tr w14:paraId="0AE6E7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452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01E279">
            <w:pPr>
              <w:keepNext w:val="0"/>
              <w:keepLines w:val="0"/>
              <w:widowControl/>
              <w:suppressLineNumbers w:val="0"/>
              <w:jc w:val="center"/>
              <w:textAlignment w:val="center"/>
              <w:rPr>
                <w:rFonts w:hint="default" w:ascii="仿宋" w:hAnsi="仿宋" w:eastAsia="仿宋" w:cs="仿宋"/>
                <w:b w:val="0"/>
                <w:bCs w:val="0"/>
                <w:i w:val="0"/>
                <w:iCs w:val="0"/>
                <w:color w:val="000000"/>
                <w:kern w:val="0"/>
                <w:sz w:val="28"/>
                <w:szCs w:val="28"/>
                <w:u w:val="none"/>
                <w:lang w:val="en-US" w:eastAsia="zh-CN" w:bidi="ar"/>
              </w:rPr>
            </w:pPr>
            <w:r>
              <w:rPr>
                <w:rFonts w:hint="eastAsia" w:ascii="仿宋" w:hAnsi="仿宋" w:eastAsia="仿宋" w:cs="仿宋"/>
                <w:b w:val="0"/>
                <w:bCs w:val="0"/>
                <w:i w:val="0"/>
                <w:iCs w:val="0"/>
                <w:color w:val="000000"/>
                <w:kern w:val="0"/>
                <w:sz w:val="28"/>
                <w:szCs w:val="28"/>
                <w:u w:val="none"/>
                <w:lang w:val="en-US" w:eastAsia="zh-CN" w:bidi="ar"/>
              </w:rPr>
              <w:t>合计</w:t>
            </w:r>
          </w:p>
        </w:tc>
        <w:tc>
          <w:tcPr>
            <w:tcW w:w="1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DBC8C">
            <w:pPr>
              <w:keepNext w:val="0"/>
              <w:keepLines w:val="0"/>
              <w:pageBreakBefore w:val="0"/>
              <w:widowControl/>
              <w:suppressLineNumbers w:val="0"/>
              <w:kinsoku/>
              <w:wordWrap/>
              <w:topLinePunct w:val="0"/>
              <w:bidi w:val="0"/>
              <w:snapToGrid/>
              <w:spacing w:line="240" w:lineRule="auto"/>
              <w:jc w:val="center"/>
              <w:textAlignment w:val="center"/>
              <w:rPr>
                <w:rFonts w:hint="default" w:ascii="仿宋" w:hAnsi="仿宋" w:eastAsia="仿宋" w:cs="仿宋"/>
                <w:i w:val="0"/>
                <w:iCs w:val="0"/>
                <w:color w:val="000000"/>
                <w:kern w:val="0"/>
                <w:sz w:val="28"/>
                <w:szCs w:val="28"/>
                <w:u w:val="none"/>
                <w:lang w:val="en-US" w:eastAsia="zh-CN" w:bidi="ar"/>
              </w:rPr>
            </w:pPr>
            <w:r>
              <w:rPr>
                <w:rFonts w:hint="eastAsia" w:ascii="仿宋" w:hAnsi="仿宋" w:eastAsia="仿宋" w:cs="仿宋"/>
                <w:i w:val="0"/>
                <w:iCs w:val="0"/>
                <w:color w:val="000000"/>
                <w:kern w:val="0"/>
                <w:sz w:val="28"/>
                <w:szCs w:val="28"/>
                <w:u w:val="none"/>
                <w:lang w:val="en-US" w:eastAsia="zh-CN" w:bidi="ar"/>
              </w:rPr>
              <w:t>1846.36</w:t>
            </w:r>
          </w:p>
        </w:tc>
        <w:tc>
          <w:tcPr>
            <w:tcW w:w="20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D47A2">
            <w:pPr>
              <w:keepNext w:val="0"/>
              <w:keepLines w:val="0"/>
              <w:pageBreakBefore w:val="0"/>
              <w:widowControl/>
              <w:suppressLineNumbers w:val="0"/>
              <w:kinsoku/>
              <w:wordWrap/>
              <w:topLinePunct w:val="0"/>
              <w:bidi w:val="0"/>
              <w:snapToGrid/>
              <w:spacing w:line="240" w:lineRule="auto"/>
              <w:jc w:val="center"/>
              <w:textAlignment w:val="center"/>
              <w:rPr>
                <w:rFonts w:hint="default" w:ascii="仿宋" w:hAnsi="仿宋" w:eastAsia="仿宋" w:cs="仿宋"/>
                <w:i w:val="0"/>
                <w:iCs w:val="0"/>
                <w:color w:val="000000"/>
                <w:kern w:val="0"/>
                <w:sz w:val="28"/>
                <w:szCs w:val="28"/>
                <w:u w:val="none"/>
                <w:lang w:val="en-US" w:eastAsia="zh-CN" w:bidi="ar"/>
              </w:rPr>
            </w:pPr>
            <w:r>
              <w:rPr>
                <w:rFonts w:hint="eastAsia" w:ascii="仿宋" w:hAnsi="仿宋" w:eastAsia="仿宋" w:cs="仿宋"/>
                <w:i w:val="0"/>
                <w:iCs w:val="0"/>
                <w:color w:val="000000"/>
                <w:kern w:val="0"/>
                <w:sz w:val="28"/>
                <w:szCs w:val="28"/>
                <w:u w:val="none"/>
                <w:lang w:val="en-US" w:eastAsia="zh-CN" w:bidi="ar"/>
              </w:rPr>
              <w:t>100%</w:t>
            </w:r>
          </w:p>
        </w:tc>
      </w:tr>
    </w:tbl>
    <w:p w14:paraId="2D30FC5B">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both"/>
        <w:textAlignment w:val="auto"/>
        <w:rPr>
          <w:rFonts w:hint="eastAsia" w:ascii="仿宋_GB2312" w:hAnsi="仿宋_GB2312" w:eastAsia="仿宋_GB2312" w:cs="仿宋_GB2312"/>
          <w:color w:val="auto"/>
          <w:sz w:val="16"/>
          <w:szCs w:val="16"/>
          <w:lang w:val="en-US" w:eastAsia="zh-CN"/>
        </w:rPr>
      </w:pPr>
    </w:p>
    <w:p w14:paraId="0E5F97E1">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1"/>
        <w:rPr>
          <w:rFonts w:hint="eastAsia" w:ascii="仿宋_GB2312" w:hAnsi="仿宋_GB2312" w:eastAsia="仿宋_GB2312" w:cs="仿宋_GB2312"/>
          <w:color w:val="auto"/>
          <w:sz w:val="32"/>
          <w:szCs w:val="32"/>
          <w:lang w:val="en-US" w:eastAsia="zh-CN"/>
        </w:rPr>
      </w:pPr>
      <w:bookmarkStart w:id="41" w:name="_Toc25069"/>
      <w:r>
        <w:rPr>
          <w:rFonts w:hint="eastAsia" w:ascii="楷体_GB2312" w:hAnsi="楷体_GB2312" w:eastAsia="楷体_GB2312" w:cs="楷体_GB2312"/>
          <w:b/>
          <w:bCs/>
          <w:color w:val="auto"/>
          <w:sz w:val="32"/>
          <w:szCs w:val="32"/>
          <w:lang w:val="en-US" w:eastAsia="zh-CN"/>
        </w:rPr>
        <w:t>（五）项目绩效目标</w:t>
      </w:r>
      <w:bookmarkEnd w:id="41"/>
    </w:p>
    <w:p w14:paraId="684EA1BE">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default" w:ascii="方正仿宋_GB2312" w:hAnsi="方正仿宋_GB2312" w:eastAsia="方正仿宋_GB2312" w:cs="方正仿宋_GB2312"/>
          <w:b/>
          <w:bCs/>
          <w:color w:val="auto"/>
          <w:sz w:val="32"/>
          <w:szCs w:val="32"/>
          <w:lang w:val="en-US" w:eastAsia="zh-CN"/>
        </w:rPr>
      </w:pPr>
      <w:bookmarkStart w:id="42" w:name="_Toc24983"/>
      <w:r>
        <w:rPr>
          <w:rFonts w:hint="eastAsia" w:ascii="仿宋_GB2312" w:hAnsi="仿宋_GB2312" w:eastAsia="仿宋_GB2312" w:cs="仿宋_GB2312"/>
          <w:b/>
          <w:bCs/>
          <w:color w:val="auto"/>
          <w:sz w:val="32"/>
          <w:szCs w:val="32"/>
          <w:lang w:val="en-US" w:eastAsia="zh-CN"/>
        </w:rPr>
        <w:t>1.项目总体绩效目标</w:t>
      </w:r>
      <w:bookmarkEnd w:id="42"/>
    </w:p>
    <w:p w14:paraId="6E5735A7">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石狮市高标准农田建设（一期）“五化”示范项目的总体目标是围绕“灌排化、机械化、生态化、田园化、数字化”，将高标准农田建设与田园综合体建设高度融合，实现“产业兴、百姓富、生态美”的田园风光目标。具体如下：</w:t>
      </w:r>
    </w:p>
    <w:p w14:paraId="486B60FB">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3"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b/>
          <w:bCs/>
          <w:color w:val="auto"/>
          <w:kern w:val="0"/>
          <w:sz w:val="32"/>
          <w:szCs w:val="32"/>
          <w:highlight w:val="none"/>
          <w:lang w:val="en-US" w:eastAsia="zh-CN" w:bidi="ar-SA"/>
        </w:rPr>
        <w:t>提升粮食产能与农业生产效率：</w:t>
      </w:r>
      <w:r>
        <w:rPr>
          <w:rFonts w:hint="eastAsia" w:ascii="仿宋_GB2312" w:hAnsi="仿宋_GB2312" w:eastAsia="仿宋_GB2312" w:cs="仿宋_GB2312"/>
          <w:color w:val="auto"/>
          <w:kern w:val="0"/>
          <w:sz w:val="32"/>
          <w:szCs w:val="32"/>
          <w:highlight w:val="none"/>
          <w:lang w:val="en-US" w:eastAsia="zh-CN" w:bidi="ar-SA"/>
        </w:rPr>
        <w:t>以提升粮食产能为首要目标，通过灌排化建设工程，新建泵站、改建灌排渠等，改善农田灌溉和排水条件，确保农田旱涝保收；通过机械化改造工程，改建田间道、新建下田坡道等，提高农业机械化作业水平，集中力量打造规模连片、稳产高产的高标准农田，为保障国家粮食安全奠定坚实基础。</w:t>
      </w:r>
    </w:p>
    <w:p w14:paraId="10DF36A5">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3"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b/>
          <w:bCs/>
          <w:color w:val="auto"/>
          <w:kern w:val="0"/>
          <w:sz w:val="32"/>
          <w:szCs w:val="32"/>
          <w:highlight w:val="none"/>
          <w:lang w:val="en-US" w:eastAsia="zh-CN" w:bidi="ar-SA"/>
        </w:rPr>
        <w:t>加强生态保护与可持续发展：</w:t>
      </w:r>
      <w:r>
        <w:rPr>
          <w:rFonts w:hint="eastAsia" w:ascii="仿宋_GB2312" w:hAnsi="仿宋_GB2312" w:eastAsia="仿宋_GB2312" w:cs="仿宋_GB2312"/>
          <w:color w:val="auto"/>
          <w:kern w:val="0"/>
          <w:sz w:val="32"/>
          <w:szCs w:val="32"/>
          <w:highlight w:val="none"/>
          <w:lang w:val="en-US" w:eastAsia="zh-CN" w:bidi="ar-SA"/>
        </w:rPr>
        <w:t>实施农田生态化建设工程，如地力培肥3100亩，施用商品有机肥，提升土壤肥力，保护农田生态环境；同时，通过数字化工程中的智能型视频气象站、土壤墒情站等设备，实时监测农田环境，实现科学种田，促进农业可持续发展。</w:t>
      </w:r>
    </w:p>
    <w:p w14:paraId="1FCA5997">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3"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b/>
          <w:bCs/>
          <w:color w:val="auto"/>
          <w:kern w:val="0"/>
          <w:sz w:val="32"/>
          <w:szCs w:val="32"/>
          <w:highlight w:val="none"/>
          <w:lang w:val="en-US" w:eastAsia="zh-CN" w:bidi="ar-SA"/>
        </w:rPr>
        <w:t>推动产业融合与乡村振兴：</w:t>
      </w:r>
      <w:r>
        <w:rPr>
          <w:rFonts w:hint="eastAsia" w:ascii="仿宋_GB2312" w:hAnsi="仿宋_GB2312" w:eastAsia="仿宋_GB2312" w:cs="仿宋_GB2312"/>
          <w:color w:val="auto"/>
          <w:kern w:val="0"/>
          <w:sz w:val="32"/>
          <w:szCs w:val="32"/>
          <w:highlight w:val="none"/>
          <w:lang w:val="en-US" w:eastAsia="zh-CN" w:bidi="ar-SA"/>
        </w:rPr>
        <w:t>依托美丽河道、田园、村庄等建设工程，打造空间层次丰富的滨海田园风光综合体，形成环高标准农田核心区“520”田园景观休闲健身步道等，将农业与旅游、文化等产业有机结合，实现一二三产业融合发展，促进乡村产业兴旺，增加农民收入，助力乡村振兴。</w:t>
      </w:r>
    </w:p>
    <w:p w14:paraId="767113B1">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eastAsia" w:ascii="仿宋_GB2312" w:hAnsi="仿宋_GB2312" w:eastAsia="仿宋_GB2312" w:cs="仿宋_GB2312"/>
          <w:color w:val="auto"/>
          <w:sz w:val="32"/>
          <w:szCs w:val="32"/>
          <w:highlight w:val="none"/>
          <w:lang w:val="en-US" w:eastAsia="zh-CN"/>
        </w:rPr>
      </w:pPr>
      <w:bookmarkStart w:id="43" w:name="_Toc10106"/>
      <w:r>
        <w:rPr>
          <w:rFonts w:hint="eastAsia" w:ascii="仿宋_GB2312" w:hAnsi="仿宋_GB2312" w:eastAsia="仿宋_GB2312" w:cs="仿宋_GB2312"/>
          <w:b/>
          <w:bCs/>
          <w:color w:val="auto"/>
          <w:sz w:val="32"/>
          <w:szCs w:val="32"/>
          <w:highlight w:val="none"/>
          <w:lang w:val="en-US" w:eastAsia="zh-CN"/>
        </w:rPr>
        <w:t>2.项目绩效指标</w:t>
      </w:r>
      <w:bookmarkEnd w:id="43"/>
    </w:p>
    <w:p w14:paraId="2CFE5CA7">
      <w:pPr>
        <w:jc w:val="center"/>
        <w:rPr>
          <w:rFonts w:hint="eastAsia" w:ascii="仿宋" w:hAnsi="仿宋" w:eastAsia="仿宋" w:cs="仿宋"/>
          <w:b/>
          <w:bCs/>
          <w:color w:val="auto"/>
          <w:kern w:val="0"/>
          <w:sz w:val="28"/>
          <w:szCs w:val="28"/>
          <w:highlight w:val="none"/>
          <w:lang w:val="en-US" w:eastAsia="zh-CN" w:bidi="ar-SA"/>
        </w:rPr>
      </w:pPr>
      <w:r>
        <w:rPr>
          <w:rFonts w:hint="eastAsia" w:ascii="仿宋" w:hAnsi="仿宋" w:eastAsia="仿宋" w:cs="仿宋"/>
          <w:b/>
          <w:bCs/>
          <w:color w:val="auto"/>
          <w:kern w:val="0"/>
          <w:sz w:val="28"/>
          <w:szCs w:val="28"/>
          <w:highlight w:val="none"/>
          <w:lang w:val="en-US" w:eastAsia="zh-CN" w:bidi="ar-SA"/>
        </w:rPr>
        <w:t>表3 项目绩效指标表</w:t>
      </w:r>
    </w:p>
    <w:tbl>
      <w:tblPr>
        <w:tblStyle w:val="15"/>
        <w:tblW w:w="842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333"/>
        <w:gridCol w:w="1756"/>
        <w:gridCol w:w="3412"/>
        <w:gridCol w:w="1919"/>
      </w:tblGrid>
      <w:tr w14:paraId="7EEDE5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blHeader/>
          <w:jc w:val="center"/>
        </w:trPr>
        <w:tc>
          <w:tcPr>
            <w:tcW w:w="1333"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11B491A5">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一级指标</w:t>
            </w:r>
          </w:p>
        </w:tc>
        <w:tc>
          <w:tcPr>
            <w:tcW w:w="1756"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151CC83F">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二级指标</w:t>
            </w:r>
          </w:p>
        </w:tc>
        <w:tc>
          <w:tcPr>
            <w:tcW w:w="3412"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0B611AFB">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三级指标</w:t>
            </w:r>
          </w:p>
        </w:tc>
        <w:tc>
          <w:tcPr>
            <w:tcW w:w="1919" w:type="dxa"/>
            <w:tcBorders>
              <w:top w:val="single" w:color="000000" w:sz="4" w:space="0"/>
              <w:left w:val="single" w:color="000000" w:sz="4" w:space="0"/>
              <w:bottom w:val="single" w:color="000000" w:sz="4" w:space="0"/>
              <w:right w:val="single" w:color="000000" w:sz="8" w:space="0"/>
            </w:tcBorders>
            <w:shd w:val="clear" w:color="auto" w:fill="D7D7D7" w:themeFill="background1" w:themeFillShade="D8"/>
            <w:vAlign w:val="center"/>
          </w:tcPr>
          <w:p w14:paraId="0F185014">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指标值</w:t>
            </w:r>
          </w:p>
        </w:tc>
      </w:tr>
      <w:tr w14:paraId="1D5F34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jc w:val="center"/>
        </w:trPr>
        <w:tc>
          <w:tcPr>
            <w:tcW w:w="1333" w:type="dxa"/>
            <w:vMerge w:val="restart"/>
            <w:tcBorders>
              <w:top w:val="single" w:color="000000" w:sz="4" w:space="0"/>
              <w:left w:val="single" w:color="000000" w:sz="4" w:space="0"/>
              <w:right w:val="single" w:color="000000" w:sz="4" w:space="0"/>
            </w:tcBorders>
            <w:shd w:val="clear" w:color="auto" w:fill="auto"/>
            <w:vAlign w:val="center"/>
          </w:tcPr>
          <w:p w14:paraId="7D56153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产出指标</w:t>
            </w:r>
          </w:p>
        </w:tc>
        <w:tc>
          <w:tcPr>
            <w:tcW w:w="17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B21F1">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数量指标</w:t>
            </w:r>
          </w:p>
        </w:tc>
        <w:tc>
          <w:tcPr>
            <w:tcW w:w="34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14BE6">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完成农田建设任务</w:t>
            </w:r>
          </w:p>
        </w:tc>
        <w:tc>
          <w:tcPr>
            <w:tcW w:w="1919" w:type="dxa"/>
            <w:tcBorders>
              <w:top w:val="single" w:color="000000" w:sz="4" w:space="0"/>
              <w:left w:val="single" w:color="000000" w:sz="4" w:space="0"/>
              <w:bottom w:val="single" w:color="000000" w:sz="4" w:space="0"/>
              <w:right w:val="single" w:color="000000" w:sz="8" w:space="0"/>
            </w:tcBorders>
            <w:shd w:val="clear" w:color="auto" w:fill="auto"/>
            <w:vAlign w:val="center"/>
          </w:tcPr>
          <w:p w14:paraId="34656D4A">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≥3100</w:t>
            </w:r>
          </w:p>
        </w:tc>
      </w:tr>
      <w:tr w14:paraId="2393E0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jc w:val="center"/>
        </w:trPr>
        <w:tc>
          <w:tcPr>
            <w:tcW w:w="1333" w:type="dxa"/>
            <w:vMerge w:val="continue"/>
            <w:tcBorders>
              <w:left w:val="single" w:color="000000" w:sz="4" w:space="0"/>
              <w:right w:val="single" w:color="000000" w:sz="4" w:space="0"/>
            </w:tcBorders>
            <w:shd w:val="clear" w:color="auto" w:fill="auto"/>
            <w:vAlign w:val="center"/>
          </w:tcPr>
          <w:p w14:paraId="32A6C1C8">
            <w:pPr>
              <w:jc w:val="center"/>
              <w:rPr>
                <w:rFonts w:hint="eastAsia" w:ascii="仿宋" w:hAnsi="仿宋" w:eastAsia="仿宋" w:cs="仿宋"/>
                <w:i w:val="0"/>
                <w:iCs w:val="0"/>
                <w:color w:val="000000"/>
                <w:sz w:val="24"/>
                <w:szCs w:val="24"/>
                <w:u w:val="none"/>
              </w:rPr>
            </w:pPr>
          </w:p>
        </w:tc>
        <w:tc>
          <w:tcPr>
            <w:tcW w:w="17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02E78">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时效指标</w:t>
            </w:r>
          </w:p>
        </w:tc>
        <w:tc>
          <w:tcPr>
            <w:tcW w:w="34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0319EC">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资金使用率</w:t>
            </w:r>
          </w:p>
        </w:tc>
        <w:tc>
          <w:tcPr>
            <w:tcW w:w="1919" w:type="dxa"/>
            <w:tcBorders>
              <w:top w:val="single" w:color="000000" w:sz="4" w:space="0"/>
              <w:left w:val="single" w:color="000000" w:sz="4" w:space="0"/>
              <w:bottom w:val="single" w:color="000000" w:sz="4" w:space="0"/>
              <w:right w:val="single" w:color="000000" w:sz="8" w:space="0"/>
            </w:tcBorders>
            <w:shd w:val="clear" w:color="auto" w:fill="auto"/>
            <w:vAlign w:val="center"/>
          </w:tcPr>
          <w:p w14:paraId="7F730F5F">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=100</w:t>
            </w:r>
          </w:p>
        </w:tc>
      </w:tr>
      <w:tr w14:paraId="1CA888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jc w:val="center"/>
        </w:trPr>
        <w:tc>
          <w:tcPr>
            <w:tcW w:w="1333" w:type="dxa"/>
            <w:vMerge w:val="continue"/>
            <w:tcBorders>
              <w:left w:val="single" w:color="000000" w:sz="4" w:space="0"/>
              <w:right w:val="single" w:color="000000" w:sz="4" w:space="0"/>
            </w:tcBorders>
            <w:shd w:val="clear" w:color="auto" w:fill="auto"/>
            <w:vAlign w:val="center"/>
          </w:tcPr>
          <w:p w14:paraId="3C20FA3E">
            <w:pPr>
              <w:jc w:val="center"/>
              <w:rPr>
                <w:rFonts w:hint="eastAsia" w:ascii="仿宋" w:hAnsi="仿宋" w:eastAsia="仿宋" w:cs="仿宋"/>
                <w:i w:val="0"/>
                <w:iCs w:val="0"/>
                <w:color w:val="000000"/>
                <w:sz w:val="24"/>
                <w:szCs w:val="24"/>
                <w:u w:val="none"/>
              </w:rPr>
            </w:pPr>
          </w:p>
        </w:tc>
        <w:tc>
          <w:tcPr>
            <w:tcW w:w="17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9B5DA">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成本指标</w:t>
            </w:r>
          </w:p>
        </w:tc>
        <w:tc>
          <w:tcPr>
            <w:tcW w:w="34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B66D1">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财政补助资金</w:t>
            </w:r>
          </w:p>
        </w:tc>
        <w:tc>
          <w:tcPr>
            <w:tcW w:w="1919" w:type="dxa"/>
            <w:tcBorders>
              <w:top w:val="single" w:color="000000" w:sz="4" w:space="0"/>
              <w:left w:val="single" w:color="000000" w:sz="4" w:space="0"/>
              <w:bottom w:val="single" w:color="000000" w:sz="4" w:space="0"/>
              <w:right w:val="single" w:color="000000" w:sz="8" w:space="0"/>
            </w:tcBorders>
            <w:shd w:val="clear" w:color="auto" w:fill="auto"/>
            <w:vAlign w:val="center"/>
          </w:tcPr>
          <w:p w14:paraId="2612C095">
            <w:pPr>
              <w:keepNext w:val="0"/>
              <w:keepLines w:val="0"/>
              <w:widowControl/>
              <w:suppressLineNumbers w:val="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≤4000/亩</w:t>
            </w:r>
          </w:p>
        </w:tc>
      </w:tr>
      <w:tr w14:paraId="5AF65F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jc w:val="center"/>
        </w:trPr>
        <w:tc>
          <w:tcPr>
            <w:tcW w:w="1333" w:type="dxa"/>
            <w:vMerge w:val="continue"/>
            <w:tcBorders>
              <w:left w:val="single" w:color="000000" w:sz="4" w:space="0"/>
              <w:bottom w:val="single" w:color="000000" w:sz="4" w:space="0"/>
              <w:right w:val="single" w:color="000000" w:sz="4" w:space="0"/>
            </w:tcBorders>
            <w:shd w:val="clear" w:color="auto" w:fill="auto"/>
            <w:vAlign w:val="center"/>
          </w:tcPr>
          <w:p w14:paraId="39AD2D14">
            <w:pPr>
              <w:jc w:val="center"/>
              <w:rPr>
                <w:rFonts w:hint="eastAsia" w:ascii="仿宋" w:hAnsi="仿宋" w:eastAsia="仿宋" w:cs="仿宋"/>
                <w:i w:val="0"/>
                <w:iCs w:val="0"/>
                <w:color w:val="000000"/>
                <w:sz w:val="24"/>
                <w:szCs w:val="24"/>
                <w:u w:val="none"/>
              </w:rPr>
            </w:pPr>
          </w:p>
        </w:tc>
        <w:tc>
          <w:tcPr>
            <w:tcW w:w="17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CC671">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质量指标</w:t>
            </w:r>
          </w:p>
        </w:tc>
        <w:tc>
          <w:tcPr>
            <w:tcW w:w="34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E6890">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项目验收合格率</w:t>
            </w:r>
          </w:p>
        </w:tc>
        <w:tc>
          <w:tcPr>
            <w:tcW w:w="1919" w:type="dxa"/>
            <w:tcBorders>
              <w:top w:val="single" w:color="000000" w:sz="4" w:space="0"/>
              <w:left w:val="single" w:color="000000" w:sz="4" w:space="0"/>
              <w:bottom w:val="single" w:color="000000" w:sz="4" w:space="0"/>
              <w:right w:val="single" w:color="000000" w:sz="8" w:space="0"/>
            </w:tcBorders>
            <w:shd w:val="clear" w:color="auto" w:fill="auto"/>
            <w:vAlign w:val="center"/>
          </w:tcPr>
          <w:p w14:paraId="162810E1">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=100</w:t>
            </w:r>
          </w:p>
        </w:tc>
      </w:tr>
      <w:tr w14:paraId="49175D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jc w:val="center"/>
        </w:trPr>
        <w:tc>
          <w:tcPr>
            <w:tcW w:w="1333" w:type="dxa"/>
            <w:vMerge w:val="restart"/>
            <w:tcBorders>
              <w:top w:val="single" w:color="000000" w:sz="4" w:space="0"/>
              <w:left w:val="single" w:color="000000" w:sz="4" w:space="0"/>
              <w:right w:val="single" w:color="000000" w:sz="4" w:space="0"/>
            </w:tcBorders>
            <w:shd w:val="clear" w:color="auto" w:fill="auto"/>
            <w:vAlign w:val="center"/>
          </w:tcPr>
          <w:p w14:paraId="6C7D418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效益指标</w:t>
            </w:r>
          </w:p>
        </w:tc>
        <w:tc>
          <w:tcPr>
            <w:tcW w:w="175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B9BE8C">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社会效益目标</w:t>
            </w:r>
          </w:p>
        </w:tc>
        <w:tc>
          <w:tcPr>
            <w:tcW w:w="34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6BA86">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资金使用重大违纪违规问题</w:t>
            </w:r>
          </w:p>
        </w:tc>
        <w:tc>
          <w:tcPr>
            <w:tcW w:w="1919" w:type="dxa"/>
            <w:tcBorders>
              <w:top w:val="single" w:color="000000" w:sz="4" w:space="0"/>
              <w:left w:val="single" w:color="000000" w:sz="4" w:space="0"/>
              <w:bottom w:val="single" w:color="000000" w:sz="4" w:space="0"/>
              <w:right w:val="single" w:color="000000" w:sz="8" w:space="0"/>
            </w:tcBorders>
            <w:shd w:val="clear" w:color="auto" w:fill="auto"/>
            <w:vAlign w:val="center"/>
          </w:tcPr>
          <w:p w14:paraId="04A39596">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无</w:t>
            </w:r>
          </w:p>
        </w:tc>
      </w:tr>
      <w:tr w14:paraId="2ED3B0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jc w:val="center"/>
        </w:trPr>
        <w:tc>
          <w:tcPr>
            <w:tcW w:w="1333" w:type="dxa"/>
            <w:vMerge w:val="continue"/>
            <w:tcBorders>
              <w:left w:val="single" w:color="000000" w:sz="4" w:space="0"/>
              <w:bottom w:val="single" w:color="000000" w:sz="4" w:space="0"/>
              <w:right w:val="single" w:color="000000" w:sz="4" w:space="0"/>
            </w:tcBorders>
            <w:shd w:val="clear" w:color="auto" w:fill="auto"/>
            <w:vAlign w:val="center"/>
          </w:tcPr>
          <w:p w14:paraId="374FC725">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p>
        </w:tc>
        <w:tc>
          <w:tcPr>
            <w:tcW w:w="175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2DF411">
            <w:pPr>
              <w:jc w:val="center"/>
              <w:rPr>
                <w:rFonts w:hint="eastAsia" w:ascii="仿宋" w:hAnsi="仿宋" w:eastAsia="仿宋" w:cs="仿宋"/>
                <w:i w:val="0"/>
                <w:iCs w:val="0"/>
                <w:color w:val="000000"/>
                <w:kern w:val="0"/>
                <w:sz w:val="24"/>
                <w:szCs w:val="24"/>
                <w:u w:val="none"/>
                <w:lang w:val="en-US" w:eastAsia="zh-CN" w:bidi="ar"/>
              </w:rPr>
            </w:pPr>
          </w:p>
        </w:tc>
        <w:tc>
          <w:tcPr>
            <w:tcW w:w="34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8B3D6">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扶持农业产业配套基础设施项目</w:t>
            </w:r>
          </w:p>
        </w:tc>
        <w:tc>
          <w:tcPr>
            <w:tcW w:w="1919" w:type="dxa"/>
            <w:tcBorders>
              <w:top w:val="single" w:color="000000" w:sz="4" w:space="0"/>
              <w:left w:val="single" w:color="000000" w:sz="4" w:space="0"/>
              <w:bottom w:val="single" w:color="000000" w:sz="4" w:space="0"/>
              <w:right w:val="single" w:color="000000" w:sz="8" w:space="0"/>
            </w:tcBorders>
            <w:shd w:val="clear" w:color="auto" w:fill="auto"/>
            <w:vAlign w:val="center"/>
          </w:tcPr>
          <w:p w14:paraId="6A597856">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显著改善</w:t>
            </w:r>
          </w:p>
        </w:tc>
      </w:tr>
      <w:tr w14:paraId="556893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jc w:val="center"/>
        </w:trPr>
        <w:tc>
          <w:tcPr>
            <w:tcW w:w="1333" w:type="dxa"/>
            <w:tcBorders>
              <w:top w:val="single" w:color="000000" w:sz="4" w:space="0"/>
              <w:left w:val="single" w:color="000000" w:sz="4" w:space="0"/>
              <w:bottom w:val="single" w:color="000000" w:sz="8" w:space="0"/>
              <w:right w:val="single" w:color="000000" w:sz="4" w:space="0"/>
            </w:tcBorders>
            <w:shd w:val="clear" w:color="auto" w:fill="auto"/>
            <w:vAlign w:val="center"/>
          </w:tcPr>
          <w:p w14:paraId="592A4C4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满意度指标</w:t>
            </w:r>
          </w:p>
        </w:tc>
        <w:tc>
          <w:tcPr>
            <w:tcW w:w="1756" w:type="dxa"/>
            <w:tcBorders>
              <w:top w:val="single" w:color="000000" w:sz="4" w:space="0"/>
              <w:left w:val="single" w:color="000000" w:sz="4" w:space="0"/>
              <w:bottom w:val="single" w:color="000000" w:sz="8" w:space="0"/>
              <w:right w:val="single" w:color="000000" w:sz="4" w:space="0"/>
            </w:tcBorders>
            <w:shd w:val="clear" w:color="auto" w:fill="auto"/>
            <w:vAlign w:val="center"/>
          </w:tcPr>
          <w:p w14:paraId="1A789502">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农户满意度指标</w:t>
            </w:r>
          </w:p>
        </w:tc>
        <w:tc>
          <w:tcPr>
            <w:tcW w:w="3412" w:type="dxa"/>
            <w:tcBorders>
              <w:top w:val="single" w:color="000000" w:sz="4" w:space="0"/>
              <w:left w:val="single" w:color="000000" w:sz="4" w:space="0"/>
              <w:bottom w:val="single" w:color="000000" w:sz="8" w:space="0"/>
              <w:right w:val="single" w:color="000000" w:sz="4" w:space="0"/>
            </w:tcBorders>
            <w:shd w:val="clear" w:color="auto" w:fill="auto"/>
            <w:vAlign w:val="center"/>
          </w:tcPr>
          <w:p w14:paraId="7FE06045">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项目区受益群众满意率</w:t>
            </w:r>
          </w:p>
        </w:tc>
        <w:tc>
          <w:tcPr>
            <w:tcW w:w="1919" w:type="dxa"/>
            <w:tcBorders>
              <w:top w:val="single" w:color="000000" w:sz="4" w:space="0"/>
              <w:left w:val="single" w:color="000000" w:sz="4" w:space="0"/>
              <w:bottom w:val="single" w:color="000000" w:sz="8" w:space="0"/>
              <w:right w:val="single" w:color="000000" w:sz="8" w:space="0"/>
            </w:tcBorders>
            <w:shd w:val="clear" w:color="auto" w:fill="auto"/>
            <w:vAlign w:val="center"/>
          </w:tcPr>
          <w:p w14:paraId="0E418635">
            <w:pPr>
              <w:keepNext w:val="0"/>
              <w:keepLines w:val="0"/>
              <w:widowControl/>
              <w:suppressLineNumbers w:val="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≥90%</w:t>
            </w:r>
          </w:p>
        </w:tc>
      </w:tr>
      <w:bookmarkEnd w:id="38"/>
    </w:tbl>
    <w:p w14:paraId="25136EE9">
      <w:pPr>
        <w:keepNext w:val="0"/>
        <w:keepLines w:val="0"/>
        <w:pageBreakBefore w:val="0"/>
        <w:numPr>
          <w:ilvl w:val="0"/>
          <w:numId w:val="0"/>
        </w:numPr>
        <w:kinsoku/>
        <w:wordWrap/>
        <w:topLinePunct w:val="0"/>
        <w:bidi w:val="0"/>
        <w:snapToGrid/>
        <w:spacing w:line="240" w:lineRule="auto"/>
        <w:outlineLvl w:val="9"/>
        <w:rPr>
          <w:rFonts w:hint="eastAsia" w:ascii="仿宋" w:hAnsi="仿宋" w:eastAsia="仿宋" w:cs="仿宋"/>
          <w:color w:val="auto"/>
          <w:kern w:val="0"/>
          <w:sz w:val="21"/>
          <w:szCs w:val="21"/>
          <w:highlight w:val="none"/>
          <w:lang w:val="en-US" w:eastAsia="zh-CN" w:bidi="ar-SA"/>
        </w:rPr>
      </w:pPr>
    </w:p>
    <w:p w14:paraId="767F15F0">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0"/>
        <w:rPr>
          <w:rFonts w:hint="eastAsia" w:ascii="黑体" w:hAnsi="黑体" w:eastAsia="黑体" w:cs="黑体"/>
          <w:b/>
          <w:bCs/>
          <w:color w:val="auto"/>
          <w:sz w:val="32"/>
          <w:szCs w:val="32"/>
          <w:lang w:val="en-US" w:eastAsia="zh-CN"/>
        </w:rPr>
      </w:pPr>
      <w:bookmarkStart w:id="44" w:name="_Toc22186"/>
      <w:bookmarkStart w:id="45" w:name="_Toc2466"/>
      <w:bookmarkStart w:id="46" w:name="_Toc9242"/>
      <w:bookmarkStart w:id="47" w:name="_Toc18922"/>
      <w:r>
        <w:rPr>
          <w:rFonts w:hint="eastAsia" w:ascii="黑体" w:hAnsi="黑体" w:eastAsia="黑体" w:cs="黑体"/>
          <w:b/>
          <w:bCs/>
          <w:color w:val="auto"/>
          <w:sz w:val="32"/>
          <w:szCs w:val="32"/>
          <w:lang w:val="en-US" w:eastAsia="zh-CN"/>
        </w:rPr>
        <w:t>二、事中绩效评价工作开展情况</w:t>
      </w:r>
      <w:bookmarkEnd w:id="44"/>
      <w:bookmarkEnd w:id="45"/>
      <w:bookmarkEnd w:id="46"/>
      <w:bookmarkEnd w:id="47"/>
    </w:p>
    <w:p w14:paraId="136E366E">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1"/>
        <w:rPr>
          <w:rFonts w:hint="eastAsia" w:ascii="楷体_GB2312" w:hAnsi="楷体_GB2312" w:eastAsia="楷体_GB2312" w:cs="楷体_GB2312"/>
          <w:b/>
          <w:bCs/>
          <w:color w:val="auto"/>
          <w:sz w:val="32"/>
          <w:szCs w:val="32"/>
          <w:lang w:val="en-US" w:eastAsia="zh-CN"/>
        </w:rPr>
      </w:pPr>
      <w:bookmarkStart w:id="48" w:name="_Toc11409"/>
      <w:bookmarkStart w:id="49" w:name="_Toc18934"/>
      <w:bookmarkStart w:id="50" w:name="_Toc18978"/>
      <w:bookmarkStart w:id="51" w:name="_Toc3704"/>
      <w:bookmarkStart w:id="52" w:name="_Toc4103"/>
      <w:bookmarkStart w:id="53" w:name="_Toc7018"/>
      <w:bookmarkStart w:id="54" w:name="_Toc29519"/>
      <w:bookmarkStart w:id="55" w:name="_Toc15060"/>
      <w:r>
        <w:rPr>
          <w:rFonts w:hint="eastAsia" w:ascii="楷体_GB2312" w:hAnsi="楷体_GB2312" w:eastAsia="楷体_GB2312" w:cs="楷体_GB2312"/>
          <w:b/>
          <w:bCs/>
          <w:color w:val="auto"/>
          <w:sz w:val="32"/>
          <w:szCs w:val="32"/>
          <w:lang w:val="en-US" w:eastAsia="zh-CN"/>
        </w:rPr>
        <w:t>（一）评价目的</w:t>
      </w:r>
      <w:bookmarkEnd w:id="48"/>
      <w:bookmarkEnd w:id="49"/>
      <w:bookmarkEnd w:id="50"/>
      <w:bookmarkEnd w:id="51"/>
      <w:bookmarkEnd w:id="52"/>
      <w:bookmarkEnd w:id="53"/>
      <w:bookmarkEnd w:id="54"/>
      <w:bookmarkEnd w:id="55"/>
    </w:p>
    <w:p w14:paraId="300E03E5">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bookmarkStart w:id="56" w:name="_Toc21092"/>
      <w:bookmarkStart w:id="57" w:name="_Toc20806"/>
      <w:bookmarkStart w:id="58" w:name="_Toc11691"/>
      <w:bookmarkStart w:id="59" w:name="_Toc15152"/>
      <w:bookmarkStart w:id="60" w:name="_Toc2412"/>
      <w:bookmarkStart w:id="61" w:name="_Toc23653"/>
      <w:bookmarkStart w:id="62" w:name="_Toc20517"/>
      <w:bookmarkStart w:id="63" w:name="_Toc18921"/>
      <w:bookmarkStart w:id="64" w:name="_Toc3487"/>
      <w:bookmarkStart w:id="65" w:name="_Toc94"/>
      <w:r>
        <w:rPr>
          <w:rFonts w:hint="eastAsia" w:ascii="仿宋_GB2312" w:hAnsi="仿宋_GB2312" w:eastAsia="仿宋_GB2312" w:cs="仿宋_GB2312"/>
          <w:color w:val="auto"/>
          <w:kern w:val="0"/>
          <w:sz w:val="32"/>
          <w:szCs w:val="32"/>
          <w:highlight w:val="none"/>
          <w:lang w:val="en-US" w:eastAsia="zh-CN" w:bidi="ar-SA"/>
        </w:rPr>
        <w:t>通过评价，总结项目实施过程中的经验，发现问题，提出改进该项目决策、过程、产出和效益几方面的具体建议。为石狮市财政局、石狮市农业农村局和相关管理部门提升专项资金绩效工作管理水平，提高财政资金使用效益，为下一步预算资金安排提供参考依据</w:t>
      </w:r>
      <w:bookmarkEnd w:id="56"/>
      <w:bookmarkEnd w:id="57"/>
      <w:r>
        <w:rPr>
          <w:rFonts w:hint="eastAsia" w:ascii="仿宋_GB2312" w:hAnsi="仿宋_GB2312" w:eastAsia="仿宋_GB2312" w:cs="仿宋_GB2312"/>
          <w:color w:val="auto"/>
          <w:kern w:val="0"/>
          <w:sz w:val="32"/>
          <w:szCs w:val="32"/>
          <w:highlight w:val="none"/>
          <w:lang w:val="en-US" w:eastAsia="zh-CN" w:bidi="ar-SA"/>
        </w:rPr>
        <w:t>。</w:t>
      </w:r>
      <w:bookmarkEnd w:id="58"/>
      <w:bookmarkEnd w:id="59"/>
      <w:bookmarkEnd w:id="60"/>
      <w:bookmarkEnd w:id="61"/>
      <w:bookmarkEnd w:id="62"/>
      <w:bookmarkEnd w:id="63"/>
      <w:bookmarkEnd w:id="64"/>
      <w:bookmarkEnd w:id="65"/>
    </w:p>
    <w:p w14:paraId="466E57EB">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1"/>
        <w:rPr>
          <w:rFonts w:hint="eastAsia" w:ascii="楷体_GB2312" w:hAnsi="楷体_GB2312" w:eastAsia="楷体_GB2312" w:cs="楷体_GB2312"/>
          <w:b/>
          <w:bCs/>
          <w:color w:val="auto"/>
          <w:sz w:val="32"/>
          <w:szCs w:val="32"/>
          <w:lang w:val="en-US" w:eastAsia="zh-CN"/>
        </w:rPr>
      </w:pPr>
      <w:bookmarkStart w:id="66" w:name="_Toc2365"/>
      <w:bookmarkStart w:id="67" w:name="_Toc9958"/>
      <w:bookmarkStart w:id="68" w:name="_Toc22123"/>
      <w:bookmarkStart w:id="69" w:name="_Toc20507"/>
      <w:bookmarkStart w:id="70" w:name="_Toc2123"/>
      <w:bookmarkStart w:id="71" w:name="_Toc2903"/>
      <w:bookmarkStart w:id="72" w:name="_Toc15559"/>
      <w:bookmarkStart w:id="73" w:name="_Toc7319"/>
      <w:r>
        <w:rPr>
          <w:rFonts w:hint="eastAsia" w:ascii="楷体_GB2312" w:hAnsi="楷体_GB2312" w:eastAsia="楷体_GB2312" w:cs="楷体_GB2312"/>
          <w:b/>
          <w:bCs/>
          <w:color w:val="auto"/>
          <w:sz w:val="32"/>
          <w:szCs w:val="32"/>
          <w:lang w:val="en-US" w:eastAsia="zh-CN"/>
        </w:rPr>
        <w:t>（二）评价对象及范围</w:t>
      </w:r>
      <w:bookmarkEnd w:id="66"/>
      <w:bookmarkEnd w:id="67"/>
      <w:bookmarkEnd w:id="68"/>
      <w:bookmarkEnd w:id="69"/>
      <w:bookmarkEnd w:id="70"/>
      <w:bookmarkEnd w:id="71"/>
      <w:bookmarkEnd w:id="72"/>
      <w:bookmarkEnd w:id="73"/>
    </w:p>
    <w:p w14:paraId="68A13287">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bookmarkStart w:id="74" w:name="_Toc1024"/>
      <w:bookmarkStart w:id="75" w:name="_Toc31471"/>
      <w:bookmarkStart w:id="76" w:name="_Toc28337"/>
      <w:bookmarkStart w:id="77" w:name="_Toc18862"/>
      <w:bookmarkStart w:id="78" w:name="_Toc811"/>
      <w:bookmarkStart w:id="79" w:name="_Toc26033"/>
      <w:bookmarkStart w:id="80" w:name="_Toc13029"/>
      <w:bookmarkStart w:id="81" w:name="_Toc6940"/>
      <w:r>
        <w:rPr>
          <w:rFonts w:hint="eastAsia" w:ascii="仿宋_GB2312" w:hAnsi="仿宋_GB2312" w:eastAsia="仿宋_GB2312" w:cs="仿宋_GB2312"/>
          <w:color w:val="auto"/>
          <w:kern w:val="0"/>
          <w:sz w:val="32"/>
          <w:szCs w:val="32"/>
          <w:highlight w:val="none"/>
          <w:lang w:val="en-US" w:eastAsia="zh-CN" w:bidi="ar-SA"/>
        </w:rPr>
        <w:t>评价对象为石狮市高标准农田建设（一期）“五化”示范项目，涉及财政资金共1240万元，其中：中央资金534.85万元，省级资金274.5万元，泉州市级资金359.51万元（49.51万元），石狮市财政资金71.14万元；自筹资金606.36万元。</w:t>
      </w:r>
      <w:bookmarkEnd w:id="74"/>
      <w:bookmarkEnd w:id="75"/>
      <w:bookmarkEnd w:id="76"/>
      <w:bookmarkEnd w:id="77"/>
      <w:bookmarkEnd w:id="78"/>
      <w:bookmarkEnd w:id="79"/>
      <w:bookmarkEnd w:id="80"/>
      <w:bookmarkEnd w:id="81"/>
    </w:p>
    <w:p w14:paraId="23E4461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bookmarkStart w:id="82" w:name="_Toc5983"/>
      <w:bookmarkStart w:id="83" w:name="_Toc4221"/>
      <w:bookmarkStart w:id="84" w:name="_Toc13906"/>
      <w:bookmarkStart w:id="85" w:name="_Toc28433"/>
      <w:bookmarkStart w:id="86" w:name="_Toc29257"/>
      <w:bookmarkStart w:id="87" w:name="_Toc27148"/>
      <w:bookmarkStart w:id="88" w:name="_Toc28978"/>
      <w:bookmarkStart w:id="89" w:name="_Toc20673"/>
      <w:r>
        <w:rPr>
          <w:rFonts w:hint="eastAsia" w:ascii="仿宋_GB2312" w:hAnsi="仿宋_GB2312" w:eastAsia="仿宋_GB2312" w:cs="仿宋_GB2312"/>
          <w:color w:val="auto"/>
          <w:kern w:val="0"/>
          <w:sz w:val="32"/>
          <w:szCs w:val="32"/>
          <w:highlight w:val="none"/>
          <w:lang w:val="en-US" w:eastAsia="zh-CN" w:bidi="ar-SA"/>
        </w:rPr>
        <w:t>评价范围为项目单位围绕绩效目标所实施的各项活动，包括绩效目标的设定、资金投入和使用、采取措施以及绩效目标的实现程度和效果等。</w:t>
      </w:r>
      <w:bookmarkEnd w:id="82"/>
      <w:bookmarkEnd w:id="83"/>
      <w:bookmarkEnd w:id="84"/>
      <w:bookmarkEnd w:id="85"/>
      <w:bookmarkEnd w:id="86"/>
      <w:bookmarkEnd w:id="87"/>
      <w:bookmarkEnd w:id="88"/>
      <w:bookmarkEnd w:id="89"/>
    </w:p>
    <w:p w14:paraId="7B9AF7EF">
      <w:pPr>
        <w:keepNext w:val="0"/>
        <w:keepLines w:val="0"/>
        <w:pageBreakBefore w:val="0"/>
        <w:widowControl/>
        <w:shd w:val="clear" w:fill="FFFFFF" w:themeFill="background1"/>
        <w:kinsoku/>
        <w:wordWrap/>
        <w:overflowPunct w:val="0"/>
        <w:topLinePunct w:val="0"/>
        <w:autoSpaceDE w:val="0"/>
        <w:autoSpaceDN w:val="0"/>
        <w:bidi w:val="0"/>
        <w:adjustRightInd w:val="0"/>
        <w:snapToGrid/>
        <w:spacing w:line="240" w:lineRule="auto"/>
        <w:ind w:leftChars="0" w:firstLine="643" w:firstLineChars="200"/>
        <w:textAlignment w:val="baseline"/>
        <w:outlineLvl w:val="1"/>
        <w:rPr>
          <w:rFonts w:hint="eastAsia" w:ascii="仿宋" w:hAnsi="仿宋" w:eastAsia="仿宋" w:cs="仿宋"/>
          <w:b/>
          <w:bCs/>
          <w:color w:val="auto"/>
          <w:kern w:val="0"/>
          <w:sz w:val="28"/>
          <w:szCs w:val="28"/>
          <w:highlight w:val="none"/>
        </w:rPr>
      </w:pPr>
      <w:bookmarkStart w:id="90" w:name="_Toc19688"/>
      <w:bookmarkStart w:id="91" w:name="_Toc25485"/>
      <w:bookmarkStart w:id="92" w:name="_Toc13168"/>
      <w:bookmarkStart w:id="93" w:name="_Toc26157"/>
      <w:bookmarkStart w:id="94" w:name="_Toc31691"/>
      <w:bookmarkStart w:id="95" w:name="_Toc23160"/>
      <w:bookmarkStart w:id="96" w:name="_Toc13393"/>
      <w:bookmarkStart w:id="97" w:name="_Toc25327"/>
      <w:r>
        <w:rPr>
          <w:rFonts w:hint="eastAsia" w:ascii="楷体_GB2312" w:hAnsi="楷体_GB2312" w:eastAsia="楷体_GB2312" w:cs="楷体_GB2312"/>
          <w:b/>
          <w:bCs/>
          <w:color w:val="auto"/>
          <w:sz w:val="32"/>
          <w:szCs w:val="32"/>
          <w:lang w:val="en-US" w:eastAsia="zh-CN"/>
        </w:rPr>
        <w:t>（三）评价依据</w:t>
      </w:r>
      <w:bookmarkEnd w:id="90"/>
      <w:bookmarkEnd w:id="91"/>
      <w:bookmarkEnd w:id="92"/>
      <w:bookmarkEnd w:id="93"/>
      <w:bookmarkEnd w:id="94"/>
      <w:bookmarkEnd w:id="95"/>
      <w:bookmarkEnd w:id="96"/>
      <w:bookmarkEnd w:id="97"/>
    </w:p>
    <w:p w14:paraId="196ACBE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bookmarkStart w:id="98" w:name="_Toc2199"/>
      <w:bookmarkStart w:id="99" w:name="_Toc30393"/>
      <w:bookmarkStart w:id="100" w:name="_Toc2886"/>
      <w:bookmarkStart w:id="101" w:name="_Toc11819"/>
      <w:bookmarkStart w:id="102" w:name="_Toc5788"/>
      <w:bookmarkStart w:id="103" w:name="_Toc11899"/>
      <w:bookmarkStart w:id="104" w:name="_Toc29771"/>
      <w:r>
        <w:rPr>
          <w:rFonts w:hint="eastAsia" w:ascii="仿宋_GB2312" w:hAnsi="仿宋_GB2312" w:eastAsia="仿宋_GB2312" w:cs="仿宋_GB2312"/>
          <w:color w:val="auto"/>
          <w:kern w:val="0"/>
          <w:sz w:val="32"/>
          <w:szCs w:val="32"/>
          <w:highlight w:val="none"/>
          <w:lang w:val="en-US" w:eastAsia="zh-CN" w:bidi="ar-SA"/>
        </w:rPr>
        <w:t>1.《中华人民共和国预算法》；</w:t>
      </w:r>
    </w:p>
    <w:p w14:paraId="5097E782">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2.《项目支出绩效评价管理办法》（财预〔2020〕10号）；</w:t>
      </w:r>
    </w:p>
    <w:p w14:paraId="7281717B">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3.《中共中央 国务院关于全面实施预算绩效管理的意见》（中发〔2018〕34号）；</w:t>
      </w:r>
    </w:p>
    <w:p w14:paraId="23D33AE7">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4.《财政部关于印发〈预算绩效评价共性指标体系框架〉的通知》（财预〔2013〕53号）；</w:t>
      </w:r>
      <w:bookmarkEnd w:id="98"/>
      <w:bookmarkEnd w:id="99"/>
      <w:bookmarkEnd w:id="100"/>
      <w:bookmarkEnd w:id="101"/>
      <w:bookmarkEnd w:id="102"/>
      <w:bookmarkEnd w:id="103"/>
      <w:bookmarkEnd w:id="104"/>
    </w:p>
    <w:p w14:paraId="05EB7335">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5.《高标准农田建设通则》（GB/T30600-2022）；</w:t>
      </w:r>
    </w:p>
    <w:p w14:paraId="3DDE2C61">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6.《全国高标准农田建设规划（2021—2030年）》；</w:t>
      </w:r>
    </w:p>
    <w:p w14:paraId="5C1CE6DA">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7.《农业农村部关于推进高标准农田改造提升的指导意见》（农建发〔2022〕5号）；</w:t>
      </w:r>
    </w:p>
    <w:p w14:paraId="6F549AB4">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8.《福建省农业农村厅关于提前做好2024年高标准农田建设项目前期工作的通知》（闽农建函〔2023〕59号）；</w:t>
      </w:r>
    </w:p>
    <w:p w14:paraId="4796F7C6">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9.《福建省农业农村厅关于加快市县永久基本农田建成高标准农田实施方案编制工作的通知》（闽农建函〔2024〕443号）；</w:t>
      </w:r>
    </w:p>
    <w:p w14:paraId="1DC9178A">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10.《泉州市财政局 泉州市农业农村局关于下达2024年特色现代农业发展资金（农田建设）的通知》（泉财农指〔2024〕138号）；</w:t>
      </w:r>
    </w:p>
    <w:p w14:paraId="4B82F495">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11.《泉州市人民政府办公室关于印发泉州市2024年高标准农田“连片整治·千亩良田”示范片建设实施方案的通知》；</w:t>
      </w:r>
    </w:p>
    <w:p w14:paraId="5DC5D14F">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12.石狮市财政局、石狮市农业农村局和相关管理部门提供的其他资料等。</w:t>
      </w:r>
      <w:bookmarkStart w:id="105" w:name="_Toc15154"/>
      <w:bookmarkStart w:id="106" w:name="_Toc21280"/>
      <w:bookmarkStart w:id="107" w:name="_Toc3599"/>
      <w:bookmarkStart w:id="108" w:name="_Toc11208"/>
    </w:p>
    <w:p w14:paraId="5635AD42">
      <w:pPr>
        <w:keepNext w:val="0"/>
        <w:keepLines w:val="0"/>
        <w:pageBreakBefore w:val="0"/>
        <w:widowControl/>
        <w:shd w:val="clear" w:fill="FFFFFF" w:themeFill="background1"/>
        <w:kinsoku/>
        <w:wordWrap/>
        <w:overflowPunct w:val="0"/>
        <w:topLinePunct w:val="0"/>
        <w:autoSpaceDE w:val="0"/>
        <w:autoSpaceDN w:val="0"/>
        <w:bidi w:val="0"/>
        <w:adjustRightInd w:val="0"/>
        <w:snapToGrid/>
        <w:spacing w:line="240" w:lineRule="auto"/>
        <w:ind w:leftChars="0" w:firstLine="643" w:firstLineChars="200"/>
        <w:textAlignment w:val="baseline"/>
        <w:outlineLvl w:val="1"/>
        <w:rPr>
          <w:rFonts w:hint="eastAsia" w:ascii="楷体_GB2312" w:hAnsi="楷体_GB2312" w:eastAsia="楷体_GB2312" w:cs="楷体_GB2312"/>
          <w:b/>
          <w:bCs/>
          <w:color w:val="auto"/>
          <w:sz w:val="32"/>
          <w:szCs w:val="32"/>
          <w:lang w:val="en-US" w:eastAsia="zh-CN"/>
        </w:rPr>
      </w:pPr>
      <w:bookmarkStart w:id="109" w:name="_Toc29851"/>
      <w:bookmarkStart w:id="110" w:name="_Toc16597"/>
      <w:r>
        <w:rPr>
          <w:rFonts w:hint="eastAsia" w:ascii="楷体_GB2312" w:hAnsi="楷体_GB2312" w:eastAsia="楷体_GB2312" w:cs="楷体_GB2312"/>
          <w:b/>
          <w:bCs/>
          <w:color w:val="auto"/>
          <w:sz w:val="32"/>
          <w:szCs w:val="32"/>
          <w:lang w:val="en-US" w:eastAsia="zh-CN"/>
        </w:rPr>
        <w:t>（四）评价原则和评价指标体系</w:t>
      </w:r>
      <w:bookmarkEnd w:id="105"/>
      <w:bookmarkEnd w:id="106"/>
      <w:bookmarkEnd w:id="107"/>
      <w:bookmarkEnd w:id="108"/>
      <w:bookmarkEnd w:id="109"/>
      <w:bookmarkEnd w:id="110"/>
    </w:p>
    <w:p w14:paraId="53100E64">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eastAsia" w:ascii="仿宋_GB2312" w:hAnsi="仿宋_GB2312" w:eastAsia="仿宋_GB2312" w:cs="仿宋_GB2312"/>
          <w:b/>
          <w:bCs/>
          <w:color w:val="auto"/>
          <w:sz w:val="32"/>
          <w:szCs w:val="32"/>
          <w:lang w:val="en-US" w:eastAsia="zh-CN"/>
        </w:rPr>
      </w:pPr>
      <w:bookmarkStart w:id="111" w:name="_Toc22955"/>
      <w:r>
        <w:rPr>
          <w:rFonts w:hint="eastAsia" w:ascii="仿宋_GB2312" w:hAnsi="仿宋_GB2312" w:eastAsia="仿宋_GB2312" w:cs="仿宋_GB2312"/>
          <w:b/>
          <w:bCs/>
          <w:color w:val="auto"/>
          <w:sz w:val="32"/>
          <w:szCs w:val="32"/>
          <w:lang w:val="en-US" w:eastAsia="zh-CN"/>
        </w:rPr>
        <w:t>1.评价原则</w:t>
      </w:r>
      <w:bookmarkEnd w:id="111"/>
    </w:p>
    <w:p w14:paraId="7E5CED16">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事中绩效评价指标的确定应当遵循相关性原则、重要性原则、可比性原则、系统性原则、经济性原则。</w:t>
      </w:r>
    </w:p>
    <w:p w14:paraId="1E33D913">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eastAsia" w:ascii="仿宋_GB2312" w:hAnsi="仿宋_GB2312" w:eastAsia="仿宋_GB2312" w:cs="仿宋_GB2312"/>
          <w:b/>
          <w:bCs/>
          <w:color w:val="auto"/>
          <w:sz w:val="32"/>
          <w:szCs w:val="32"/>
          <w:lang w:val="en-US" w:eastAsia="zh-CN"/>
        </w:rPr>
      </w:pPr>
      <w:bookmarkStart w:id="112" w:name="_Toc17331"/>
      <w:r>
        <w:rPr>
          <w:rFonts w:hint="eastAsia" w:ascii="仿宋_GB2312" w:hAnsi="仿宋_GB2312" w:eastAsia="仿宋_GB2312" w:cs="仿宋_GB2312"/>
          <w:b/>
          <w:bCs/>
          <w:color w:val="auto"/>
          <w:sz w:val="32"/>
          <w:szCs w:val="32"/>
          <w:lang w:val="en-US" w:eastAsia="zh-CN"/>
        </w:rPr>
        <w:t>2.事中绩效评价指标体系</w:t>
      </w:r>
      <w:bookmarkEnd w:id="112"/>
    </w:p>
    <w:p w14:paraId="080B33FE">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bookmarkStart w:id="113" w:name="_Toc22358_WPSOffice_Level3"/>
      <w:bookmarkStart w:id="114" w:name="_Toc21549_WPSOffice_Level3"/>
      <w:r>
        <w:rPr>
          <w:rFonts w:hint="eastAsia" w:ascii="仿宋_GB2312" w:hAnsi="仿宋_GB2312" w:eastAsia="仿宋_GB2312" w:cs="仿宋_GB2312"/>
          <w:color w:val="auto"/>
          <w:kern w:val="0"/>
          <w:sz w:val="32"/>
          <w:szCs w:val="32"/>
          <w:highlight w:val="none"/>
          <w:lang w:val="en-US" w:eastAsia="zh-CN" w:bidi="ar-SA"/>
        </w:rPr>
        <w:t>（1）指标体系设计的总体思路</w:t>
      </w:r>
      <w:bookmarkEnd w:id="113"/>
      <w:bookmarkEnd w:id="114"/>
    </w:p>
    <w:p w14:paraId="1BD7C340">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本次事中绩效评价指标体系总体依据《项目支出绩效评价管理办法》（财预〔2020〕10号）的相关规定设计，在不改变“预算支出项目事中绩效评价共性指标体系”的一级和二级指标内容和权重的前提下，结合项目实际对三级指标进行细化和调整，并采用层次分析法，结合以往经验确定三级指标的权重。另外，根据相关法律法规、项目绩效目标及管理办法确定事中绩效评价标准。</w:t>
      </w:r>
    </w:p>
    <w:p w14:paraId="24BB020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bookmarkStart w:id="115" w:name="_Toc2892_WPSOffice_Level3"/>
      <w:bookmarkStart w:id="116" w:name="_Toc24348_WPSOffice_Level3"/>
      <w:r>
        <w:rPr>
          <w:rFonts w:hint="eastAsia" w:ascii="仿宋_GB2312" w:hAnsi="仿宋_GB2312" w:eastAsia="仿宋_GB2312" w:cs="仿宋_GB2312"/>
          <w:color w:val="auto"/>
          <w:kern w:val="0"/>
          <w:sz w:val="32"/>
          <w:szCs w:val="32"/>
          <w:highlight w:val="none"/>
          <w:lang w:val="en-US" w:eastAsia="zh-CN" w:bidi="ar-SA"/>
        </w:rPr>
        <w:t>（2）指标体系</w:t>
      </w:r>
      <w:bookmarkEnd w:id="115"/>
      <w:bookmarkEnd w:id="116"/>
    </w:p>
    <w:p w14:paraId="54DE5C7E">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评价工作组根据财政部《项目支出绩效评价管理办法》（财预〔2020〕10号）文件的要求，依据上述原则，围绕决策、过程、产出和效益四个方面设计事中绩效评价指标以及评分标准和分值。指标体系共设置4个一级指标、14个二级指标、24个三级指标。指标体系设定满分100分，其中：“决策”主要体现项目立项、绩效目标设定及资金分配的情况，“过程”主要体现项目的资金管理和组织实施的情况；“产出”主要体现项目产出数量、产出质量、产出成本及产出时效的情况；“效益”主要体现项目生态效益、社会效益、可持续发展效益和服务对象满意度等。</w:t>
      </w:r>
    </w:p>
    <w:p w14:paraId="4075F0DE">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3" w:firstLineChars="200"/>
        <w:jc w:val="both"/>
        <w:textAlignment w:val="auto"/>
        <w:outlineLvl w:val="9"/>
        <w:rPr>
          <w:rFonts w:hint="default" w:ascii="仿宋_GB2312" w:hAnsi="仿宋_GB2312" w:eastAsia="仿宋_GB2312" w:cs="仿宋_GB2312"/>
          <w:b/>
          <w:bCs/>
          <w:color w:val="auto"/>
          <w:kern w:val="0"/>
          <w:sz w:val="32"/>
          <w:szCs w:val="32"/>
          <w:highlight w:val="none"/>
          <w:lang w:val="en-US" w:eastAsia="zh-CN" w:bidi="ar-SA"/>
        </w:rPr>
      </w:pPr>
      <w:r>
        <w:rPr>
          <w:rFonts w:hint="eastAsia" w:ascii="仿宋_GB2312" w:hAnsi="仿宋_GB2312" w:eastAsia="仿宋_GB2312" w:cs="仿宋_GB2312"/>
          <w:b/>
          <w:bCs/>
          <w:color w:val="auto"/>
          <w:kern w:val="0"/>
          <w:sz w:val="32"/>
          <w:szCs w:val="32"/>
          <w:highlight w:val="none"/>
          <w:lang w:val="en-US" w:eastAsia="zh-CN" w:bidi="ar-SA"/>
        </w:rPr>
        <w:t>注：本次事中绩效评价不设置资金使用合规性相关指标。</w:t>
      </w:r>
    </w:p>
    <w:p w14:paraId="5DB2B75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3"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b/>
          <w:bCs/>
          <w:color w:val="auto"/>
          <w:kern w:val="0"/>
          <w:sz w:val="32"/>
          <w:szCs w:val="32"/>
          <w:highlight w:val="none"/>
          <w:lang w:val="en-US" w:eastAsia="zh-CN" w:bidi="ar-SA"/>
        </w:rPr>
        <w:t>原因：</w:t>
      </w:r>
      <w:r>
        <w:rPr>
          <w:rFonts w:hint="eastAsia" w:ascii="仿宋_GB2312" w:hAnsi="仿宋_GB2312" w:eastAsia="仿宋_GB2312" w:cs="仿宋_GB2312"/>
          <w:color w:val="auto"/>
          <w:kern w:val="0"/>
          <w:sz w:val="32"/>
          <w:szCs w:val="32"/>
          <w:highlight w:val="none"/>
          <w:lang w:val="en-US" w:eastAsia="zh-CN" w:bidi="ar-SA"/>
        </w:rPr>
        <w:t>从评分标准维度看，无论是“资金拨付审批程序完整性”还是“财政资金用途合规性”，均需基于实际资金使用行为验证，但截至2025年7月31日，本项目所涉及上级财政资金未发生任何实际支出，未涉及任何资金拨付记录、财务管理制度落地细节（如审批流程、台账），无法判断该项目资金支出“是否存在程序瑕疵”“是否有违规使用问题”，不符合评分标准的评价前提，故该指标不参与打分。</w:t>
      </w:r>
    </w:p>
    <w:p w14:paraId="445EA2D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bookmarkStart w:id="117" w:name="_Toc20953_WPSOffice_Level3"/>
      <w:bookmarkStart w:id="118" w:name="_Toc4935_WPSOffice_Level3"/>
      <w:r>
        <w:rPr>
          <w:rFonts w:hint="eastAsia" w:ascii="仿宋_GB2312" w:hAnsi="仿宋_GB2312" w:eastAsia="仿宋_GB2312" w:cs="仿宋_GB2312"/>
          <w:color w:val="auto"/>
          <w:kern w:val="0"/>
          <w:sz w:val="32"/>
          <w:szCs w:val="32"/>
          <w:highlight w:val="none"/>
          <w:lang w:val="en-US" w:eastAsia="zh-CN" w:bidi="ar-SA"/>
        </w:rPr>
        <w:t>（3）绩效级次</w:t>
      </w:r>
      <w:bookmarkEnd w:id="117"/>
      <w:bookmarkEnd w:id="118"/>
    </w:p>
    <w:p w14:paraId="452052F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bookmarkStart w:id="119" w:name="_Toc7595"/>
      <w:bookmarkStart w:id="120" w:name="_Toc17851"/>
      <w:bookmarkStart w:id="121" w:name="_Toc27891"/>
      <w:bookmarkStart w:id="122" w:name="_Toc7760"/>
      <w:bookmarkStart w:id="123" w:name="_Toc4675"/>
      <w:bookmarkStart w:id="124" w:name="_Toc9130"/>
      <w:bookmarkStart w:id="125" w:name="_Toc24406"/>
      <w:r>
        <w:rPr>
          <w:rFonts w:hint="eastAsia" w:ascii="仿宋_GB2312" w:hAnsi="仿宋_GB2312" w:eastAsia="仿宋_GB2312" w:cs="仿宋_GB2312"/>
          <w:color w:val="auto"/>
          <w:kern w:val="0"/>
          <w:sz w:val="32"/>
          <w:szCs w:val="32"/>
          <w:highlight w:val="none"/>
          <w:lang w:val="en-US" w:eastAsia="zh-CN" w:bidi="ar-SA"/>
        </w:rPr>
        <w:t>事中评价结果包括综合评分和评级，分为四个等级，具体如下表所示：</w:t>
      </w:r>
      <w:bookmarkEnd w:id="119"/>
      <w:bookmarkEnd w:id="120"/>
      <w:bookmarkEnd w:id="121"/>
      <w:bookmarkEnd w:id="122"/>
      <w:bookmarkEnd w:id="123"/>
      <w:bookmarkEnd w:id="124"/>
      <w:bookmarkEnd w:id="125"/>
    </w:p>
    <w:p w14:paraId="00FEA879">
      <w:pPr>
        <w:jc w:val="center"/>
        <w:rPr>
          <w:rFonts w:hint="default" w:ascii="仿宋" w:hAnsi="仿宋" w:eastAsia="仿宋" w:cs="仿宋"/>
          <w:b/>
          <w:bCs/>
          <w:color w:val="auto"/>
          <w:kern w:val="0"/>
          <w:sz w:val="28"/>
          <w:szCs w:val="28"/>
          <w:highlight w:val="none"/>
          <w:lang w:val="en-US" w:eastAsia="zh-CN" w:bidi="ar-SA"/>
        </w:rPr>
      </w:pPr>
      <w:r>
        <w:rPr>
          <w:rFonts w:hint="eastAsia" w:ascii="仿宋" w:hAnsi="仿宋" w:eastAsia="仿宋" w:cs="仿宋"/>
          <w:b/>
          <w:bCs/>
          <w:color w:val="auto"/>
          <w:kern w:val="0"/>
          <w:sz w:val="28"/>
          <w:szCs w:val="28"/>
          <w:highlight w:val="none"/>
          <w:lang w:val="en-US" w:eastAsia="zh-CN" w:bidi="ar-SA"/>
        </w:rPr>
        <w:t>表4 评价结果评级表</w:t>
      </w:r>
    </w:p>
    <w:tbl>
      <w:tblPr>
        <w:tblStyle w:val="1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3"/>
        <w:gridCol w:w="1407"/>
        <w:gridCol w:w="2063"/>
        <w:gridCol w:w="2265"/>
        <w:gridCol w:w="1314"/>
      </w:tblGrid>
      <w:tr w14:paraId="3BFCD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exact"/>
          <w:jc w:val="center"/>
        </w:trPr>
        <w:tc>
          <w:tcPr>
            <w:tcW w:w="1473" w:type="dxa"/>
            <w:shd w:val="clear" w:color="auto" w:fill="D7D7D7" w:themeFill="background1" w:themeFillShade="D8"/>
            <w:vAlign w:val="center"/>
          </w:tcPr>
          <w:p w14:paraId="0F185CD6">
            <w:pPr>
              <w:spacing w:line="360" w:lineRule="auto"/>
              <w:jc w:val="center"/>
              <w:rPr>
                <w:rFonts w:hint="eastAsia" w:ascii="仿宋" w:hAnsi="仿宋" w:eastAsia="仿宋" w:cs="仿宋"/>
                <w:b/>
                <w:sz w:val="28"/>
                <w:szCs w:val="28"/>
              </w:rPr>
            </w:pPr>
            <w:r>
              <w:rPr>
                <w:rFonts w:hint="eastAsia" w:ascii="仿宋" w:hAnsi="仿宋" w:eastAsia="仿宋" w:cs="仿宋"/>
                <w:b/>
                <w:sz w:val="28"/>
                <w:szCs w:val="28"/>
              </w:rPr>
              <w:t>评价等级</w:t>
            </w:r>
          </w:p>
        </w:tc>
        <w:tc>
          <w:tcPr>
            <w:tcW w:w="1407" w:type="dxa"/>
            <w:shd w:val="clear" w:color="auto" w:fill="D7D7D7" w:themeFill="background1" w:themeFillShade="D8"/>
            <w:vAlign w:val="center"/>
          </w:tcPr>
          <w:p w14:paraId="1B070287">
            <w:pPr>
              <w:spacing w:line="360" w:lineRule="auto"/>
              <w:jc w:val="center"/>
              <w:rPr>
                <w:rFonts w:hint="eastAsia" w:ascii="仿宋" w:hAnsi="仿宋" w:eastAsia="仿宋" w:cs="仿宋"/>
                <w:b/>
                <w:sz w:val="28"/>
                <w:szCs w:val="28"/>
              </w:rPr>
            </w:pPr>
            <w:r>
              <w:rPr>
                <w:rFonts w:hint="eastAsia" w:ascii="仿宋" w:hAnsi="仿宋" w:eastAsia="仿宋" w:cs="仿宋"/>
                <w:b/>
                <w:sz w:val="28"/>
                <w:szCs w:val="28"/>
              </w:rPr>
              <w:t>优</w:t>
            </w:r>
          </w:p>
        </w:tc>
        <w:tc>
          <w:tcPr>
            <w:tcW w:w="2063" w:type="dxa"/>
            <w:shd w:val="clear" w:color="auto" w:fill="D7D7D7" w:themeFill="background1" w:themeFillShade="D8"/>
            <w:vAlign w:val="center"/>
          </w:tcPr>
          <w:p w14:paraId="217D1AF2">
            <w:pPr>
              <w:spacing w:line="360" w:lineRule="auto"/>
              <w:jc w:val="center"/>
              <w:rPr>
                <w:rFonts w:hint="eastAsia" w:ascii="仿宋" w:hAnsi="仿宋" w:eastAsia="仿宋" w:cs="仿宋"/>
                <w:b/>
                <w:sz w:val="28"/>
                <w:szCs w:val="28"/>
              </w:rPr>
            </w:pPr>
            <w:r>
              <w:rPr>
                <w:rFonts w:hint="eastAsia" w:ascii="仿宋" w:hAnsi="仿宋" w:eastAsia="仿宋" w:cs="仿宋"/>
                <w:b/>
                <w:sz w:val="28"/>
                <w:szCs w:val="28"/>
              </w:rPr>
              <w:t>良</w:t>
            </w:r>
          </w:p>
        </w:tc>
        <w:tc>
          <w:tcPr>
            <w:tcW w:w="2265" w:type="dxa"/>
            <w:shd w:val="clear" w:color="auto" w:fill="D7D7D7" w:themeFill="background1" w:themeFillShade="D8"/>
            <w:vAlign w:val="center"/>
          </w:tcPr>
          <w:p w14:paraId="54E35C10">
            <w:pPr>
              <w:spacing w:line="360" w:lineRule="auto"/>
              <w:jc w:val="center"/>
              <w:rPr>
                <w:rFonts w:hint="eastAsia" w:ascii="仿宋" w:hAnsi="仿宋" w:eastAsia="仿宋" w:cs="仿宋"/>
                <w:b/>
                <w:sz w:val="28"/>
                <w:szCs w:val="28"/>
              </w:rPr>
            </w:pPr>
            <w:r>
              <w:rPr>
                <w:rFonts w:hint="eastAsia" w:ascii="仿宋" w:hAnsi="仿宋" w:eastAsia="仿宋" w:cs="仿宋"/>
                <w:b/>
                <w:sz w:val="28"/>
                <w:szCs w:val="28"/>
              </w:rPr>
              <w:t>中</w:t>
            </w:r>
          </w:p>
        </w:tc>
        <w:tc>
          <w:tcPr>
            <w:tcW w:w="1314" w:type="dxa"/>
            <w:shd w:val="clear" w:color="auto" w:fill="D7D7D7" w:themeFill="background1" w:themeFillShade="D8"/>
            <w:vAlign w:val="center"/>
          </w:tcPr>
          <w:p w14:paraId="09C12CEA">
            <w:pPr>
              <w:spacing w:line="360" w:lineRule="auto"/>
              <w:jc w:val="center"/>
              <w:rPr>
                <w:rFonts w:hint="eastAsia" w:ascii="仿宋" w:hAnsi="仿宋" w:eastAsia="仿宋" w:cs="仿宋"/>
                <w:b/>
                <w:sz w:val="28"/>
                <w:szCs w:val="28"/>
              </w:rPr>
            </w:pPr>
            <w:r>
              <w:rPr>
                <w:rFonts w:hint="eastAsia" w:ascii="仿宋" w:hAnsi="仿宋" w:eastAsia="仿宋" w:cs="仿宋"/>
                <w:b/>
                <w:sz w:val="28"/>
                <w:szCs w:val="28"/>
              </w:rPr>
              <w:t>差</w:t>
            </w:r>
          </w:p>
        </w:tc>
      </w:tr>
      <w:tr w14:paraId="6DEFF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9" w:hRule="exact"/>
          <w:jc w:val="center"/>
        </w:trPr>
        <w:tc>
          <w:tcPr>
            <w:tcW w:w="1473" w:type="dxa"/>
            <w:vAlign w:val="center"/>
          </w:tcPr>
          <w:p w14:paraId="78A77B1C">
            <w:pPr>
              <w:spacing w:line="360" w:lineRule="auto"/>
              <w:jc w:val="center"/>
              <w:rPr>
                <w:rFonts w:hint="eastAsia" w:ascii="仿宋" w:hAnsi="仿宋" w:eastAsia="仿宋" w:cs="仿宋"/>
                <w:b w:val="0"/>
                <w:bCs/>
                <w:sz w:val="28"/>
                <w:szCs w:val="28"/>
              </w:rPr>
            </w:pPr>
            <w:r>
              <w:rPr>
                <w:rFonts w:hint="eastAsia" w:ascii="仿宋" w:hAnsi="仿宋" w:eastAsia="仿宋" w:cs="仿宋"/>
                <w:b w:val="0"/>
                <w:bCs/>
                <w:sz w:val="28"/>
                <w:szCs w:val="28"/>
              </w:rPr>
              <w:t>参考分值</w:t>
            </w:r>
          </w:p>
        </w:tc>
        <w:tc>
          <w:tcPr>
            <w:tcW w:w="1407" w:type="dxa"/>
            <w:vAlign w:val="center"/>
          </w:tcPr>
          <w:p w14:paraId="39F15929">
            <w:pPr>
              <w:spacing w:line="360" w:lineRule="auto"/>
              <w:jc w:val="center"/>
              <w:rPr>
                <w:rFonts w:hint="eastAsia" w:ascii="仿宋" w:hAnsi="仿宋" w:eastAsia="仿宋" w:cs="仿宋"/>
                <w:b w:val="0"/>
                <w:bCs/>
                <w:sz w:val="28"/>
                <w:szCs w:val="28"/>
              </w:rPr>
            </w:pPr>
            <w:r>
              <w:rPr>
                <w:rFonts w:hint="eastAsia" w:ascii="仿宋" w:hAnsi="仿宋" w:eastAsia="仿宋" w:cs="仿宋"/>
                <w:b w:val="0"/>
                <w:bCs/>
                <w:sz w:val="28"/>
                <w:szCs w:val="28"/>
              </w:rPr>
              <w:t xml:space="preserve">S </w:t>
            </w:r>
            <w:r>
              <w:rPr>
                <w:rFonts w:hint="eastAsia" w:ascii="仿宋" w:hAnsi="仿宋" w:eastAsia="仿宋" w:cs="仿宋"/>
                <w:b w:val="0"/>
                <w:bCs/>
                <w:sz w:val="28"/>
                <w:szCs w:val="28"/>
                <w:lang w:val="en-US" w:eastAsia="zh-CN"/>
              </w:rPr>
              <w:t>≥</w:t>
            </w:r>
            <w:r>
              <w:rPr>
                <w:rFonts w:hint="eastAsia" w:ascii="仿宋" w:hAnsi="仿宋" w:eastAsia="仿宋" w:cs="仿宋"/>
                <w:b w:val="0"/>
                <w:bCs/>
                <w:sz w:val="28"/>
                <w:szCs w:val="28"/>
              </w:rPr>
              <w:t xml:space="preserve"> 90</w:t>
            </w:r>
          </w:p>
        </w:tc>
        <w:tc>
          <w:tcPr>
            <w:tcW w:w="2063" w:type="dxa"/>
            <w:vAlign w:val="center"/>
          </w:tcPr>
          <w:p w14:paraId="6A72924D">
            <w:pPr>
              <w:spacing w:line="360" w:lineRule="auto"/>
              <w:jc w:val="center"/>
              <w:rPr>
                <w:rFonts w:hint="eastAsia" w:ascii="仿宋" w:hAnsi="仿宋" w:eastAsia="仿宋" w:cs="仿宋"/>
                <w:b w:val="0"/>
                <w:bCs/>
                <w:sz w:val="28"/>
                <w:szCs w:val="28"/>
              </w:rPr>
            </w:pPr>
            <w:r>
              <w:rPr>
                <w:rFonts w:hint="eastAsia" w:ascii="仿宋" w:hAnsi="仿宋" w:eastAsia="仿宋" w:cs="仿宋"/>
                <w:b w:val="0"/>
                <w:bCs/>
                <w:sz w:val="28"/>
                <w:szCs w:val="28"/>
              </w:rPr>
              <w:t>90 ＞ S ≥ 80</w:t>
            </w:r>
          </w:p>
        </w:tc>
        <w:tc>
          <w:tcPr>
            <w:tcW w:w="2265" w:type="dxa"/>
            <w:vAlign w:val="center"/>
          </w:tcPr>
          <w:p w14:paraId="415E5490">
            <w:pPr>
              <w:spacing w:line="360" w:lineRule="auto"/>
              <w:jc w:val="center"/>
              <w:rPr>
                <w:rFonts w:hint="eastAsia" w:ascii="仿宋" w:hAnsi="仿宋" w:eastAsia="仿宋" w:cs="仿宋"/>
                <w:b w:val="0"/>
                <w:bCs/>
                <w:sz w:val="28"/>
                <w:szCs w:val="28"/>
              </w:rPr>
            </w:pPr>
            <w:r>
              <w:rPr>
                <w:rFonts w:hint="eastAsia" w:ascii="仿宋" w:hAnsi="仿宋" w:eastAsia="仿宋" w:cs="仿宋"/>
                <w:b w:val="0"/>
                <w:bCs/>
                <w:sz w:val="28"/>
                <w:szCs w:val="28"/>
              </w:rPr>
              <w:t>80 ＞ S ≥ 60</w:t>
            </w:r>
          </w:p>
        </w:tc>
        <w:tc>
          <w:tcPr>
            <w:tcW w:w="1314" w:type="dxa"/>
            <w:vAlign w:val="center"/>
          </w:tcPr>
          <w:p w14:paraId="2990D2CB">
            <w:pPr>
              <w:spacing w:line="360" w:lineRule="auto"/>
              <w:jc w:val="center"/>
              <w:rPr>
                <w:rFonts w:hint="eastAsia" w:ascii="仿宋" w:hAnsi="仿宋" w:eastAsia="仿宋" w:cs="仿宋"/>
                <w:b w:val="0"/>
                <w:bCs/>
                <w:sz w:val="28"/>
                <w:szCs w:val="28"/>
              </w:rPr>
            </w:pPr>
            <w:r>
              <w:rPr>
                <w:rFonts w:hint="eastAsia" w:ascii="仿宋" w:hAnsi="仿宋" w:eastAsia="仿宋" w:cs="仿宋"/>
                <w:b w:val="0"/>
                <w:bCs/>
                <w:sz w:val="28"/>
                <w:szCs w:val="28"/>
              </w:rPr>
              <w:t>S ＜ 60</w:t>
            </w:r>
          </w:p>
        </w:tc>
      </w:tr>
    </w:tbl>
    <w:p w14:paraId="07286A80">
      <w:pPr>
        <w:keepNext w:val="0"/>
        <w:keepLines w:val="0"/>
        <w:pageBreakBefore w:val="0"/>
        <w:widowControl w:val="0"/>
        <w:shd w:val="clear" w:fill="FFFFFF" w:themeFill="background1"/>
        <w:kinsoku/>
        <w:wordWrap/>
        <w:overflowPunct/>
        <w:topLinePunct w:val="0"/>
        <w:autoSpaceDE/>
        <w:autoSpaceDN/>
        <w:bidi w:val="0"/>
        <w:adjustRightInd/>
        <w:snapToGrid/>
        <w:spacing w:line="240" w:lineRule="auto"/>
        <w:ind w:leftChars="0" w:firstLine="0" w:firstLineChars="0"/>
        <w:textAlignment w:val="auto"/>
        <w:outlineLvl w:val="9"/>
        <w:rPr>
          <w:rFonts w:hint="eastAsia" w:ascii="仿宋" w:hAnsi="仿宋" w:eastAsia="仿宋" w:cs="仿宋"/>
          <w:b w:val="0"/>
          <w:bCs w:val="0"/>
          <w:color w:val="auto"/>
          <w:sz w:val="21"/>
          <w:szCs w:val="21"/>
          <w:highlight w:val="none"/>
        </w:rPr>
      </w:pPr>
    </w:p>
    <w:p w14:paraId="2FA5F512">
      <w:pPr>
        <w:keepNext w:val="0"/>
        <w:keepLines w:val="0"/>
        <w:pageBreakBefore w:val="0"/>
        <w:widowControl/>
        <w:shd w:val="clear" w:fill="FFFFFF" w:themeFill="background1"/>
        <w:kinsoku/>
        <w:wordWrap/>
        <w:overflowPunct w:val="0"/>
        <w:topLinePunct w:val="0"/>
        <w:autoSpaceDE w:val="0"/>
        <w:autoSpaceDN w:val="0"/>
        <w:bidi w:val="0"/>
        <w:adjustRightInd w:val="0"/>
        <w:snapToGrid/>
        <w:spacing w:line="240" w:lineRule="auto"/>
        <w:ind w:leftChars="0" w:firstLine="643" w:firstLineChars="200"/>
        <w:textAlignment w:val="baseline"/>
        <w:outlineLvl w:val="1"/>
        <w:rPr>
          <w:rFonts w:hint="eastAsia" w:ascii="楷体_GB2312" w:hAnsi="楷体_GB2312" w:eastAsia="楷体_GB2312" w:cs="楷体_GB2312"/>
          <w:b/>
          <w:bCs/>
          <w:color w:val="auto"/>
          <w:sz w:val="32"/>
          <w:szCs w:val="32"/>
          <w:lang w:val="en-US" w:eastAsia="zh-CN"/>
        </w:rPr>
      </w:pPr>
      <w:bookmarkStart w:id="126" w:name="_Toc12071"/>
      <w:bookmarkStart w:id="127" w:name="_Toc13153"/>
      <w:bookmarkStart w:id="128" w:name="_Toc5849"/>
      <w:bookmarkStart w:id="129" w:name="_Toc2353"/>
      <w:bookmarkStart w:id="130" w:name="_Toc29151"/>
      <w:bookmarkStart w:id="131" w:name="_Toc17319"/>
      <w:r>
        <w:rPr>
          <w:rFonts w:hint="eastAsia" w:ascii="楷体_GB2312" w:hAnsi="楷体_GB2312" w:eastAsia="楷体_GB2312" w:cs="楷体_GB2312"/>
          <w:b/>
          <w:bCs/>
          <w:color w:val="auto"/>
          <w:sz w:val="32"/>
          <w:szCs w:val="32"/>
          <w:lang w:val="en-US" w:eastAsia="zh-CN"/>
        </w:rPr>
        <w:t>（五）评价方法和评价标准</w:t>
      </w:r>
      <w:bookmarkEnd w:id="126"/>
      <w:bookmarkEnd w:id="127"/>
      <w:bookmarkEnd w:id="128"/>
      <w:bookmarkEnd w:id="129"/>
      <w:bookmarkEnd w:id="130"/>
      <w:bookmarkEnd w:id="131"/>
    </w:p>
    <w:p w14:paraId="3A33263A">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eastAsia" w:ascii="仿宋_GB2312" w:hAnsi="仿宋_GB2312" w:eastAsia="仿宋_GB2312" w:cs="仿宋_GB2312"/>
          <w:b/>
          <w:bCs/>
          <w:color w:val="auto"/>
          <w:sz w:val="32"/>
          <w:szCs w:val="32"/>
          <w:lang w:val="en-US" w:eastAsia="zh-CN"/>
        </w:rPr>
      </w:pPr>
      <w:bookmarkStart w:id="132" w:name="_Toc22889"/>
      <w:bookmarkStart w:id="133" w:name="_Toc11413"/>
      <w:bookmarkStart w:id="134" w:name="_Toc22074"/>
      <w:r>
        <w:rPr>
          <w:rFonts w:hint="eastAsia" w:ascii="仿宋_GB2312" w:hAnsi="仿宋_GB2312" w:eastAsia="仿宋_GB2312" w:cs="仿宋_GB2312"/>
          <w:b/>
          <w:bCs/>
          <w:color w:val="auto"/>
          <w:sz w:val="32"/>
          <w:szCs w:val="32"/>
          <w:lang w:val="en-US" w:eastAsia="zh-CN"/>
        </w:rPr>
        <w:t>1.评价方法</w:t>
      </w:r>
      <w:bookmarkEnd w:id="132"/>
      <w:bookmarkEnd w:id="133"/>
    </w:p>
    <w:p w14:paraId="5B0735AB">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bookmarkStart w:id="135" w:name="_Toc31345"/>
      <w:r>
        <w:rPr>
          <w:rFonts w:hint="eastAsia" w:ascii="仿宋_GB2312" w:hAnsi="仿宋_GB2312" w:eastAsia="仿宋_GB2312" w:cs="仿宋_GB2312"/>
          <w:color w:val="auto"/>
          <w:kern w:val="0"/>
          <w:sz w:val="32"/>
          <w:szCs w:val="32"/>
          <w:highlight w:val="none"/>
          <w:lang w:val="en-US" w:eastAsia="zh-CN" w:bidi="ar-SA"/>
        </w:rPr>
        <w:t>本次事中绩效评价主要采用了比较法、因素分析、公众（专家）评判法。一是通过对绩效目标与实施效果、历史与当期情况作比较，综合分析绩效目标的实现程度。二是通过进行现场调查以及发放问卷调查，评价绩效目标的实现程度。</w:t>
      </w:r>
      <w:bookmarkEnd w:id="134"/>
      <w:bookmarkEnd w:id="135"/>
    </w:p>
    <w:p w14:paraId="3DE4EAF7">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default" w:ascii="仿宋_GB2312" w:hAnsi="仿宋_GB2312" w:eastAsia="仿宋_GB2312" w:cs="仿宋_GB2312"/>
          <w:b/>
          <w:bCs/>
          <w:color w:val="auto"/>
          <w:sz w:val="32"/>
          <w:szCs w:val="32"/>
          <w:lang w:val="en-US" w:eastAsia="zh-CN"/>
        </w:rPr>
      </w:pPr>
      <w:bookmarkStart w:id="136" w:name="_Toc3736"/>
      <w:r>
        <w:rPr>
          <w:rFonts w:hint="eastAsia" w:ascii="仿宋_GB2312" w:hAnsi="仿宋_GB2312" w:eastAsia="仿宋_GB2312" w:cs="仿宋_GB2312"/>
          <w:b/>
          <w:bCs/>
          <w:color w:val="auto"/>
          <w:sz w:val="32"/>
          <w:szCs w:val="32"/>
          <w:lang w:val="en-US" w:eastAsia="zh-CN"/>
        </w:rPr>
        <w:t>2.评价标准</w:t>
      </w:r>
      <w:bookmarkEnd w:id="136"/>
    </w:p>
    <w:p w14:paraId="3B2E6381">
      <w:pPr>
        <w:pStyle w:val="14"/>
        <w:keepNext w:val="0"/>
        <w:keepLines w:val="0"/>
        <w:pageBreakBefore w:val="0"/>
        <w:shd w:val="clear" w:fill="FFFFFF" w:themeFill="background1"/>
        <w:kinsoku/>
        <w:wordWrap/>
        <w:topLinePunct w:val="0"/>
        <w:bidi w:val="0"/>
        <w:snapToGrid/>
        <w:spacing w:after="0" w:line="240" w:lineRule="auto"/>
        <w:ind w:left="0" w:leftChars="0" w:firstLine="640" w:firstLineChars="200"/>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事中绩效评价标准是指衡量财政支出绩效目标完成程度的参考、依据和尺度。事中绩效评价标准具体包括：计划标准、行业标准、历史标准及其他经财政部门确认的标准。</w:t>
      </w:r>
    </w:p>
    <w:p w14:paraId="4668832F">
      <w:pPr>
        <w:keepNext w:val="0"/>
        <w:keepLines w:val="0"/>
        <w:pageBreakBefore w:val="0"/>
        <w:widowControl/>
        <w:shd w:val="clear" w:fill="FFFFFF" w:themeFill="background1"/>
        <w:kinsoku/>
        <w:wordWrap/>
        <w:overflowPunct w:val="0"/>
        <w:topLinePunct w:val="0"/>
        <w:autoSpaceDE w:val="0"/>
        <w:autoSpaceDN w:val="0"/>
        <w:bidi w:val="0"/>
        <w:adjustRightInd w:val="0"/>
        <w:snapToGrid/>
        <w:spacing w:line="240" w:lineRule="auto"/>
        <w:ind w:firstLine="643" w:firstLineChars="200"/>
        <w:textAlignment w:val="baseline"/>
        <w:outlineLvl w:val="1"/>
        <w:rPr>
          <w:rFonts w:hint="eastAsia" w:ascii="楷体_GB2312" w:hAnsi="楷体_GB2312" w:eastAsia="楷体_GB2312" w:cs="楷体_GB2312"/>
          <w:b/>
          <w:bCs/>
          <w:color w:val="auto"/>
          <w:sz w:val="32"/>
          <w:szCs w:val="32"/>
          <w:lang w:val="en-US" w:eastAsia="zh-CN"/>
        </w:rPr>
      </w:pPr>
      <w:bookmarkStart w:id="137" w:name="_Toc12580"/>
      <w:bookmarkStart w:id="138" w:name="_Toc21628"/>
      <w:bookmarkStart w:id="139" w:name="_Toc19612"/>
      <w:bookmarkStart w:id="140" w:name="_Toc31462"/>
      <w:r>
        <w:rPr>
          <w:rFonts w:hint="eastAsia" w:ascii="楷体_GB2312" w:hAnsi="楷体_GB2312" w:eastAsia="楷体_GB2312" w:cs="楷体_GB2312"/>
          <w:b/>
          <w:bCs/>
          <w:color w:val="auto"/>
          <w:sz w:val="32"/>
          <w:szCs w:val="32"/>
          <w:lang w:val="en-US" w:eastAsia="zh-CN"/>
        </w:rPr>
        <w:t>（六）事中绩效评价工作过程</w:t>
      </w:r>
      <w:bookmarkEnd w:id="137"/>
      <w:bookmarkEnd w:id="138"/>
      <w:bookmarkEnd w:id="139"/>
      <w:bookmarkEnd w:id="140"/>
    </w:p>
    <w:p w14:paraId="4C476A01">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根据事中绩效评价相关规定，泉州市招标咨询中心地方财政绩效评价所绩效评价工作组运用科学、合理的事中绩效评价指标、评价标准和方法，通过前期准备、非现场评价、现场评价、分析评价、撰写与提交评价报告稿等流程，对石狮市高标准农田建设（一期）“五化”示范项目支出的经济性、效率性、效益性和公平性进行客观、公正地分析和评判，查找资金使用和管理中的薄弱环节，按时提交事中绩效评价报告。　　</w:t>
      </w:r>
    </w:p>
    <w:p w14:paraId="2FEF5241">
      <w:pPr>
        <w:keepNext w:val="0"/>
        <w:keepLines w:val="0"/>
        <w:pageBreakBefore w:val="0"/>
        <w:widowControl w:val="0"/>
        <w:numPr>
          <w:ilvl w:val="0"/>
          <w:numId w:val="0"/>
        </w:numPr>
        <w:shd w:val="clear" w:fill="FFFFFF" w:themeFill="background1"/>
        <w:kinsoku/>
        <w:wordWrap/>
        <w:overflowPunct w:val="0"/>
        <w:topLinePunct w:val="0"/>
        <w:autoSpaceDE w:val="0"/>
        <w:autoSpaceDN w:val="0"/>
        <w:bidi w:val="0"/>
        <w:adjustRightInd w:val="0"/>
        <w:snapToGrid/>
        <w:spacing w:line="240" w:lineRule="auto"/>
        <w:ind w:firstLine="200" w:firstLineChars="200"/>
        <w:jc w:val="both"/>
        <w:textAlignment w:val="baseline"/>
        <w:outlineLvl w:val="9"/>
        <w:rPr>
          <w:rFonts w:hint="eastAsia" w:ascii="仿宋_GB2312" w:hAnsi="仿宋_GB2312" w:eastAsia="仿宋_GB2312" w:cs="仿宋_GB2312"/>
          <w:color w:val="auto"/>
          <w:kern w:val="2"/>
          <w:sz w:val="10"/>
          <w:szCs w:val="10"/>
          <w:lang w:val="en-US" w:eastAsia="zh-CN" w:bidi="ar-SA"/>
        </w:rPr>
      </w:pPr>
    </w:p>
    <w:p w14:paraId="7B959F56">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0"/>
        <w:rPr>
          <w:rFonts w:hint="eastAsia" w:ascii="黑体" w:hAnsi="黑体" w:eastAsia="黑体" w:cs="黑体"/>
          <w:b/>
          <w:bCs/>
          <w:color w:val="auto"/>
          <w:sz w:val="32"/>
          <w:szCs w:val="32"/>
          <w:lang w:val="en-US" w:eastAsia="zh-CN"/>
        </w:rPr>
      </w:pPr>
      <w:bookmarkStart w:id="141" w:name="_Toc5148"/>
      <w:bookmarkStart w:id="142" w:name="_Toc30491"/>
      <w:bookmarkStart w:id="143" w:name="_Toc21585"/>
      <w:r>
        <w:rPr>
          <w:rFonts w:hint="eastAsia" w:ascii="黑体" w:hAnsi="黑体" w:eastAsia="黑体" w:cs="黑体"/>
          <w:b/>
          <w:bCs/>
          <w:color w:val="auto"/>
          <w:sz w:val="32"/>
          <w:szCs w:val="32"/>
          <w:lang w:val="en-US" w:eastAsia="zh-CN"/>
        </w:rPr>
        <w:t>三、综合评价结论及分析</w:t>
      </w:r>
      <w:bookmarkEnd w:id="141"/>
      <w:bookmarkEnd w:id="142"/>
      <w:bookmarkEnd w:id="143"/>
    </w:p>
    <w:p w14:paraId="2D202662">
      <w:pPr>
        <w:keepNext w:val="0"/>
        <w:keepLines w:val="0"/>
        <w:pageBreakBefore w:val="0"/>
        <w:widowControl/>
        <w:shd w:val="clear" w:fill="FFFFFF" w:themeFill="background1"/>
        <w:kinsoku/>
        <w:wordWrap/>
        <w:overflowPunct w:val="0"/>
        <w:topLinePunct w:val="0"/>
        <w:autoSpaceDE w:val="0"/>
        <w:autoSpaceDN w:val="0"/>
        <w:bidi w:val="0"/>
        <w:adjustRightInd w:val="0"/>
        <w:snapToGrid/>
        <w:spacing w:line="240" w:lineRule="auto"/>
        <w:ind w:firstLine="643" w:firstLineChars="200"/>
        <w:textAlignment w:val="baseline"/>
        <w:outlineLvl w:val="1"/>
        <w:rPr>
          <w:rFonts w:hint="default" w:ascii="楷体_GB2312" w:hAnsi="楷体_GB2312" w:eastAsia="楷体_GB2312" w:cs="楷体_GB2312"/>
          <w:b/>
          <w:bCs/>
          <w:color w:val="auto"/>
          <w:sz w:val="32"/>
          <w:szCs w:val="32"/>
          <w:lang w:val="en-US" w:eastAsia="zh-CN"/>
        </w:rPr>
      </w:pPr>
      <w:bookmarkStart w:id="144" w:name="_Toc1648"/>
      <w:bookmarkStart w:id="145" w:name="_Toc514771154"/>
      <w:bookmarkStart w:id="146" w:name="_Toc15130"/>
      <w:bookmarkStart w:id="147" w:name="_Toc15344"/>
      <w:bookmarkStart w:id="148" w:name="_Toc30541"/>
      <w:bookmarkStart w:id="149" w:name="_Toc6320"/>
      <w:bookmarkStart w:id="150" w:name="_Toc23429"/>
      <w:bookmarkStart w:id="151" w:name="_Toc3172"/>
      <w:bookmarkStart w:id="152" w:name="_Toc13344_WPSOffice_Level2"/>
      <w:bookmarkStart w:id="153" w:name="_Toc20556"/>
      <w:bookmarkStart w:id="154" w:name="_Toc28492"/>
      <w:bookmarkStart w:id="155" w:name="_Toc22509"/>
      <w:r>
        <w:rPr>
          <w:rFonts w:hint="eastAsia" w:ascii="楷体_GB2312" w:hAnsi="楷体_GB2312" w:eastAsia="楷体_GB2312" w:cs="楷体_GB2312"/>
          <w:b/>
          <w:bCs/>
          <w:color w:val="auto"/>
          <w:sz w:val="32"/>
          <w:szCs w:val="32"/>
          <w:lang w:val="en-US" w:eastAsia="zh-CN"/>
        </w:rPr>
        <w:t>（一）</w:t>
      </w:r>
      <w:bookmarkEnd w:id="144"/>
      <w:bookmarkEnd w:id="145"/>
      <w:bookmarkEnd w:id="146"/>
      <w:bookmarkEnd w:id="147"/>
      <w:bookmarkEnd w:id="148"/>
      <w:bookmarkEnd w:id="149"/>
      <w:bookmarkEnd w:id="150"/>
      <w:bookmarkEnd w:id="151"/>
      <w:bookmarkEnd w:id="152"/>
      <w:bookmarkEnd w:id="153"/>
      <w:bookmarkEnd w:id="154"/>
      <w:r>
        <w:rPr>
          <w:rFonts w:hint="eastAsia" w:ascii="楷体_GB2312" w:hAnsi="楷体_GB2312" w:eastAsia="楷体_GB2312" w:cs="楷体_GB2312"/>
          <w:b/>
          <w:bCs/>
          <w:color w:val="auto"/>
          <w:sz w:val="32"/>
          <w:szCs w:val="32"/>
          <w:lang w:val="en-US" w:eastAsia="zh-CN"/>
        </w:rPr>
        <w:t>项目综合评价</w:t>
      </w:r>
      <w:bookmarkEnd w:id="155"/>
    </w:p>
    <w:p w14:paraId="2A29A8C4">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bookmarkStart w:id="156" w:name="_Toc22034"/>
      <w:bookmarkStart w:id="157" w:name="_Toc6193"/>
      <w:bookmarkStart w:id="158" w:name="_Toc6785"/>
      <w:r>
        <w:rPr>
          <w:rFonts w:hint="eastAsia" w:ascii="仿宋_GB2312" w:hAnsi="仿宋_GB2312" w:eastAsia="仿宋_GB2312" w:cs="仿宋_GB2312"/>
          <w:color w:val="auto"/>
          <w:kern w:val="0"/>
          <w:sz w:val="32"/>
          <w:szCs w:val="32"/>
          <w:highlight w:val="none"/>
          <w:lang w:val="en-US" w:eastAsia="zh-CN" w:bidi="ar-SA"/>
        </w:rPr>
        <w:t>石狮市高标准农田建设（一期）“五化”示范项目使用上级财政资金1240万元，项目计划在石狮市蚶江镇石狮围垦区、石壁村、水头村、洪窟村开展，建设总面积达3100亩，预计投资1846万元。该项目主要涵盖农田灌排化、机械化、生态化、田园化、数字化等多项建设工程，如新建泵站、改建灌排渠与田间道、进行地力培肥、完善数字化硬件设备等，旨在打造高标准农田示范片。</w:t>
      </w:r>
    </w:p>
    <w:p w14:paraId="53AF2E4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截至2025年7月份，暂未完成工程的招投标工作。按照《石狮市人民政府办公室关于印发〈石狮市进一步加强国有企业工程项目管理的意见〉的通知》要求，该项目招投标应严格执行相关法律法规及国资监管规定，且需进入指定交易平台。前期工作的进度滞后，影响到后续工程施工、设备采购等环节的推进，导致项目整体建设周期延长，无法按原计划时间节点达成预期建设目标，进而对高标准农田尽早投入使用、发挥效益造成阻碍。</w:t>
      </w:r>
    </w:p>
    <w:p w14:paraId="3DCDE9BB">
      <w:pPr>
        <w:keepNext w:val="0"/>
        <w:keepLines w:val="0"/>
        <w:pageBreakBefore w:val="0"/>
        <w:widowControl w:val="0"/>
        <w:shd w:val="clear" w:fill="FFFFFF" w:themeFill="background1"/>
        <w:kinsoku/>
        <w:wordWrap/>
        <w:overflowPunct w:val="0"/>
        <w:topLinePunct w:val="0"/>
        <w:autoSpaceDE w:val="0"/>
        <w:autoSpaceDN w:val="0"/>
        <w:bidi w:val="0"/>
        <w:adjustRightInd w:val="0"/>
        <w:snapToGrid/>
        <w:spacing w:line="560" w:lineRule="exact"/>
        <w:ind w:firstLine="643" w:firstLineChars="200"/>
        <w:textAlignment w:val="baseline"/>
        <w:outlineLvl w:val="1"/>
        <w:rPr>
          <w:rFonts w:hint="eastAsia" w:ascii="仿宋" w:hAnsi="仿宋" w:eastAsia="仿宋" w:cs="仿宋"/>
          <w:color w:val="auto"/>
          <w:kern w:val="0"/>
          <w:sz w:val="28"/>
          <w:szCs w:val="28"/>
          <w:highlight w:val="none"/>
          <w:lang w:val="en-US" w:eastAsia="zh-CN"/>
        </w:rPr>
      </w:pPr>
      <w:bookmarkStart w:id="159" w:name="_Toc10936"/>
      <w:r>
        <w:rPr>
          <w:rFonts w:hint="eastAsia" w:ascii="楷体_GB2312" w:hAnsi="楷体_GB2312" w:eastAsia="楷体_GB2312" w:cs="楷体_GB2312"/>
          <w:b/>
          <w:bCs/>
          <w:color w:val="auto"/>
          <w:sz w:val="32"/>
          <w:szCs w:val="32"/>
          <w:highlight w:val="none"/>
          <w:lang w:val="en-US" w:eastAsia="zh-CN"/>
        </w:rPr>
        <w:t>（二）项目绩效分析</w:t>
      </w:r>
      <w:bookmarkEnd w:id="159"/>
    </w:p>
    <w:p w14:paraId="36DAA10F">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bookmarkStart w:id="160" w:name="_Toc14552"/>
      <w:bookmarkStart w:id="161" w:name="_Toc31340"/>
      <w:bookmarkStart w:id="162" w:name="_Toc19827"/>
      <w:bookmarkStart w:id="163" w:name="_Toc31736"/>
      <w:bookmarkStart w:id="164" w:name="_Toc892"/>
      <w:bookmarkStart w:id="165" w:name="_Toc20258"/>
      <w:bookmarkStart w:id="166" w:name="_Toc22302"/>
      <w:r>
        <w:rPr>
          <w:rFonts w:hint="eastAsia" w:ascii="仿宋_GB2312" w:hAnsi="仿宋_GB2312" w:eastAsia="仿宋_GB2312" w:cs="仿宋_GB2312"/>
          <w:color w:val="auto"/>
          <w:kern w:val="0"/>
          <w:sz w:val="32"/>
          <w:szCs w:val="32"/>
          <w:highlight w:val="none"/>
          <w:lang w:val="en-US" w:eastAsia="zh-CN" w:bidi="ar-SA"/>
        </w:rPr>
        <w:t>评价组在基础数据分析及处理的基础上，对石狮市高标准农田建设（一期）“五化”示范项目进行客观公正的评价，综合评价得分73分，评价等级“中”。具体得分情况见表</w:t>
      </w:r>
      <w:bookmarkEnd w:id="156"/>
      <w:bookmarkEnd w:id="157"/>
      <w:bookmarkEnd w:id="158"/>
      <w:bookmarkEnd w:id="160"/>
      <w:bookmarkEnd w:id="161"/>
      <w:bookmarkEnd w:id="162"/>
      <w:bookmarkEnd w:id="163"/>
      <w:bookmarkEnd w:id="164"/>
      <w:bookmarkEnd w:id="165"/>
      <w:bookmarkEnd w:id="166"/>
      <w:bookmarkStart w:id="167" w:name="_Toc29479"/>
      <w:bookmarkStart w:id="168" w:name="_Toc18602"/>
      <w:bookmarkStart w:id="169" w:name="_Toc18986"/>
      <w:bookmarkStart w:id="170" w:name="_Toc23880"/>
      <w:r>
        <w:rPr>
          <w:rFonts w:hint="eastAsia" w:ascii="仿宋_GB2312" w:hAnsi="仿宋_GB2312" w:eastAsia="仿宋_GB2312" w:cs="仿宋_GB2312"/>
          <w:color w:val="auto"/>
          <w:kern w:val="0"/>
          <w:sz w:val="32"/>
          <w:szCs w:val="32"/>
          <w:highlight w:val="none"/>
          <w:lang w:val="en-US" w:eastAsia="zh-CN" w:bidi="ar-SA"/>
        </w:rPr>
        <w:t>5：</w:t>
      </w:r>
      <w:bookmarkStart w:id="171" w:name="_Toc24319"/>
      <w:bookmarkStart w:id="172" w:name="_Toc15792"/>
      <w:bookmarkStart w:id="173" w:name="_Toc20596"/>
      <w:bookmarkStart w:id="174" w:name="_Toc9618"/>
    </w:p>
    <w:p w14:paraId="3929FE8B">
      <w:pPr>
        <w:keepNext w:val="0"/>
        <w:keepLines w:val="0"/>
        <w:pageBreakBefore w:val="0"/>
        <w:widowControl w:val="0"/>
        <w:kinsoku/>
        <w:wordWrap/>
        <w:topLinePunct w:val="0"/>
        <w:bidi w:val="0"/>
        <w:snapToGrid/>
        <w:jc w:val="center"/>
        <w:rPr>
          <w:rFonts w:hint="eastAsia" w:ascii="仿宋" w:hAnsi="仿宋" w:eastAsia="仿宋" w:cs="仿宋"/>
          <w:b/>
          <w:bCs/>
          <w:color w:val="auto"/>
          <w:kern w:val="0"/>
          <w:sz w:val="28"/>
          <w:szCs w:val="28"/>
          <w:highlight w:val="none"/>
          <w:lang w:val="en-US" w:eastAsia="zh-CN" w:bidi="ar-SA"/>
        </w:rPr>
      </w:pPr>
      <w:r>
        <w:rPr>
          <w:rFonts w:hint="eastAsia" w:ascii="仿宋" w:hAnsi="仿宋" w:eastAsia="仿宋" w:cs="仿宋"/>
          <w:b/>
          <w:bCs/>
          <w:color w:val="auto"/>
          <w:kern w:val="0"/>
          <w:sz w:val="28"/>
          <w:szCs w:val="28"/>
          <w:highlight w:val="none"/>
          <w:lang w:val="en-US" w:eastAsia="zh-CN" w:bidi="ar-SA"/>
        </w:rPr>
        <w:t>表5 指标得分情况表</w:t>
      </w:r>
      <w:bookmarkEnd w:id="167"/>
      <w:bookmarkEnd w:id="168"/>
      <w:bookmarkEnd w:id="169"/>
      <w:bookmarkEnd w:id="170"/>
      <w:bookmarkEnd w:id="171"/>
      <w:bookmarkEnd w:id="172"/>
      <w:bookmarkEnd w:id="173"/>
      <w:bookmarkEnd w:id="174"/>
    </w:p>
    <w:tbl>
      <w:tblPr>
        <w:tblStyle w:val="15"/>
        <w:tblW w:w="8760" w:type="dxa"/>
        <w:tblInd w:w="1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429"/>
        <w:gridCol w:w="2095"/>
        <w:gridCol w:w="2028"/>
        <w:gridCol w:w="2208"/>
      </w:tblGrid>
      <w:tr w14:paraId="3C3754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29"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25098348">
            <w:pPr>
              <w:keepNext w:val="0"/>
              <w:keepLines w:val="0"/>
              <w:pageBreakBefore w:val="0"/>
              <w:widowControl w:val="0"/>
              <w:suppressLineNumbers w:val="0"/>
              <w:kinsoku/>
              <w:wordWrap/>
              <w:topLinePunct w:val="0"/>
              <w:bidi w:val="0"/>
              <w:snapToGrid/>
              <w:spacing w:line="240" w:lineRule="auto"/>
              <w:jc w:val="center"/>
              <w:textAlignment w:val="center"/>
              <w:rPr>
                <w:rFonts w:hint="eastAsia" w:ascii="仿宋" w:hAnsi="仿宋" w:eastAsia="仿宋" w:cs="仿宋"/>
                <w:b/>
                <w:bCs/>
                <w:i w:val="0"/>
                <w:iCs w:val="0"/>
                <w:color w:val="000000"/>
                <w:sz w:val="28"/>
                <w:szCs w:val="28"/>
                <w:highlight w:val="none"/>
                <w:u w:val="none"/>
              </w:rPr>
            </w:pPr>
            <w:r>
              <w:rPr>
                <w:rFonts w:hint="eastAsia" w:ascii="仿宋" w:hAnsi="仿宋" w:eastAsia="仿宋" w:cs="仿宋"/>
                <w:b/>
                <w:bCs/>
                <w:i w:val="0"/>
                <w:iCs w:val="0"/>
                <w:color w:val="000000"/>
                <w:kern w:val="0"/>
                <w:sz w:val="28"/>
                <w:szCs w:val="28"/>
                <w:highlight w:val="none"/>
                <w:u w:val="none"/>
                <w:lang w:val="en-US" w:eastAsia="zh-CN" w:bidi="ar"/>
              </w:rPr>
              <w:t>指标</w:t>
            </w:r>
          </w:p>
        </w:tc>
        <w:tc>
          <w:tcPr>
            <w:tcW w:w="2095"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7A5CDF6E">
            <w:pPr>
              <w:keepNext w:val="0"/>
              <w:keepLines w:val="0"/>
              <w:pageBreakBefore w:val="0"/>
              <w:widowControl w:val="0"/>
              <w:suppressLineNumbers w:val="0"/>
              <w:kinsoku/>
              <w:wordWrap/>
              <w:topLinePunct w:val="0"/>
              <w:bidi w:val="0"/>
              <w:snapToGrid/>
              <w:spacing w:line="240" w:lineRule="auto"/>
              <w:jc w:val="center"/>
              <w:textAlignment w:val="center"/>
              <w:rPr>
                <w:rFonts w:hint="eastAsia" w:ascii="仿宋" w:hAnsi="仿宋" w:eastAsia="仿宋" w:cs="仿宋"/>
                <w:b/>
                <w:bCs/>
                <w:i w:val="0"/>
                <w:iCs w:val="0"/>
                <w:color w:val="000000"/>
                <w:sz w:val="28"/>
                <w:szCs w:val="28"/>
                <w:highlight w:val="none"/>
                <w:u w:val="none"/>
              </w:rPr>
            </w:pPr>
            <w:r>
              <w:rPr>
                <w:rFonts w:hint="eastAsia" w:ascii="仿宋" w:hAnsi="仿宋" w:eastAsia="仿宋" w:cs="仿宋"/>
                <w:b/>
                <w:bCs/>
                <w:i w:val="0"/>
                <w:iCs w:val="0"/>
                <w:color w:val="000000"/>
                <w:kern w:val="0"/>
                <w:sz w:val="28"/>
                <w:szCs w:val="28"/>
                <w:highlight w:val="none"/>
                <w:u w:val="none"/>
                <w:lang w:val="en-US" w:eastAsia="zh-CN" w:bidi="ar"/>
              </w:rPr>
              <w:t>权重分</w:t>
            </w:r>
          </w:p>
        </w:tc>
        <w:tc>
          <w:tcPr>
            <w:tcW w:w="2028"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25D48E08">
            <w:pPr>
              <w:keepNext w:val="0"/>
              <w:keepLines w:val="0"/>
              <w:pageBreakBefore w:val="0"/>
              <w:widowControl w:val="0"/>
              <w:suppressLineNumbers w:val="0"/>
              <w:kinsoku/>
              <w:wordWrap/>
              <w:topLinePunct w:val="0"/>
              <w:bidi w:val="0"/>
              <w:snapToGrid/>
              <w:spacing w:line="240" w:lineRule="auto"/>
              <w:jc w:val="center"/>
              <w:textAlignment w:val="center"/>
              <w:rPr>
                <w:rFonts w:hint="eastAsia" w:ascii="仿宋" w:hAnsi="仿宋" w:eastAsia="仿宋" w:cs="仿宋"/>
                <w:b/>
                <w:bCs/>
                <w:i w:val="0"/>
                <w:iCs w:val="0"/>
                <w:color w:val="000000"/>
                <w:sz w:val="28"/>
                <w:szCs w:val="28"/>
                <w:highlight w:val="none"/>
                <w:u w:val="none"/>
              </w:rPr>
            </w:pPr>
            <w:r>
              <w:rPr>
                <w:rFonts w:hint="eastAsia" w:ascii="仿宋" w:hAnsi="仿宋" w:eastAsia="仿宋" w:cs="仿宋"/>
                <w:b/>
                <w:bCs/>
                <w:i w:val="0"/>
                <w:iCs w:val="0"/>
                <w:color w:val="000000"/>
                <w:kern w:val="0"/>
                <w:sz w:val="28"/>
                <w:szCs w:val="28"/>
                <w:highlight w:val="none"/>
                <w:u w:val="none"/>
                <w:lang w:val="en-US" w:eastAsia="zh-CN" w:bidi="ar"/>
              </w:rPr>
              <w:t>得分</w:t>
            </w:r>
          </w:p>
        </w:tc>
        <w:tc>
          <w:tcPr>
            <w:tcW w:w="2208"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145355FC">
            <w:pPr>
              <w:keepNext w:val="0"/>
              <w:keepLines w:val="0"/>
              <w:pageBreakBefore w:val="0"/>
              <w:widowControl w:val="0"/>
              <w:suppressLineNumbers w:val="0"/>
              <w:kinsoku/>
              <w:wordWrap/>
              <w:topLinePunct w:val="0"/>
              <w:bidi w:val="0"/>
              <w:snapToGrid/>
              <w:spacing w:line="240" w:lineRule="auto"/>
              <w:jc w:val="center"/>
              <w:textAlignment w:val="center"/>
              <w:rPr>
                <w:rFonts w:hint="default" w:ascii="仿宋" w:hAnsi="仿宋" w:eastAsia="仿宋" w:cs="仿宋"/>
                <w:b/>
                <w:bCs/>
                <w:i w:val="0"/>
                <w:iCs w:val="0"/>
                <w:color w:val="000000"/>
                <w:kern w:val="0"/>
                <w:sz w:val="28"/>
                <w:szCs w:val="28"/>
                <w:highlight w:val="none"/>
                <w:u w:val="none"/>
                <w:lang w:val="en-US" w:eastAsia="zh-CN" w:bidi="ar"/>
              </w:rPr>
            </w:pPr>
            <w:r>
              <w:rPr>
                <w:rFonts w:hint="eastAsia" w:ascii="仿宋" w:hAnsi="仿宋" w:eastAsia="仿宋" w:cs="仿宋"/>
                <w:b/>
                <w:bCs/>
                <w:i w:val="0"/>
                <w:iCs w:val="0"/>
                <w:color w:val="000000"/>
                <w:kern w:val="0"/>
                <w:sz w:val="28"/>
                <w:szCs w:val="28"/>
                <w:highlight w:val="none"/>
                <w:u w:val="none"/>
                <w:lang w:val="en-US" w:eastAsia="zh-CN" w:bidi="ar"/>
              </w:rPr>
              <w:t>得分率</w:t>
            </w:r>
          </w:p>
        </w:tc>
      </w:tr>
      <w:tr w14:paraId="428A82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trPr>
        <w:tc>
          <w:tcPr>
            <w:tcW w:w="2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9E75C">
            <w:pPr>
              <w:keepNext w:val="0"/>
              <w:keepLines w:val="0"/>
              <w:pageBreakBefore w:val="0"/>
              <w:widowControl w:val="0"/>
              <w:suppressLineNumbers w:val="0"/>
              <w:kinsoku/>
              <w:wordWrap/>
              <w:topLinePunct w:val="0"/>
              <w:bidi w:val="0"/>
              <w:snapToGrid/>
              <w:spacing w:line="240" w:lineRule="auto"/>
              <w:jc w:val="center"/>
              <w:textAlignment w:val="center"/>
              <w:rPr>
                <w:rFonts w:hint="eastAsia" w:ascii="仿宋" w:hAnsi="仿宋" w:eastAsia="仿宋" w:cs="仿宋"/>
                <w:i w:val="0"/>
                <w:iCs w:val="0"/>
                <w:color w:val="000000"/>
                <w:sz w:val="28"/>
                <w:szCs w:val="28"/>
                <w:highlight w:val="none"/>
                <w:u w:val="none"/>
              </w:rPr>
            </w:pPr>
            <w:r>
              <w:rPr>
                <w:rFonts w:hint="eastAsia" w:ascii="仿宋" w:hAnsi="仿宋" w:eastAsia="仿宋" w:cs="仿宋"/>
                <w:i w:val="0"/>
                <w:iCs w:val="0"/>
                <w:color w:val="000000"/>
                <w:kern w:val="0"/>
                <w:sz w:val="28"/>
                <w:szCs w:val="28"/>
                <w:highlight w:val="none"/>
                <w:u w:val="none"/>
                <w:lang w:val="en-US" w:eastAsia="zh-CN" w:bidi="ar"/>
              </w:rPr>
              <w:t>决策</w:t>
            </w:r>
          </w:p>
        </w:tc>
        <w:tc>
          <w:tcPr>
            <w:tcW w:w="20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9D05D">
            <w:pPr>
              <w:keepNext w:val="0"/>
              <w:keepLines w:val="0"/>
              <w:pageBreakBefore w:val="0"/>
              <w:widowControl w:val="0"/>
              <w:suppressLineNumbers w:val="0"/>
              <w:kinsoku/>
              <w:wordWrap/>
              <w:topLinePunct w:val="0"/>
              <w:bidi w:val="0"/>
              <w:snapToGrid/>
              <w:jc w:val="center"/>
              <w:textAlignment w:val="center"/>
              <w:rPr>
                <w:rFonts w:hint="eastAsia" w:ascii="仿宋" w:hAnsi="仿宋" w:eastAsia="仿宋" w:cs="仿宋"/>
                <w:i w:val="0"/>
                <w:iCs w:val="0"/>
                <w:color w:val="000000"/>
                <w:sz w:val="28"/>
                <w:szCs w:val="28"/>
                <w:highlight w:val="none"/>
                <w:u w:val="none"/>
              </w:rPr>
            </w:pPr>
            <w:r>
              <w:rPr>
                <w:rFonts w:hint="eastAsia" w:ascii="仿宋" w:hAnsi="仿宋" w:eastAsia="仿宋" w:cs="仿宋"/>
                <w:i w:val="0"/>
                <w:iCs w:val="0"/>
                <w:color w:val="000000"/>
                <w:kern w:val="0"/>
                <w:sz w:val="28"/>
                <w:szCs w:val="28"/>
                <w:highlight w:val="none"/>
                <w:u w:val="none"/>
                <w:lang w:val="en-US" w:eastAsia="zh-CN" w:bidi="ar"/>
              </w:rPr>
              <w:t>18.00</w:t>
            </w:r>
          </w:p>
        </w:tc>
        <w:tc>
          <w:tcPr>
            <w:tcW w:w="20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C85FD">
            <w:pPr>
              <w:keepNext w:val="0"/>
              <w:keepLines w:val="0"/>
              <w:pageBreakBefore w:val="0"/>
              <w:widowControl w:val="0"/>
              <w:suppressLineNumbers w:val="0"/>
              <w:kinsoku/>
              <w:wordWrap/>
              <w:topLinePunct w:val="0"/>
              <w:bidi w:val="0"/>
              <w:snapToGrid/>
              <w:jc w:val="center"/>
              <w:textAlignment w:val="center"/>
              <w:rPr>
                <w:rFonts w:hint="eastAsia" w:ascii="仿宋" w:hAnsi="仿宋" w:eastAsia="仿宋" w:cs="仿宋"/>
                <w:i w:val="0"/>
                <w:iCs w:val="0"/>
                <w:color w:val="000000"/>
                <w:kern w:val="0"/>
                <w:sz w:val="28"/>
                <w:szCs w:val="28"/>
                <w:highlight w:val="none"/>
                <w:u w:val="none"/>
                <w:lang w:val="en-US" w:eastAsia="zh-CN" w:bidi="ar"/>
              </w:rPr>
            </w:pPr>
            <w:r>
              <w:rPr>
                <w:rFonts w:hint="eastAsia" w:ascii="仿宋" w:hAnsi="仿宋" w:eastAsia="仿宋" w:cs="仿宋"/>
                <w:i w:val="0"/>
                <w:iCs w:val="0"/>
                <w:color w:val="000000"/>
                <w:kern w:val="0"/>
                <w:sz w:val="28"/>
                <w:szCs w:val="28"/>
                <w:highlight w:val="none"/>
                <w:u w:val="none"/>
                <w:lang w:val="en-US" w:eastAsia="zh-CN" w:bidi="ar"/>
              </w:rPr>
              <w:t>17.00</w:t>
            </w:r>
          </w:p>
        </w:tc>
        <w:tc>
          <w:tcPr>
            <w:tcW w:w="22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FC87E">
            <w:pPr>
              <w:keepNext w:val="0"/>
              <w:keepLines w:val="0"/>
              <w:pageBreakBefore w:val="0"/>
              <w:widowControl w:val="0"/>
              <w:suppressLineNumbers w:val="0"/>
              <w:kinsoku/>
              <w:wordWrap/>
              <w:topLinePunct w:val="0"/>
              <w:bidi w:val="0"/>
              <w:snapToGrid/>
              <w:jc w:val="center"/>
              <w:textAlignment w:val="center"/>
              <w:rPr>
                <w:rFonts w:hint="default" w:ascii="仿宋" w:hAnsi="仿宋" w:eastAsia="仿宋" w:cs="仿宋"/>
                <w:i w:val="0"/>
                <w:iCs w:val="0"/>
                <w:color w:val="000000"/>
                <w:kern w:val="0"/>
                <w:sz w:val="28"/>
                <w:szCs w:val="28"/>
                <w:highlight w:val="none"/>
                <w:u w:val="none"/>
                <w:lang w:val="en-US" w:eastAsia="zh-CN" w:bidi="ar"/>
              </w:rPr>
            </w:pPr>
            <w:r>
              <w:rPr>
                <w:rFonts w:hint="eastAsia" w:ascii="仿宋" w:hAnsi="仿宋" w:eastAsia="仿宋" w:cs="仿宋"/>
                <w:i w:val="0"/>
                <w:iCs w:val="0"/>
                <w:color w:val="000000"/>
                <w:kern w:val="0"/>
                <w:sz w:val="28"/>
                <w:szCs w:val="28"/>
                <w:highlight w:val="none"/>
                <w:u w:val="none"/>
                <w:lang w:val="en-US" w:eastAsia="zh-CN" w:bidi="ar"/>
              </w:rPr>
              <w:t>94.44%</w:t>
            </w:r>
          </w:p>
        </w:tc>
      </w:tr>
      <w:tr w14:paraId="276396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trPr>
        <w:tc>
          <w:tcPr>
            <w:tcW w:w="2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D4E3D">
            <w:pPr>
              <w:keepNext w:val="0"/>
              <w:keepLines w:val="0"/>
              <w:pageBreakBefore w:val="0"/>
              <w:widowControl w:val="0"/>
              <w:suppressLineNumbers w:val="0"/>
              <w:kinsoku/>
              <w:wordWrap/>
              <w:topLinePunct w:val="0"/>
              <w:bidi w:val="0"/>
              <w:snapToGrid/>
              <w:spacing w:line="240" w:lineRule="auto"/>
              <w:jc w:val="center"/>
              <w:textAlignment w:val="center"/>
              <w:rPr>
                <w:rFonts w:hint="eastAsia" w:ascii="仿宋" w:hAnsi="仿宋" w:eastAsia="仿宋" w:cs="仿宋"/>
                <w:i w:val="0"/>
                <w:iCs w:val="0"/>
                <w:color w:val="000000"/>
                <w:sz w:val="28"/>
                <w:szCs w:val="28"/>
                <w:highlight w:val="none"/>
                <w:u w:val="none"/>
              </w:rPr>
            </w:pPr>
            <w:r>
              <w:rPr>
                <w:rFonts w:hint="eastAsia" w:ascii="仿宋" w:hAnsi="仿宋" w:eastAsia="仿宋" w:cs="仿宋"/>
                <w:i w:val="0"/>
                <w:iCs w:val="0"/>
                <w:color w:val="000000"/>
                <w:kern w:val="0"/>
                <w:sz w:val="28"/>
                <w:szCs w:val="28"/>
                <w:highlight w:val="none"/>
                <w:u w:val="none"/>
                <w:lang w:val="en-US" w:eastAsia="zh-CN" w:bidi="ar"/>
              </w:rPr>
              <w:t>过程</w:t>
            </w:r>
          </w:p>
        </w:tc>
        <w:tc>
          <w:tcPr>
            <w:tcW w:w="20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C56B1">
            <w:pPr>
              <w:keepNext w:val="0"/>
              <w:keepLines w:val="0"/>
              <w:pageBreakBefore w:val="0"/>
              <w:widowControl w:val="0"/>
              <w:suppressLineNumbers w:val="0"/>
              <w:kinsoku/>
              <w:wordWrap/>
              <w:topLinePunct w:val="0"/>
              <w:bidi w:val="0"/>
              <w:snapToGrid/>
              <w:jc w:val="center"/>
              <w:textAlignment w:val="center"/>
              <w:rPr>
                <w:rFonts w:hint="eastAsia" w:ascii="仿宋" w:hAnsi="仿宋" w:eastAsia="仿宋" w:cs="仿宋"/>
                <w:i w:val="0"/>
                <w:iCs w:val="0"/>
                <w:color w:val="000000"/>
                <w:sz w:val="28"/>
                <w:szCs w:val="28"/>
                <w:highlight w:val="none"/>
                <w:u w:val="none"/>
              </w:rPr>
            </w:pPr>
            <w:r>
              <w:rPr>
                <w:rFonts w:hint="eastAsia" w:ascii="仿宋" w:hAnsi="仿宋" w:eastAsia="仿宋" w:cs="仿宋"/>
                <w:i w:val="0"/>
                <w:iCs w:val="0"/>
                <w:color w:val="000000"/>
                <w:kern w:val="0"/>
                <w:sz w:val="28"/>
                <w:szCs w:val="28"/>
                <w:highlight w:val="none"/>
                <w:u w:val="none"/>
                <w:lang w:val="en-US" w:eastAsia="zh-CN" w:bidi="ar"/>
              </w:rPr>
              <w:t>20.00</w:t>
            </w:r>
          </w:p>
        </w:tc>
        <w:tc>
          <w:tcPr>
            <w:tcW w:w="20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0129B">
            <w:pPr>
              <w:keepNext w:val="0"/>
              <w:keepLines w:val="0"/>
              <w:pageBreakBefore w:val="0"/>
              <w:widowControl w:val="0"/>
              <w:suppressLineNumbers w:val="0"/>
              <w:kinsoku/>
              <w:wordWrap/>
              <w:topLinePunct w:val="0"/>
              <w:bidi w:val="0"/>
              <w:snapToGrid/>
              <w:jc w:val="center"/>
              <w:textAlignment w:val="center"/>
              <w:rPr>
                <w:rFonts w:hint="default" w:ascii="仿宋" w:hAnsi="仿宋" w:eastAsia="仿宋" w:cs="仿宋"/>
                <w:i w:val="0"/>
                <w:iCs w:val="0"/>
                <w:color w:val="000000"/>
                <w:kern w:val="0"/>
                <w:sz w:val="28"/>
                <w:szCs w:val="28"/>
                <w:highlight w:val="none"/>
                <w:u w:val="none"/>
                <w:lang w:val="en-US" w:eastAsia="zh-CN" w:bidi="ar"/>
              </w:rPr>
            </w:pPr>
            <w:r>
              <w:rPr>
                <w:rFonts w:hint="eastAsia" w:ascii="仿宋" w:hAnsi="仿宋" w:eastAsia="仿宋" w:cs="仿宋"/>
                <w:i w:val="0"/>
                <w:iCs w:val="0"/>
                <w:color w:val="000000"/>
                <w:kern w:val="0"/>
                <w:sz w:val="28"/>
                <w:szCs w:val="28"/>
                <w:highlight w:val="none"/>
                <w:u w:val="none"/>
                <w:lang w:val="en-US" w:eastAsia="zh-CN" w:bidi="ar"/>
              </w:rPr>
              <w:t>12.00</w:t>
            </w:r>
          </w:p>
        </w:tc>
        <w:tc>
          <w:tcPr>
            <w:tcW w:w="22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22F68">
            <w:pPr>
              <w:keepNext w:val="0"/>
              <w:keepLines w:val="0"/>
              <w:pageBreakBefore w:val="0"/>
              <w:widowControl w:val="0"/>
              <w:suppressLineNumbers w:val="0"/>
              <w:kinsoku/>
              <w:wordWrap/>
              <w:topLinePunct w:val="0"/>
              <w:bidi w:val="0"/>
              <w:snapToGrid/>
              <w:jc w:val="center"/>
              <w:textAlignment w:val="center"/>
              <w:rPr>
                <w:rFonts w:hint="eastAsia" w:ascii="仿宋" w:hAnsi="仿宋" w:eastAsia="仿宋" w:cs="仿宋"/>
                <w:i w:val="0"/>
                <w:iCs w:val="0"/>
                <w:color w:val="000000"/>
                <w:kern w:val="0"/>
                <w:sz w:val="28"/>
                <w:szCs w:val="28"/>
                <w:highlight w:val="none"/>
                <w:u w:val="none"/>
                <w:lang w:val="en-US" w:eastAsia="zh-CN" w:bidi="ar"/>
              </w:rPr>
            </w:pPr>
            <w:r>
              <w:rPr>
                <w:rFonts w:hint="eastAsia" w:ascii="仿宋" w:hAnsi="仿宋" w:eastAsia="仿宋" w:cs="仿宋"/>
                <w:i w:val="0"/>
                <w:iCs w:val="0"/>
                <w:color w:val="000000"/>
                <w:kern w:val="0"/>
                <w:sz w:val="28"/>
                <w:szCs w:val="28"/>
                <w:highlight w:val="none"/>
                <w:u w:val="none"/>
                <w:lang w:val="en-US" w:eastAsia="zh-CN" w:bidi="ar"/>
              </w:rPr>
              <w:t>60.00%</w:t>
            </w:r>
          </w:p>
        </w:tc>
      </w:tr>
      <w:tr w14:paraId="368CE1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3" w:hRule="exact"/>
        </w:trPr>
        <w:tc>
          <w:tcPr>
            <w:tcW w:w="2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1451E">
            <w:pPr>
              <w:keepNext w:val="0"/>
              <w:keepLines w:val="0"/>
              <w:pageBreakBefore w:val="0"/>
              <w:widowControl w:val="0"/>
              <w:suppressLineNumbers w:val="0"/>
              <w:kinsoku/>
              <w:wordWrap/>
              <w:topLinePunct w:val="0"/>
              <w:bidi w:val="0"/>
              <w:snapToGrid/>
              <w:spacing w:line="240" w:lineRule="auto"/>
              <w:jc w:val="center"/>
              <w:textAlignment w:val="center"/>
              <w:rPr>
                <w:rFonts w:hint="eastAsia" w:ascii="仿宋" w:hAnsi="仿宋" w:eastAsia="仿宋" w:cs="仿宋"/>
                <w:i w:val="0"/>
                <w:iCs w:val="0"/>
                <w:color w:val="000000"/>
                <w:sz w:val="28"/>
                <w:szCs w:val="28"/>
                <w:highlight w:val="none"/>
                <w:u w:val="none"/>
              </w:rPr>
            </w:pPr>
            <w:r>
              <w:rPr>
                <w:rFonts w:hint="eastAsia" w:ascii="仿宋" w:hAnsi="仿宋" w:eastAsia="仿宋" w:cs="仿宋"/>
                <w:i w:val="0"/>
                <w:iCs w:val="0"/>
                <w:color w:val="000000"/>
                <w:kern w:val="0"/>
                <w:sz w:val="28"/>
                <w:szCs w:val="28"/>
                <w:highlight w:val="none"/>
                <w:u w:val="none"/>
                <w:lang w:val="en-US" w:eastAsia="zh-CN" w:bidi="ar"/>
              </w:rPr>
              <w:t>产出</w:t>
            </w:r>
          </w:p>
        </w:tc>
        <w:tc>
          <w:tcPr>
            <w:tcW w:w="20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FCAC0">
            <w:pPr>
              <w:keepNext w:val="0"/>
              <w:keepLines w:val="0"/>
              <w:pageBreakBefore w:val="0"/>
              <w:widowControl w:val="0"/>
              <w:suppressLineNumbers w:val="0"/>
              <w:kinsoku/>
              <w:wordWrap/>
              <w:topLinePunct w:val="0"/>
              <w:bidi w:val="0"/>
              <w:snapToGrid/>
              <w:jc w:val="center"/>
              <w:textAlignment w:val="center"/>
              <w:rPr>
                <w:rFonts w:hint="eastAsia" w:ascii="仿宋" w:hAnsi="仿宋" w:eastAsia="仿宋" w:cs="仿宋"/>
                <w:i w:val="0"/>
                <w:iCs w:val="0"/>
                <w:color w:val="000000"/>
                <w:sz w:val="28"/>
                <w:szCs w:val="28"/>
                <w:highlight w:val="none"/>
                <w:u w:val="none"/>
              </w:rPr>
            </w:pPr>
            <w:r>
              <w:rPr>
                <w:rFonts w:hint="eastAsia" w:ascii="仿宋" w:hAnsi="仿宋" w:eastAsia="仿宋" w:cs="仿宋"/>
                <w:i w:val="0"/>
                <w:iCs w:val="0"/>
                <w:color w:val="000000"/>
                <w:kern w:val="0"/>
                <w:sz w:val="28"/>
                <w:szCs w:val="28"/>
                <w:highlight w:val="none"/>
                <w:u w:val="none"/>
                <w:lang w:val="en-US" w:eastAsia="zh-CN" w:bidi="ar"/>
              </w:rPr>
              <w:t>39.00</w:t>
            </w:r>
          </w:p>
        </w:tc>
        <w:tc>
          <w:tcPr>
            <w:tcW w:w="20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BDD39">
            <w:pPr>
              <w:keepNext w:val="0"/>
              <w:keepLines w:val="0"/>
              <w:pageBreakBefore w:val="0"/>
              <w:widowControl w:val="0"/>
              <w:suppressLineNumbers w:val="0"/>
              <w:kinsoku/>
              <w:wordWrap/>
              <w:topLinePunct w:val="0"/>
              <w:bidi w:val="0"/>
              <w:snapToGrid/>
              <w:jc w:val="center"/>
              <w:textAlignment w:val="center"/>
              <w:rPr>
                <w:rFonts w:hint="default" w:ascii="仿宋" w:hAnsi="仿宋" w:eastAsia="仿宋" w:cs="仿宋"/>
                <w:i w:val="0"/>
                <w:iCs w:val="0"/>
                <w:color w:val="000000"/>
                <w:kern w:val="0"/>
                <w:sz w:val="28"/>
                <w:szCs w:val="28"/>
                <w:highlight w:val="none"/>
                <w:u w:val="none"/>
                <w:lang w:val="en-US" w:eastAsia="zh-CN" w:bidi="ar"/>
              </w:rPr>
            </w:pPr>
            <w:r>
              <w:rPr>
                <w:rFonts w:hint="eastAsia" w:ascii="仿宋" w:hAnsi="仿宋" w:eastAsia="仿宋" w:cs="仿宋"/>
                <w:i w:val="0"/>
                <w:iCs w:val="0"/>
                <w:color w:val="000000"/>
                <w:kern w:val="0"/>
                <w:sz w:val="28"/>
                <w:szCs w:val="28"/>
                <w:highlight w:val="none"/>
                <w:u w:val="none"/>
                <w:lang w:val="en-US" w:eastAsia="zh-CN" w:bidi="ar"/>
              </w:rPr>
              <w:t>21.00</w:t>
            </w:r>
          </w:p>
        </w:tc>
        <w:tc>
          <w:tcPr>
            <w:tcW w:w="22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57933">
            <w:pPr>
              <w:keepNext w:val="0"/>
              <w:keepLines w:val="0"/>
              <w:pageBreakBefore w:val="0"/>
              <w:widowControl w:val="0"/>
              <w:suppressLineNumbers w:val="0"/>
              <w:kinsoku/>
              <w:wordWrap/>
              <w:topLinePunct w:val="0"/>
              <w:bidi w:val="0"/>
              <w:snapToGrid/>
              <w:jc w:val="center"/>
              <w:textAlignment w:val="center"/>
              <w:rPr>
                <w:rFonts w:hint="eastAsia" w:ascii="仿宋" w:hAnsi="仿宋" w:eastAsia="仿宋" w:cs="仿宋"/>
                <w:i w:val="0"/>
                <w:iCs w:val="0"/>
                <w:color w:val="000000"/>
                <w:kern w:val="0"/>
                <w:sz w:val="28"/>
                <w:szCs w:val="28"/>
                <w:highlight w:val="none"/>
                <w:u w:val="none"/>
                <w:lang w:val="en-US" w:eastAsia="zh-CN" w:bidi="ar"/>
              </w:rPr>
            </w:pPr>
            <w:r>
              <w:rPr>
                <w:rFonts w:hint="eastAsia" w:ascii="仿宋" w:hAnsi="仿宋" w:eastAsia="仿宋" w:cs="仿宋"/>
                <w:i w:val="0"/>
                <w:iCs w:val="0"/>
                <w:color w:val="000000"/>
                <w:kern w:val="0"/>
                <w:sz w:val="28"/>
                <w:szCs w:val="28"/>
                <w:highlight w:val="none"/>
                <w:u w:val="none"/>
                <w:lang w:val="en-US" w:eastAsia="zh-CN" w:bidi="ar"/>
              </w:rPr>
              <w:t>53.85%</w:t>
            </w:r>
          </w:p>
        </w:tc>
      </w:tr>
      <w:tr w14:paraId="598E25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trPr>
        <w:tc>
          <w:tcPr>
            <w:tcW w:w="2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43363">
            <w:pPr>
              <w:keepNext w:val="0"/>
              <w:keepLines w:val="0"/>
              <w:pageBreakBefore w:val="0"/>
              <w:widowControl w:val="0"/>
              <w:suppressLineNumbers w:val="0"/>
              <w:kinsoku/>
              <w:wordWrap/>
              <w:topLinePunct w:val="0"/>
              <w:bidi w:val="0"/>
              <w:snapToGrid/>
              <w:spacing w:line="240" w:lineRule="auto"/>
              <w:jc w:val="center"/>
              <w:textAlignment w:val="center"/>
              <w:rPr>
                <w:rFonts w:hint="eastAsia" w:ascii="仿宋" w:hAnsi="仿宋" w:eastAsia="仿宋" w:cs="仿宋"/>
                <w:i w:val="0"/>
                <w:iCs w:val="0"/>
                <w:color w:val="000000"/>
                <w:sz w:val="28"/>
                <w:szCs w:val="28"/>
                <w:highlight w:val="none"/>
                <w:u w:val="none"/>
              </w:rPr>
            </w:pPr>
            <w:r>
              <w:rPr>
                <w:rFonts w:hint="eastAsia" w:ascii="仿宋" w:hAnsi="仿宋" w:eastAsia="仿宋" w:cs="仿宋"/>
                <w:i w:val="0"/>
                <w:iCs w:val="0"/>
                <w:color w:val="000000"/>
                <w:kern w:val="0"/>
                <w:sz w:val="28"/>
                <w:szCs w:val="28"/>
                <w:highlight w:val="none"/>
                <w:u w:val="none"/>
                <w:lang w:val="en-US" w:eastAsia="zh-CN" w:bidi="ar"/>
              </w:rPr>
              <w:t>效益</w:t>
            </w:r>
          </w:p>
        </w:tc>
        <w:tc>
          <w:tcPr>
            <w:tcW w:w="20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E2F77">
            <w:pPr>
              <w:keepNext w:val="0"/>
              <w:keepLines w:val="0"/>
              <w:pageBreakBefore w:val="0"/>
              <w:widowControl w:val="0"/>
              <w:suppressLineNumbers w:val="0"/>
              <w:kinsoku/>
              <w:wordWrap/>
              <w:topLinePunct w:val="0"/>
              <w:bidi w:val="0"/>
              <w:snapToGrid/>
              <w:jc w:val="center"/>
              <w:textAlignment w:val="center"/>
              <w:rPr>
                <w:rFonts w:hint="eastAsia" w:ascii="仿宋" w:hAnsi="仿宋" w:eastAsia="仿宋" w:cs="仿宋"/>
                <w:i w:val="0"/>
                <w:iCs w:val="0"/>
                <w:color w:val="000000"/>
                <w:sz w:val="28"/>
                <w:szCs w:val="28"/>
                <w:highlight w:val="none"/>
                <w:u w:val="none"/>
              </w:rPr>
            </w:pPr>
            <w:r>
              <w:rPr>
                <w:rFonts w:hint="eastAsia" w:ascii="仿宋" w:hAnsi="仿宋" w:eastAsia="仿宋" w:cs="仿宋"/>
                <w:i w:val="0"/>
                <w:iCs w:val="0"/>
                <w:color w:val="000000"/>
                <w:kern w:val="0"/>
                <w:sz w:val="28"/>
                <w:szCs w:val="28"/>
                <w:highlight w:val="none"/>
                <w:u w:val="none"/>
                <w:lang w:val="en-US" w:eastAsia="zh-CN" w:bidi="ar"/>
              </w:rPr>
              <w:t>23.00</w:t>
            </w:r>
          </w:p>
        </w:tc>
        <w:tc>
          <w:tcPr>
            <w:tcW w:w="20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46C41">
            <w:pPr>
              <w:keepNext w:val="0"/>
              <w:keepLines w:val="0"/>
              <w:pageBreakBefore w:val="0"/>
              <w:widowControl w:val="0"/>
              <w:suppressLineNumbers w:val="0"/>
              <w:kinsoku/>
              <w:wordWrap/>
              <w:topLinePunct w:val="0"/>
              <w:bidi w:val="0"/>
              <w:snapToGrid/>
              <w:jc w:val="center"/>
              <w:textAlignment w:val="center"/>
              <w:rPr>
                <w:rFonts w:hint="default" w:ascii="仿宋" w:hAnsi="仿宋" w:eastAsia="仿宋" w:cs="仿宋"/>
                <w:i w:val="0"/>
                <w:iCs w:val="0"/>
                <w:color w:val="000000"/>
                <w:kern w:val="0"/>
                <w:sz w:val="28"/>
                <w:szCs w:val="28"/>
                <w:highlight w:val="none"/>
                <w:u w:val="none"/>
                <w:lang w:val="en-US" w:eastAsia="zh-CN" w:bidi="ar"/>
              </w:rPr>
            </w:pPr>
            <w:r>
              <w:rPr>
                <w:rFonts w:hint="eastAsia" w:ascii="仿宋" w:hAnsi="仿宋" w:eastAsia="仿宋" w:cs="仿宋"/>
                <w:i w:val="0"/>
                <w:iCs w:val="0"/>
                <w:color w:val="000000"/>
                <w:kern w:val="0"/>
                <w:sz w:val="28"/>
                <w:szCs w:val="28"/>
                <w:highlight w:val="none"/>
                <w:u w:val="none"/>
                <w:lang w:val="en-US" w:eastAsia="zh-CN" w:bidi="ar"/>
              </w:rPr>
              <w:t>23.00</w:t>
            </w:r>
          </w:p>
        </w:tc>
        <w:tc>
          <w:tcPr>
            <w:tcW w:w="22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A82F0">
            <w:pPr>
              <w:keepNext w:val="0"/>
              <w:keepLines w:val="0"/>
              <w:pageBreakBefore w:val="0"/>
              <w:widowControl w:val="0"/>
              <w:suppressLineNumbers w:val="0"/>
              <w:kinsoku/>
              <w:wordWrap/>
              <w:topLinePunct w:val="0"/>
              <w:bidi w:val="0"/>
              <w:snapToGrid/>
              <w:jc w:val="center"/>
              <w:textAlignment w:val="center"/>
              <w:rPr>
                <w:rFonts w:hint="eastAsia" w:ascii="仿宋" w:hAnsi="仿宋" w:eastAsia="仿宋" w:cs="仿宋"/>
                <w:i w:val="0"/>
                <w:iCs w:val="0"/>
                <w:color w:val="000000"/>
                <w:kern w:val="0"/>
                <w:sz w:val="28"/>
                <w:szCs w:val="28"/>
                <w:highlight w:val="none"/>
                <w:u w:val="none"/>
                <w:lang w:val="en-US" w:eastAsia="zh-CN" w:bidi="ar"/>
              </w:rPr>
            </w:pPr>
            <w:r>
              <w:rPr>
                <w:rFonts w:hint="eastAsia" w:ascii="仿宋" w:hAnsi="仿宋" w:eastAsia="仿宋" w:cs="仿宋"/>
                <w:i w:val="0"/>
                <w:iCs w:val="0"/>
                <w:color w:val="000000"/>
                <w:kern w:val="0"/>
                <w:sz w:val="28"/>
                <w:szCs w:val="28"/>
                <w:highlight w:val="none"/>
                <w:u w:val="none"/>
                <w:lang w:val="en-US" w:eastAsia="zh-CN" w:bidi="ar"/>
              </w:rPr>
              <w:t>100.00%</w:t>
            </w:r>
          </w:p>
        </w:tc>
      </w:tr>
      <w:tr w14:paraId="486E28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trPr>
        <w:tc>
          <w:tcPr>
            <w:tcW w:w="2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05EF4">
            <w:pPr>
              <w:keepNext w:val="0"/>
              <w:keepLines w:val="0"/>
              <w:pageBreakBefore w:val="0"/>
              <w:widowControl w:val="0"/>
              <w:suppressLineNumbers w:val="0"/>
              <w:kinsoku/>
              <w:wordWrap/>
              <w:topLinePunct w:val="0"/>
              <w:bidi w:val="0"/>
              <w:snapToGrid/>
              <w:spacing w:line="240" w:lineRule="auto"/>
              <w:jc w:val="center"/>
              <w:textAlignment w:val="center"/>
              <w:rPr>
                <w:rFonts w:hint="eastAsia" w:ascii="仿宋" w:hAnsi="仿宋" w:eastAsia="仿宋" w:cs="仿宋"/>
                <w:b/>
                <w:bCs/>
                <w:i w:val="0"/>
                <w:iCs w:val="0"/>
                <w:color w:val="000000"/>
                <w:sz w:val="28"/>
                <w:szCs w:val="28"/>
                <w:highlight w:val="none"/>
                <w:u w:val="none"/>
              </w:rPr>
            </w:pPr>
            <w:r>
              <w:rPr>
                <w:rFonts w:hint="eastAsia" w:ascii="仿宋" w:hAnsi="仿宋" w:eastAsia="仿宋" w:cs="仿宋"/>
                <w:b/>
                <w:bCs/>
                <w:i w:val="0"/>
                <w:iCs w:val="0"/>
                <w:color w:val="000000"/>
                <w:kern w:val="0"/>
                <w:sz w:val="28"/>
                <w:szCs w:val="28"/>
                <w:highlight w:val="none"/>
                <w:u w:val="none"/>
                <w:lang w:val="en-US" w:eastAsia="zh-CN" w:bidi="ar"/>
              </w:rPr>
              <w:t>综合得分</w:t>
            </w:r>
          </w:p>
        </w:tc>
        <w:tc>
          <w:tcPr>
            <w:tcW w:w="20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04418">
            <w:pPr>
              <w:keepNext w:val="0"/>
              <w:keepLines w:val="0"/>
              <w:pageBreakBefore w:val="0"/>
              <w:widowControl w:val="0"/>
              <w:suppressLineNumbers w:val="0"/>
              <w:kinsoku/>
              <w:wordWrap/>
              <w:topLinePunct w:val="0"/>
              <w:bidi w:val="0"/>
              <w:snapToGrid/>
              <w:jc w:val="center"/>
              <w:textAlignment w:val="center"/>
              <w:rPr>
                <w:rFonts w:hint="eastAsia" w:ascii="仿宋" w:hAnsi="仿宋" w:eastAsia="仿宋" w:cs="仿宋"/>
                <w:b/>
                <w:bCs/>
                <w:i w:val="0"/>
                <w:iCs w:val="0"/>
                <w:color w:val="000000"/>
                <w:sz w:val="28"/>
                <w:szCs w:val="28"/>
                <w:highlight w:val="none"/>
                <w:u w:val="none"/>
              </w:rPr>
            </w:pPr>
            <w:r>
              <w:rPr>
                <w:rFonts w:hint="eastAsia" w:ascii="仿宋" w:hAnsi="仿宋" w:eastAsia="仿宋" w:cs="仿宋"/>
                <w:b/>
                <w:bCs/>
                <w:i w:val="0"/>
                <w:iCs w:val="0"/>
                <w:color w:val="000000"/>
                <w:kern w:val="0"/>
                <w:sz w:val="28"/>
                <w:szCs w:val="28"/>
                <w:highlight w:val="none"/>
                <w:u w:val="none"/>
                <w:lang w:val="en-US" w:eastAsia="zh-CN" w:bidi="ar"/>
              </w:rPr>
              <w:t>100.00</w:t>
            </w:r>
          </w:p>
        </w:tc>
        <w:tc>
          <w:tcPr>
            <w:tcW w:w="20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45E98">
            <w:pPr>
              <w:keepNext w:val="0"/>
              <w:keepLines w:val="0"/>
              <w:pageBreakBefore w:val="0"/>
              <w:widowControl w:val="0"/>
              <w:suppressLineNumbers w:val="0"/>
              <w:kinsoku/>
              <w:wordWrap/>
              <w:topLinePunct w:val="0"/>
              <w:bidi w:val="0"/>
              <w:snapToGrid/>
              <w:jc w:val="center"/>
              <w:textAlignment w:val="center"/>
              <w:rPr>
                <w:rFonts w:hint="default" w:ascii="仿宋" w:hAnsi="仿宋" w:eastAsia="仿宋" w:cs="仿宋"/>
                <w:b/>
                <w:bCs/>
                <w:i w:val="0"/>
                <w:iCs w:val="0"/>
                <w:color w:val="000000"/>
                <w:sz w:val="28"/>
                <w:szCs w:val="28"/>
                <w:highlight w:val="none"/>
                <w:u w:val="none"/>
                <w:lang w:val="en-US"/>
              </w:rPr>
            </w:pPr>
            <w:r>
              <w:rPr>
                <w:rFonts w:hint="eastAsia" w:ascii="仿宋" w:hAnsi="仿宋" w:eastAsia="仿宋" w:cs="仿宋"/>
                <w:b/>
                <w:bCs/>
                <w:i w:val="0"/>
                <w:iCs w:val="0"/>
                <w:color w:val="000000"/>
                <w:kern w:val="0"/>
                <w:sz w:val="28"/>
                <w:szCs w:val="28"/>
                <w:highlight w:val="none"/>
                <w:u w:val="none"/>
                <w:lang w:val="en-US" w:eastAsia="zh-CN" w:bidi="ar"/>
              </w:rPr>
              <w:t>73.00</w:t>
            </w:r>
          </w:p>
        </w:tc>
        <w:tc>
          <w:tcPr>
            <w:tcW w:w="22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A2B1D">
            <w:pPr>
              <w:keepNext w:val="0"/>
              <w:keepLines w:val="0"/>
              <w:pageBreakBefore w:val="0"/>
              <w:widowControl w:val="0"/>
              <w:suppressLineNumbers w:val="0"/>
              <w:kinsoku/>
              <w:wordWrap/>
              <w:topLinePunct w:val="0"/>
              <w:bidi w:val="0"/>
              <w:snapToGrid/>
              <w:jc w:val="center"/>
              <w:textAlignment w:val="center"/>
              <w:rPr>
                <w:rFonts w:hint="default" w:ascii="仿宋" w:hAnsi="仿宋" w:eastAsia="仿宋" w:cs="仿宋"/>
                <w:b/>
                <w:bCs/>
                <w:i w:val="0"/>
                <w:iCs w:val="0"/>
                <w:color w:val="000000"/>
                <w:kern w:val="0"/>
                <w:sz w:val="28"/>
                <w:szCs w:val="28"/>
                <w:highlight w:val="none"/>
                <w:u w:val="none"/>
                <w:lang w:val="en-US" w:eastAsia="zh-CN" w:bidi="ar"/>
              </w:rPr>
            </w:pPr>
            <w:r>
              <w:rPr>
                <w:rFonts w:hint="eastAsia" w:ascii="仿宋" w:hAnsi="仿宋" w:eastAsia="仿宋" w:cs="仿宋"/>
                <w:b/>
                <w:bCs/>
                <w:i w:val="0"/>
                <w:iCs w:val="0"/>
                <w:color w:val="000000"/>
                <w:kern w:val="0"/>
                <w:sz w:val="28"/>
                <w:szCs w:val="28"/>
                <w:highlight w:val="none"/>
                <w:u w:val="none"/>
                <w:lang w:val="en-US" w:eastAsia="zh-CN" w:bidi="ar"/>
              </w:rPr>
              <w:t>73.00%</w:t>
            </w:r>
          </w:p>
        </w:tc>
      </w:tr>
      <w:tr w14:paraId="486B61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trPr>
        <w:tc>
          <w:tcPr>
            <w:tcW w:w="452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F92C0F">
            <w:pPr>
              <w:keepNext w:val="0"/>
              <w:keepLines w:val="0"/>
              <w:pageBreakBefore w:val="0"/>
              <w:widowControl w:val="0"/>
              <w:suppressLineNumbers w:val="0"/>
              <w:kinsoku/>
              <w:wordWrap/>
              <w:topLinePunct w:val="0"/>
              <w:bidi w:val="0"/>
              <w:snapToGrid/>
              <w:spacing w:line="240" w:lineRule="auto"/>
              <w:jc w:val="center"/>
              <w:textAlignment w:val="center"/>
              <w:rPr>
                <w:rFonts w:hint="eastAsia" w:ascii="仿宋" w:hAnsi="仿宋" w:eastAsia="仿宋" w:cs="仿宋"/>
                <w:b/>
                <w:bCs/>
                <w:i w:val="0"/>
                <w:iCs w:val="0"/>
                <w:color w:val="000000"/>
                <w:sz w:val="28"/>
                <w:szCs w:val="28"/>
                <w:highlight w:val="none"/>
                <w:u w:val="none"/>
              </w:rPr>
            </w:pPr>
            <w:r>
              <w:rPr>
                <w:rFonts w:hint="eastAsia" w:ascii="仿宋" w:hAnsi="仿宋" w:eastAsia="仿宋" w:cs="仿宋"/>
                <w:b/>
                <w:bCs/>
                <w:i w:val="0"/>
                <w:iCs w:val="0"/>
                <w:color w:val="000000"/>
                <w:kern w:val="0"/>
                <w:sz w:val="28"/>
                <w:szCs w:val="28"/>
                <w:highlight w:val="none"/>
                <w:u w:val="none"/>
                <w:lang w:val="en-US" w:eastAsia="zh-CN" w:bidi="ar"/>
              </w:rPr>
              <w:t>绩效评定级别</w:t>
            </w:r>
          </w:p>
        </w:tc>
        <w:tc>
          <w:tcPr>
            <w:tcW w:w="20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DD53EE">
            <w:pPr>
              <w:keepNext w:val="0"/>
              <w:keepLines w:val="0"/>
              <w:pageBreakBefore w:val="0"/>
              <w:widowControl w:val="0"/>
              <w:suppressLineNumbers w:val="0"/>
              <w:kinsoku/>
              <w:wordWrap/>
              <w:topLinePunct w:val="0"/>
              <w:bidi w:val="0"/>
              <w:snapToGrid/>
              <w:spacing w:line="240" w:lineRule="auto"/>
              <w:jc w:val="center"/>
              <w:textAlignment w:val="center"/>
              <w:rPr>
                <w:rFonts w:hint="default" w:ascii="仿宋" w:hAnsi="仿宋" w:eastAsia="仿宋" w:cs="仿宋"/>
                <w:b/>
                <w:bCs/>
                <w:i w:val="0"/>
                <w:iCs w:val="0"/>
                <w:color w:val="000000"/>
                <w:sz w:val="28"/>
                <w:szCs w:val="28"/>
                <w:highlight w:val="none"/>
                <w:u w:val="none"/>
                <w:lang w:val="en-US" w:eastAsia="zh-CN"/>
              </w:rPr>
            </w:pPr>
            <w:r>
              <w:rPr>
                <w:rFonts w:hint="eastAsia" w:ascii="仿宋" w:hAnsi="仿宋" w:eastAsia="仿宋" w:cs="仿宋"/>
                <w:b/>
                <w:bCs/>
                <w:i w:val="0"/>
                <w:iCs w:val="0"/>
                <w:color w:val="000000"/>
                <w:sz w:val="28"/>
                <w:szCs w:val="28"/>
                <w:highlight w:val="none"/>
                <w:u w:val="none"/>
                <w:lang w:val="en-US" w:eastAsia="zh-CN"/>
              </w:rPr>
              <w:t>中</w:t>
            </w:r>
          </w:p>
        </w:tc>
        <w:tc>
          <w:tcPr>
            <w:tcW w:w="22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2F0D1">
            <w:pPr>
              <w:keepNext w:val="0"/>
              <w:keepLines w:val="0"/>
              <w:pageBreakBefore w:val="0"/>
              <w:widowControl w:val="0"/>
              <w:suppressLineNumbers w:val="0"/>
              <w:kinsoku/>
              <w:wordWrap/>
              <w:topLinePunct w:val="0"/>
              <w:bidi w:val="0"/>
              <w:snapToGrid/>
              <w:spacing w:line="240" w:lineRule="auto"/>
              <w:jc w:val="center"/>
              <w:textAlignment w:val="center"/>
              <w:rPr>
                <w:rFonts w:hint="eastAsia" w:ascii="仿宋" w:hAnsi="仿宋" w:eastAsia="仿宋" w:cs="仿宋"/>
                <w:b/>
                <w:bCs/>
                <w:i w:val="0"/>
                <w:iCs w:val="0"/>
                <w:color w:val="000000"/>
                <w:sz w:val="28"/>
                <w:szCs w:val="28"/>
                <w:highlight w:val="yellow"/>
                <w:u w:val="none"/>
                <w:lang w:val="en-US" w:eastAsia="zh-CN"/>
              </w:rPr>
            </w:pPr>
          </w:p>
        </w:tc>
      </w:tr>
    </w:tbl>
    <w:p w14:paraId="3E95F73A">
      <w:pPr>
        <w:keepNext w:val="0"/>
        <w:keepLines w:val="0"/>
        <w:pageBreakBefore w:val="0"/>
        <w:widowControl w:val="0"/>
        <w:numPr>
          <w:ilvl w:val="0"/>
          <w:numId w:val="0"/>
        </w:numPr>
        <w:shd w:val="clear" w:fill="FFFFFF" w:themeFill="background1"/>
        <w:kinsoku/>
        <w:wordWrap/>
        <w:overflowPunct w:val="0"/>
        <w:topLinePunct w:val="0"/>
        <w:autoSpaceDE w:val="0"/>
        <w:autoSpaceDN w:val="0"/>
        <w:bidi w:val="0"/>
        <w:adjustRightInd w:val="0"/>
        <w:snapToGrid/>
        <w:spacing w:line="240" w:lineRule="auto"/>
        <w:ind w:leftChars="0" w:firstLine="0" w:firstLineChars="0"/>
        <w:jc w:val="both"/>
        <w:textAlignment w:val="baseline"/>
        <w:outlineLvl w:val="9"/>
        <w:rPr>
          <w:rFonts w:hint="eastAsia" w:ascii="仿宋" w:hAnsi="仿宋" w:eastAsia="仿宋" w:cs="仿宋"/>
          <w:color w:val="auto"/>
          <w:kern w:val="0"/>
          <w:sz w:val="28"/>
          <w:szCs w:val="28"/>
          <w:highlight w:val="none"/>
          <w:lang w:val="en-US" w:eastAsia="zh-CN"/>
        </w:rPr>
      </w:pPr>
      <w:bookmarkStart w:id="175" w:name="_Toc12511"/>
      <w:bookmarkStart w:id="176" w:name="_Toc24004"/>
      <w:bookmarkStart w:id="177" w:name="_Toc10258"/>
    </w:p>
    <w:p w14:paraId="18524A28">
      <w:pPr>
        <w:keepNext w:val="0"/>
        <w:keepLines w:val="0"/>
        <w:pageBreakBefore w:val="0"/>
        <w:widowControl w:val="0"/>
        <w:kinsoku/>
        <w:wordWrap/>
        <w:overflowPunct/>
        <w:topLinePunct w:val="0"/>
        <w:autoSpaceDE/>
        <w:autoSpaceDN/>
        <w:bidi w:val="0"/>
        <w:adjustRightInd/>
        <w:snapToGrid/>
        <w:spacing w:line="240" w:lineRule="auto"/>
        <w:ind w:leftChars="0" w:firstLine="0" w:firstLineChars="0"/>
        <w:jc w:val="center"/>
        <w:textAlignment w:val="auto"/>
        <w:rPr>
          <w:rFonts w:hint="eastAsia" w:ascii="仿宋" w:hAnsi="仿宋" w:eastAsia="仿宋" w:cs="仿宋"/>
          <w:color w:val="FF0000"/>
        </w:rPr>
      </w:pPr>
      <w:r>
        <w:drawing>
          <wp:inline distT="0" distB="0" distL="114300" distR="114300">
            <wp:extent cx="4572000" cy="2743200"/>
            <wp:effectExtent l="4445" t="4445" r="14605" b="14605"/>
            <wp:docPr id="3"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7162FD6">
      <w:pPr>
        <w:pStyle w:val="14"/>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after="0" w:line="240" w:lineRule="auto"/>
        <w:ind w:leftChars="0" w:firstLine="640" w:firstLineChars="200"/>
        <w:jc w:val="center"/>
        <w:textAlignment w:val="auto"/>
        <w:outlineLvl w:val="9"/>
        <w:rPr>
          <w:rFonts w:hint="eastAsia" w:ascii="仿宋" w:hAnsi="仿宋" w:eastAsia="仿宋" w:cs="仿宋"/>
          <w:color w:val="auto"/>
          <w:kern w:val="0"/>
          <w:sz w:val="28"/>
          <w:szCs w:val="28"/>
          <w:highlight w:val="none"/>
          <w:lang w:val="en-US" w:eastAsia="zh-CN"/>
        </w:rPr>
      </w:pPr>
      <w:r>
        <w:rPr>
          <w:rFonts w:hint="eastAsia" w:ascii="仿宋_GB2312" w:hAnsi="仿宋_GB2312" w:eastAsia="仿宋_GB2312" w:cs="仿宋_GB2312"/>
          <w:color w:val="auto"/>
          <w:kern w:val="0"/>
          <w:sz w:val="32"/>
          <w:szCs w:val="32"/>
          <w:highlight w:val="none"/>
          <w:lang w:val="en-US" w:eastAsia="zh-CN"/>
        </w:rPr>
        <w:t>图1 项目绩效指标得分</w:t>
      </w:r>
    </w:p>
    <w:p w14:paraId="3014AA51">
      <w:pPr>
        <w:keepNext w:val="0"/>
        <w:keepLines w:val="0"/>
        <w:pageBreakBefore w:val="0"/>
        <w:widowControl w:val="0"/>
        <w:numPr>
          <w:ilvl w:val="0"/>
          <w:numId w:val="0"/>
        </w:numPr>
        <w:shd w:val="clear" w:fill="FFFFFF" w:themeFill="background1"/>
        <w:kinsoku/>
        <w:wordWrap/>
        <w:overflowPunct w:val="0"/>
        <w:topLinePunct w:val="0"/>
        <w:autoSpaceDE w:val="0"/>
        <w:autoSpaceDN w:val="0"/>
        <w:bidi w:val="0"/>
        <w:adjustRightInd w:val="0"/>
        <w:snapToGrid/>
        <w:spacing w:line="240" w:lineRule="auto"/>
        <w:ind w:firstLine="200" w:firstLineChars="200"/>
        <w:jc w:val="both"/>
        <w:textAlignment w:val="baseline"/>
        <w:outlineLvl w:val="9"/>
        <w:rPr>
          <w:rFonts w:hint="eastAsia" w:ascii="仿宋_GB2312" w:hAnsi="仿宋_GB2312" w:eastAsia="仿宋_GB2312" w:cs="仿宋_GB2312"/>
          <w:color w:val="auto"/>
          <w:kern w:val="2"/>
          <w:sz w:val="10"/>
          <w:szCs w:val="10"/>
          <w:lang w:val="en-US" w:eastAsia="zh-CN" w:bidi="ar-SA"/>
        </w:rPr>
      </w:pPr>
    </w:p>
    <w:p w14:paraId="5F4D2988">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0"/>
        <w:rPr>
          <w:rFonts w:hint="eastAsia" w:ascii="黑体" w:hAnsi="黑体" w:eastAsia="黑体" w:cs="黑体"/>
          <w:b/>
          <w:bCs/>
          <w:color w:val="auto"/>
          <w:sz w:val="32"/>
          <w:szCs w:val="32"/>
          <w:lang w:val="en-US" w:eastAsia="zh-CN"/>
        </w:rPr>
      </w:pPr>
      <w:bookmarkStart w:id="178" w:name="_Toc20484"/>
      <w:r>
        <w:rPr>
          <w:rFonts w:hint="eastAsia" w:ascii="黑体" w:hAnsi="黑体" w:eastAsia="黑体" w:cs="黑体"/>
          <w:b/>
          <w:bCs/>
          <w:color w:val="auto"/>
          <w:sz w:val="32"/>
          <w:szCs w:val="32"/>
          <w:lang w:val="en-US" w:eastAsia="zh-CN"/>
        </w:rPr>
        <w:t>四、绩效评价指标分析</w:t>
      </w:r>
      <w:bookmarkEnd w:id="178"/>
    </w:p>
    <w:p w14:paraId="3E843969">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1"/>
        <w:rPr>
          <w:rFonts w:hint="eastAsia" w:ascii="楷体_GB2312" w:hAnsi="楷体_GB2312" w:eastAsia="楷体_GB2312" w:cs="楷体_GB2312"/>
          <w:b/>
          <w:bCs/>
          <w:color w:val="auto"/>
          <w:sz w:val="32"/>
          <w:szCs w:val="32"/>
          <w:lang w:val="en-US" w:eastAsia="zh-CN"/>
        </w:rPr>
      </w:pPr>
      <w:bookmarkStart w:id="179" w:name="_Toc20165"/>
      <w:r>
        <w:rPr>
          <w:rFonts w:hint="eastAsia" w:ascii="楷体_GB2312" w:hAnsi="楷体_GB2312" w:eastAsia="楷体_GB2312" w:cs="楷体_GB2312"/>
          <w:b/>
          <w:bCs/>
          <w:color w:val="auto"/>
          <w:sz w:val="32"/>
          <w:szCs w:val="32"/>
          <w:lang w:val="en-US" w:eastAsia="zh-CN"/>
        </w:rPr>
        <w:t>（一）项目决策情况</w:t>
      </w:r>
      <w:bookmarkEnd w:id="179"/>
    </w:p>
    <w:p w14:paraId="1CB83E1A">
      <w:pPr>
        <w:keepNext w:val="0"/>
        <w:keepLines w:val="0"/>
        <w:pageBreakBefore w:val="0"/>
        <w:widowControl w:val="0"/>
        <w:numPr>
          <w:ilvl w:val="0"/>
          <w:numId w:val="0"/>
        </w:numPr>
        <w:shd w:val="clear" w:fill="FFFFFF" w:themeFill="background1"/>
        <w:kinsoku/>
        <w:wordWrap/>
        <w:overflowPunct w:val="0"/>
        <w:topLinePunct w:val="0"/>
        <w:autoSpaceDE w:val="0"/>
        <w:autoSpaceDN w:val="0"/>
        <w:bidi w:val="0"/>
        <w:adjustRightInd w:val="0"/>
        <w:snapToGrid/>
        <w:spacing w:line="560" w:lineRule="exact"/>
        <w:ind w:leftChars="0" w:firstLine="640" w:firstLineChars="200"/>
        <w:textAlignment w:val="baseline"/>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主要从项目立项、绩效目标和资金投入三方面进行评价分析。总分18分，得分17分。</w:t>
      </w:r>
    </w:p>
    <w:p w14:paraId="193C47C5">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eastAsia" w:ascii="仿宋_GB2312" w:hAnsi="仿宋_GB2312" w:eastAsia="仿宋_GB2312" w:cs="仿宋_GB2312"/>
          <w:b/>
          <w:bCs/>
          <w:color w:val="auto"/>
          <w:sz w:val="32"/>
          <w:szCs w:val="32"/>
          <w:lang w:val="en-US" w:eastAsia="zh-CN"/>
        </w:rPr>
      </w:pPr>
      <w:bookmarkStart w:id="180" w:name="_Toc28545"/>
      <w:r>
        <w:rPr>
          <w:rFonts w:hint="eastAsia" w:ascii="仿宋_GB2312" w:hAnsi="仿宋_GB2312" w:eastAsia="仿宋_GB2312" w:cs="仿宋_GB2312"/>
          <w:b/>
          <w:bCs/>
          <w:color w:val="auto"/>
          <w:sz w:val="32"/>
          <w:szCs w:val="32"/>
          <w:lang w:val="en-US" w:eastAsia="zh-CN"/>
        </w:rPr>
        <w:t>1.项目立项</w:t>
      </w:r>
      <w:bookmarkEnd w:id="180"/>
    </w:p>
    <w:p w14:paraId="3679793E">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（1）立项依据充分性</w:t>
      </w:r>
    </w:p>
    <w:p w14:paraId="0352ED89">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①符合国家法律法规、国民经济发展规划和相关政策</w:t>
      </w:r>
    </w:p>
    <w:p w14:paraId="21EE746F">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国家层面，党中央、国务院始终将“三农”工作作为重中之重，党的十九大提出实施乡村振兴战略，明确要求“大规模推进高标准农田建设”；2021年国务院办公厅印发《关于切实加强高标准农田建设提升国家粮食安全保障能力的意见》，提出“到2030年建成集中连片、旱涝保收的高标准农田15亿亩”的目标，强调藏粮于地、藏粮于技</w:t>
      </w:r>
      <w:bookmarkStart w:id="220" w:name="_GoBack"/>
      <w:bookmarkEnd w:id="220"/>
      <w:r>
        <w:rPr>
          <w:rFonts w:hint="eastAsia" w:ascii="仿宋_GB2312" w:hAnsi="仿宋_GB2312" w:eastAsia="仿宋_GB2312" w:cs="仿宋_GB2312"/>
          <w:color w:val="auto"/>
          <w:kern w:val="0"/>
          <w:sz w:val="32"/>
          <w:szCs w:val="32"/>
          <w:highlight w:val="none"/>
          <w:lang w:val="en-US" w:eastAsia="zh-CN" w:bidi="ar-SA"/>
        </w:rPr>
        <w:t>战略落地。省级层面，《福建省乡村振兴战略规划（2018-2022年）》《福建省人民政府办公厅关于切实加强高标准农田建设提升粮食生产能力的实施方案》等文件，明确要求各地推进农田标准化、生态化改造，提升耕地质量。该项目以“灌排化、机耕化、生态化、田园化、数字化”为核心，聚焦3100亩农田提质增效与878亩新增耕地目标，完全契合国家粮食安全战略、乡村振兴战略的核心要求，是对国家及省级政策的具体落实，政策依据明确且充分。</w:t>
      </w:r>
    </w:p>
    <w:p w14:paraId="6BB13FA2">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②符合行业发展规划和政策要求​</w:t>
      </w:r>
    </w:p>
    <w:p w14:paraId="2714E041">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农业农村部《全国高标准农田建设规划（2021-2030年）》提出“打造集中连片、设施完善、高产稳产、生态友好的高标准农田示范样板”，明确“生态化、数字化”等建设方向。泉州市结合地方实际，印发《2024年高标准农田“连片整治・千亩良田”示范片建设实施方案》，要求以“五化”为标准，推进农田规模化流转、生态化改造与产业化发展，打造可复制的示范样板。​该项目作为石狮市首个“五化”高标准农田示范项目，严格遵循国家高标准农田建设行业标准，直接响应泉州市“连片整治・千亩良田”的行业规划要求，将“生态化修复水系”“数字化监测农田”等行业倡导的创新模式纳入建设内容，与行业发展方向高度契合。</w:t>
      </w:r>
    </w:p>
    <w:p w14:paraId="4C7EBD36">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default" w:ascii="仿宋_GB2312" w:hAnsi="仿宋_GB2312" w:eastAsia="仿宋_GB2312" w:cs="仿宋_GB2312"/>
          <w:color w:val="auto"/>
          <w:kern w:val="0"/>
          <w:sz w:val="32"/>
          <w:szCs w:val="32"/>
          <w:highlight w:val="none"/>
          <w:lang w:val="en-US" w:eastAsia="zh-CN" w:bidi="ar-SA"/>
        </w:rPr>
        <w:t>③与部门职责范围相符，属于部门履职所需</w:t>
      </w:r>
    </w:p>
    <w:p w14:paraId="3BFA3DE2">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default" w:ascii="仿宋_GB2312" w:hAnsi="仿宋_GB2312" w:eastAsia="仿宋_GB2312" w:cs="仿宋_GB2312"/>
          <w:color w:val="auto"/>
          <w:kern w:val="0"/>
          <w:sz w:val="32"/>
          <w:szCs w:val="32"/>
          <w:highlight w:val="none"/>
          <w:lang w:val="en-US" w:eastAsia="zh-CN" w:bidi="ar-SA"/>
        </w:rPr>
        <w:t>根据《农业农村部职能配置、内设机构和人员编制规定》，农业农村部门承担“指导农田建设管理”“组织实施高标准农田建设项目”等核心职责。石狮市农业农村局作为地方农业农村工作主管部门，其职责涵盖耕地保护、农田基础设施建设、农业现代化推进等内容。该项目聚焦农田灌排设施升级、耕地细碎化整治、地力提升等核心任务，直接对应农业农村部门“保障粮食生产能力、改善农业生产条件”的履职要求，是部门履行耕地保护责任、落实农田建设管理职能的必要举措，职责匹配度极高</w:t>
      </w:r>
      <w:r>
        <w:rPr>
          <w:rFonts w:hint="eastAsia" w:ascii="仿宋_GB2312" w:hAnsi="仿宋_GB2312" w:eastAsia="仿宋_GB2312" w:cs="仿宋_GB2312"/>
          <w:color w:val="auto"/>
          <w:kern w:val="0"/>
          <w:sz w:val="32"/>
          <w:szCs w:val="32"/>
          <w:highlight w:val="none"/>
          <w:lang w:val="en-US" w:eastAsia="zh-CN" w:bidi="ar-SA"/>
        </w:rPr>
        <w:t>。</w:t>
      </w:r>
    </w:p>
    <w:p w14:paraId="296D892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④属于公共财政支持范围，符合市、县区事权支出责任划分原则</w:t>
      </w:r>
    </w:p>
    <w:p w14:paraId="48948732">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高标准农田建设属于公益性农业基础设施范畴，具有较强的公共属性，其受益对象为区域内农民、农业经营主体及社会公众，符合《政府投资条例》中“政府投资应当投向市场不能有效配置资源的社会公益服务、公共基础设施等领域”的规定，属于公共财政重点支持范围。根据《国务院办公厅关于明确中央与地方事权和支出责任划分改革推进步骤的通知》，农田建设属于“中央与地方共同财政事权”，其中地方承担具体实施责任。石狮市作为项目实施主体，将项目纳入市级财政预算，符合福建省“市、县区负责高标准农田建设具体实施与资金保障”的事权划分原则，支出责任明确合规。</w:t>
      </w:r>
    </w:p>
    <w:p w14:paraId="20065A5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⑤不与相关部门同类项目或部门内部相关项目重复​</w:t>
      </w:r>
    </w:p>
    <w:p w14:paraId="4254A8E8">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从区域项目布局看，石狮市此前的农田建设项目多为早期低标准零散改造，主要解决“能灌溉、能耕种”的基础问题，未涉及“生态化、数字化、田园化”等高标准要求，且覆盖区域多为基础条件较好的耕地。本次“五化”示范项目聚焦基础薄弱、细碎化严重的蚶江湿地周边农田，重点推进“田水路林村”综合整治与“农业+文旅”融合，是对既有项目的升级补充而非重复建设。​从部门协同看，项目由农业农村部门主导，联动自然资源部门（耕地保护）、水利部门（水系修复）等，各部门职责明确、任务互补，不存在同类项目交叉或重复投入的情况。</w:t>
      </w:r>
    </w:p>
    <w:p w14:paraId="10047FB7">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综上，该项目立项依据充分，完全符合国家政策导向、行业发展规划、部门履职需求、财政支持原则及项目唯一性要求，具备坚实的立项基础。根据评分标准，该指标满分3分，得3分。</w:t>
      </w:r>
    </w:p>
    <w:p w14:paraId="0F6A3EF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（2）立项程序规范性</w:t>
      </w:r>
    </w:p>
    <w:p w14:paraId="41166C6B">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该项目的立项程序具有明确的规范性，从多方面体现了对规定流程的严格遵循。在项目申请设立环节，2023年9月召开的全市“一县一溪一特色”田园风光建设项目推进会已明确蚶江湿地田园风光建设项目的定位、空间布局及责任分工，为2024年省级高标准农田“五化”示范建设项目奠定了前期基础；随后，石狮市农业农村局依据《福建省农业农村厅关于印发高标准农田提档升级建设指南的通知》等政策文件，向泉州市农业农村局提交《关于申请批复石狮市2024年省级高标准农田“五化”示范建设项目设计报告的请示》（狮农〔2024〕55号），履行了规范的层级申请程序，符合“县申报、市审批”的要求。在审批文件与材料方面，请示附件包含设计报告、设计图册、主要建设内容表等完整材料，涵盖项目概况、建设内容、投资概算等关键信息；终稿设计报告由具备农林行业乙级资质的福州耕美生态农业发展有限公司编制，引用政策文件均为现行有效版本，如《高标准农田建设通则》（GB/T30600-2022）等，且针对项目设计方案论证过程中专家提出的数据矛盾、文件废止、参数误差等评审意见进行了修改完善，确保材料逻辑自洽、数据准确。在事前论证环节，中国社科乡村振兴（福建）研究院提前完成蚶江湿地项目规划设计汇报，明确空间布局；设计单位多次实地踏勘，结合“三调”耕地成果确定建设范围；2024年5月组织专家评审，重点核查项目定位、技术标准、资金筹措等内容，提出17项修改意见，设计单位修编后通过评审；同时，项目经市委副书记、副市长主持的专题会议研究部署，乡镇成立高标准农田建设工作小组，征求村集体和村民意见，形成了严谨的集体决策机制。该项目申请、设立过程均符合相关要求，立项程序规范。根据评分标准，该指标满分3分，得3分。</w:t>
      </w:r>
    </w:p>
    <w:p w14:paraId="27AF4E09">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eastAsia" w:ascii="仿宋_GB2312" w:hAnsi="仿宋_GB2312" w:eastAsia="仿宋_GB2312" w:cs="仿宋_GB2312"/>
          <w:b/>
          <w:bCs/>
          <w:color w:val="auto"/>
          <w:sz w:val="32"/>
          <w:szCs w:val="32"/>
          <w:lang w:val="en-US" w:eastAsia="zh-CN"/>
        </w:rPr>
      </w:pPr>
      <w:bookmarkStart w:id="181" w:name="_Toc15231"/>
      <w:r>
        <w:rPr>
          <w:rFonts w:hint="eastAsia" w:ascii="仿宋_GB2312" w:hAnsi="仿宋_GB2312" w:eastAsia="仿宋_GB2312" w:cs="仿宋_GB2312"/>
          <w:b/>
          <w:bCs/>
          <w:color w:val="auto"/>
          <w:sz w:val="32"/>
          <w:szCs w:val="32"/>
          <w:lang w:val="en-US" w:eastAsia="zh-CN"/>
        </w:rPr>
        <w:t>2.绩效目标</w:t>
      </w:r>
      <w:bookmarkEnd w:id="181"/>
    </w:p>
    <w:p w14:paraId="2ED74A2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（1）绩效目标合理性</w:t>
      </w:r>
    </w:p>
    <w:p w14:paraId="1ED406B9">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根据石狮市农业农村局提供的本项目的绩效目标表可知，首先，本项目有着清晰的绩效目标和工作任务目标。总体目标是完成3100亩农田连片整治建设任务，绩效目标进一步细化为产出、效益、满意度等多维度指标，如产出指标包括数量、时效、成本、质量指标，效益指标涵盖社会效益目标，满意度指标规定了农户满意率，形成了完整的绩效目标体系。其次，项目绩效目标与实际工作内容紧密相关。数量指标对应建设任务数量，时效指标保障资金及时到位以推进项目，成本指标控制资金使用合理性，质量指标确保建设成果质量，效益指标反映对农业产业的促进作用，满意度指标衡量项目对群众的影响。然后，项目预期产出效益和效果符合正常业绩水平。产出方面，在给定资金和补助标准下，建设规模合理，且高要求的资金使用率和验收合格率在有效管理下可实现；效益方面，资金无违纪违规、基础设施显著改善以及较高的农户满意度在项目顺利实施时均为合理预期。最后，项目绩效目标与预算确定的项目投资额相匹配。预算1190万元与3100亩建设任务按最高补助标准计算的资金需求接近，且100%的资金使用率要求体现了资金使用效率与绩效目标的契合。根据评分标准，该指标满分3分，得3分。</w:t>
      </w:r>
    </w:p>
    <w:p w14:paraId="504463AB">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（2）绩效指标明确性</w:t>
      </w:r>
    </w:p>
    <w:p w14:paraId="4B24ABA8">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本项目的绩效指标在明确性方面存在一定不足，具体可从以下两个角度分析。</w:t>
      </w:r>
    </w:p>
    <w:p w14:paraId="325CFD0B">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首先，在将项目绩效目标或工作任务目标细化分解为具体的绩效指标或计划任务完成指标方面，虽有一定程度的细化，但效益指标设置出现问题。总体目标是完成3100亩农田连片整治建设任务，产出指标如数量指标（完成农田建设任务3100亩）、时效指标（资金使用率100%）、成本指标（财政补助资金最高不高于4000元/亩）、质量指标（项目验收合格率100%），以及满意度指标（项目区受益群众满意率≥90%）都较为清晰地对相应目标进行了分解。然而，效益指标中，将资金使用重大违纪违规问题指标归为社会效益指标是不合理的，这一指标与社会效益的关联性不强，不应纳入该类别；扶持农业产业配套基础设施项目指标虽对效益方面有所涉及，但属于效益指标细化不足的体现。</w:t>
      </w:r>
    </w:p>
    <w:p w14:paraId="1FF98317">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其次，关于是否通过清晰、可衡量的指标值予以体现，大部分指标表现良好，但效益指标存在明显缺陷。产出指标的各项数值明确，像3100亩、100%的资金使用率、4000元/亩的补助标准以及100%的验收合格率等，都能够通过具体数据统计或分析来衡量，满意度指标的受益群众满意率≥90%也可通过问卷调查量化。但效益指标中，扶持农业产业配套基础设施项目指标以“显著改善”作为衡量标准，过于模糊和定性，缺乏具体的量化方式，导致难以确切判断其与项目目标任务数或计划数的契合程度，不能清晰地反映该效益目标在项目实施过程中的达成情况，其次，资金使用重大违纪违规问题指标通常应当用于衡量资金使用过程中“是否违反法规/制度”，聚焦“风险控制与合规性”，多为“底线要求”指标，若将该指标归为“效益”，会混淆“不犯错是基本要求”与“做得好是增值目标”的逻辑，导致指标体系失去对“真正效益”的聚焦。</w:t>
      </w:r>
    </w:p>
    <w:p w14:paraId="3D02BAEB">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综上所述，本项目绩效指标在产出和满意度方面明确性尚可，但效益指标设置不明确，根据评分标准，该指标满分3分，扣1分，得2分。</w:t>
      </w:r>
    </w:p>
    <w:p w14:paraId="3AB2AE6A">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default" w:ascii="仿宋_GB2312" w:hAnsi="仿宋_GB2312" w:eastAsia="仿宋_GB2312" w:cs="仿宋_GB2312"/>
          <w:b/>
          <w:bCs/>
          <w:color w:val="auto"/>
          <w:sz w:val="32"/>
          <w:szCs w:val="32"/>
          <w:lang w:val="en-US" w:eastAsia="zh-CN"/>
        </w:rPr>
      </w:pPr>
      <w:bookmarkStart w:id="182" w:name="_Toc32097"/>
      <w:r>
        <w:rPr>
          <w:rFonts w:hint="eastAsia" w:ascii="仿宋_GB2312" w:hAnsi="仿宋_GB2312" w:eastAsia="仿宋_GB2312" w:cs="仿宋_GB2312"/>
          <w:b/>
          <w:bCs/>
          <w:color w:val="auto"/>
          <w:sz w:val="32"/>
          <w:szCs w:val="32"/>
          <w:lang w:val="en-US" w:eastAsia="zh-CN"/>
        </w:rPr>
        <w:t>3.资金投入</w:t>
      </w:r>
      <w:bookmarkEnd w:id="182"/>
    </w:p>
    <w:p w14:paraId="16742AE0">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（1）预算编制科学性</w:t>
      </w:r>
    </w:p>
    <w:p w14:paraId="7A3ABCA3">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①预算编制经过科学论证，依据充分且经专家审核调整</w:t>
      </w:r>
    </w:p>
    <w:p w14:paraId="6BC6A7BA">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项目预算编制以政策规范和技术标准为基础，经过多轮论证与专家评审优化。从政策依据看，本项目预算编制严格依据《福建省农田建设补助资金管理办法》（闽财规〔2023〕25号）规定的补助标准执行，符合省级高标准农田资金补助政策。按照要求组织专家论证并根据专家意见进行修订完善。此外，预算中前期工作费、工程监理费、项目管理费分别按财政总投资的5%、2%、3%计提，完全符合闽财规〔2023〕25号文规定，费率标准经过政策验证。</w:t>
      </w:r>
    </w:p>
    <w:p w14:paraId="4A768611">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②预算内容与项目内容精准匹配，项目投资额与工作任务规模适配</w:t>
      </w:r>
    </w:p>
    <w:p w14:paraId="72B5BB9B">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预算分项与项目实际建设内容高度契合，覆盖所有工程环节。工程施工费1308.30万元中，灌排化工程580.16万元对应改建灌排渠1752米、加固排水沟2188米及新建泵站1座等任务；田间道及田园风光建设708.16万元对应改建田间道718米、新建彩色沥青道路1732米、提升3230米及种植紫色风铃木1100棵等内容。设备购置费261.10万元对应智慧指挥系统、土壤墒情监测、农业无人机等数字化设备采购，与“农田数字化工程”建设内容完全匹配。其他费用中，前期工作费92.32万元用于项目勘测设计，工程监理费36.93万元保障施工监督，均与项目管理需求一一对应，无预算内容与实际任务脱节情况。</w:t>
      </w:r>
    </w:p>
    <w:p w14:paraId="539041C3">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综上所述</w:t>
      </w:r>
      <w:r>
        <w:rPr>
          <w:rFonts w:hint="default" w:ascii="仿宋_GB2312" w:hAnsi="仿宋_GB2312" w:eastAsia="仿宋_GB2312" w:cs="仿宋_GB2312"/>
          <w:color w:val="auto"/>
          <w:kern w:val="0"/>
          <w:sz w:val="32"/>
          <w:szCs w:val="32"/>
          <w:highlight w:val="none"/>
          <w:lang w:val="en-US" w:eastAsia="zh-CN" w:bidi="ar-SA"/>
        </w:rPr>
        <w:t>，石狮市高标准农田建设（一期）“五化”示范项目预算编制</w:t>
      </w:r>
      <w:r>
        <w:rPr>
          <w:rFonts w:hint="eastAsia" w:ascii="仿宋_GB2312" w:hAnsi="仿宋_GB2312" w:eastAsia="仿宋_GB2312" w:cs="仿宋_GB2312"/>
          <w:color w:val="auto"/>
          <w:kern w:val="0"/>
          <w:sz w:val="32"/>
          <w:szCs w:val="32"/>
          <w:highlight w:val="none"/>
          <w:lang w:val="en-US" w:eastAsia="zh-CN" w:bidi="ar-SA"/>
        </w:rPr>
        <w:t>较为</w:t>
      </w:r>
      <w:r>
        <w:rPr>
          <w:rFonts w:hint="default" w:ascii="仿宋_GB2312" w:hAnsi="仿宋_GB2312" w:eastAsia="仿宋_GB2312" w:cs="仿宋_GB2312"/>
          <w:color w:val="auto"/>
          <w:kern w:val="0"/>
          <w:sz w:val="32"/>
          <w:szCs w:val="32"/>
          <w:highlight w:val="none"/>
          <w:lang w:val="en-US" w:eastAsia="zh-CN" w:bidi="ar-SA"/>
        </w:rPr>
        <w:t>科学，与项目实际相符。</w:t>
      </w:r>
      <w:r>
        <w:rPr>
          <w:rFonts w:hint="eastAsia" w:ascii="仿宋_GB2312" w:hAnsi="仿宋_GB2312" w:eastAsia="仿宋_GB2312" w:cs="仿宋_GB2312"/>
          <w:color w:val="auto"/>
          <w:kern w:val="0"/>
          <w:sz w:val="32"/>
          <w:szCs w:val="32"/>
          <w:highlight w:val="none"/>
          <w:lang w:val="en-US" w:eastAsia="zh-CN" w:bidi="ar-SA"/>
        </w:rPr>
        <w:t>根据评分标准，该指标满分3分，得3分。</w:t>
      </w:r>
    </w:p>
    <w:p w14:paraId="3D2CE149">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（2）资金分配合理性</w:t>
      </w:r>
    </w:p>
    <w:p w14:paraId="51D48B6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石狮市高标准农田建设（一期）“五化”示范项目预算确定的总投资额及分项资金量与3100亩高标准农田“五化”建设任务相匹配。从总量看，项目总投资1846.36万元，亩均投资5956元，资金规模与建设3100亩“灌排化、机械化、生态化、田园化、数字化”示范田的任务强度适配。从分项看，生态化建设中商品有机肥示范推广费92.32万元，对应3100亩地力培肥任务，亩均有机肥投入约297.8kg，符合土壤改良技术要求；灌排化工程投资580.16万元，对应1752米灌排渠衬砌和2188米排水沟加固，单位长度造价与同类工程标准相符。专家评审中指出的“排水沟长度、生产路条数”等数据矛盾问题，终稿中已修正工程量，确保资金分配与实际任务量精准对应，进一步验证了投资额与工作任务的匹配性，项目资金分配依据充分，与项目实际相适应。根据评分标准，该指标满分3分，得3分。</w:t>
      </w:r>
    </w:p>
    <w:p w14:paraId="09770944">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1"/>
        <w:rPr>
          <w:rFonts w:hint="eastAsia" w:ascii="楷体_GB2312" w:hAnsi="楷体_GB2312" w:eastAsia="楷体_GB2312" w:cs="楷体_GB2312"/>
          <w:b/>
          <w:bCs/>
          <w:color w:val="auto"/>
          <w:sz w:val="32"/>
          <w:szCs w:val="32"/>
          <w:highlight w:val="none"/>
          <w:lang w:val="en-US" w:eastAsia="zh-CN"/>
        </w:rPr>
      </w:pPr>
      <w:bookmarkStart w:id="183" w:name="_Toc29912"/>
      <w:r>
        <w:rPr>
          <w:rFonts w:hint="eastAsia" w:ascii="楷体_GB2312" w:hAnsi="楷体_GB2312" w:eastAsia="楷体_GB2312" w:cs="楷体_GB2312"/>
          <w:b/>
          <w:bCs/>
          <w:color w:val="auto"/>
          <w:sz w:val="32"/>
          <w:szCs w:val="32"/>
          <w:highlight w:val="none"/>
          <w:lang w:val="en-US" w:eastAsia="zh-CN"/>
        </w:rPr>
        <w:t>（二）项目过程情况</w:t>
      </w:r>
      <w:bookmarkEnd w:id="183"/>
    </w:p>
    <w:p w14:paraId="74E86BCF">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项目过程主要从资金管理和组织实施两方面进行分析。总分20分，得分12分。</w:t>
      </w:r>
    </w:p>
    <w:p w14:paraId="35384821">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default" w:ascii="仿宋_GB2312" w:hAnsi="仿宋_GB2312" w:eastAsia="仿宋_GB2312" w:cs="仿宋_GB2312"/>
          <w:b/>
          <w:bCs/>
          <w:color w:val="auto"/>
          <w:sz w:val="32"/>
          <w:szCs w:val="32"/>
          <w:highlight w:val="none"/>
          <w:lang w:val="en-US" w:eastAsia="zh-CN"/>
        </w:rPr>
      </w:pPr>
      <w:bookmarkStart w:id="184" w:name="_Toc2830"/>
      <w:r>
        <w:rPr>
          <w:rFonts w:hint="eastAsia" w:ascii="仿宋_GB2312" w:hAnsi="仿宋_GB2312" w:eastAsia="仿宋_GB2312" w:cs="仿宋_GB2312"/>
          <w:b/>
          <w:bCs/>
          <w:color w:val="auto"/>
          <w:sz w:val="32"/>
          <w:szCs w:val="32"/>
          <w:highlight w:val="none"/>
          <w:lang w:val="en-US" w:eastAsia="zh-CN"/>
        </w:rPr>
        <w:t>1.资金管理</w:t>
      </w:r>
      <w:bookmarkEnd w:id="184"/>
    </w:p>
    <w:p w14:paraId="08E9E0DB">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（1）资金到位率</w:t>
      </w:r>
    </w:p>
    <w:p w14:paraId="1FF2C56A">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石狮市高标准农田建设（一期）“五化”示范项目共涉及上级财政预算资金1240万元，该资金于2024年已全部到位，资金到位率为100%。根据评分标准，该指标满分2分，得2分。</w:t>
      </w:r>
    </w:p>
    <w:p w14:paraId="18D26BB3">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（2）预算执行率</w:t>
      </w:r>
    </w:p>
    <w:p w14:paraId="13EB627E">
      <w:pPr>
        <w:keepNext w:val="0"/>
        <w:keepLines w:val="0"/>
        <w:pageBreakBefore w:val="0"/>
        <w:widowControl/>
        <w:numPr>
          <w:ilvl w:val="0"/>
          <w:numId w:val="0"/>
        </w:numPr>
        <w:shd w:val="clear" w:fill="FFFFFF" w:themeFill="background1"/>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default" w:ascii="仿宋_GB2312" w:hAnsi="仿宋_GB2312" w:eastAsia="仿宋_GB2312" w:cs="仿宋_GB2312"/>
          <w:color w:val="auto"/>
          <w:kern w:val="2"/>
          <w:sz w:val="20"/>
          <w:szCs w:val="20"/>
          <w:lang w:val="en-US" w:eastAsia="zh-CN" w:bidi="ar-SA"/>
        </w:rPr>
      </w:pPr>
      <w:r>
        <w:rPr>
          <w:rFonts w:hint="eastAsia" w:ascii="仿宋_GB2312" w:hAnsi="仿宋_GB2312" w:eastAsia="仿宋_GB2312" w:cs="仿宋_GB2312"/>
          <w:color w:val="auto"/>
          <w:kern w:val="0"/>
          <w:sz w:val="32"/>
          <w:szCs w:val="32"/>
          <w:highlight w:val="none"/>
          <w:lang w:val="en-US" w:eastAsia="zh-CN" w:bidi="ar-SA"/>
        </w:rPr>
        <w:t>石狮市高标准农田建设（一期）“五化”示范项目涉及上级财政到位资金1240万元，截至2025年7月31日，因项目目前进度严重滞后，还处于施工招标阶段，因此不存在资金支出事项，故项目预算执行率为0，根据评分标准，该指标满分4分，扣4分，得0分。</w:t>
      </w:r>
    </w:p>
    <w:p w14:paraId="5E06EB37">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eastAsia" w:ascii="仿宋_GB2312" w:hAnsi="仿宋_GB2312" w:eastAsia="仿宋_GB2312" w:cs="仿宋_GB2312"/>
          <w:color w:val="auto"/>
          <w:kern w:val="2"/>
          <w:sz w:val="32"/>
          <w:szCs w:val="32"/>
          <w:lang w:val="en-US" w:eastAsia="zh-CN" w:bidi="ar-SA"/>
        </w:rPr>
      </w:pPr>
      <w:bookmarkStart w:id="185" w:name="_Toc30409"/>
      <w:r>
        <w:rPr>
          <w:rFonts w:hint="eastAsia" w:ascii="仿宋_GB2312" w:hAnsi="仿宋_GB2312" w:eastAsia="仿宋_GB2312" w:cs="仿宋_GB2312"/>
          <w:b/>
          <w:bCs/>
          <w:color w:val="auto"/>
          <w:sz w:val="32"/>
          <w:szCs w:val="32"/>
          <w:lang w:val="en-US" w:eastAsia="zh-CN"/>
        </w:rPr>
        <w:t>2.组织实施</w:t>
      </w:r>
      <w:bookmarkEnd w:id="185"/>
    </w:p>
    <w:p w14:paraId="16916DBF">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（1）管理制度健全性</w:t>
      </w:r>
    </w:p>
    <w:p w14:paraId="7E673963">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从项目推进全流程看，项目主管单位（石狮市农业农村局）已形成适配高标准农田建设的业务管理制度，核心覆盖项目审批、质量监督、招标监管、验收核查四大关键环节，如</w:t>
      </w:r>
      <w:r>
        <w:rPr>
          <w:rFonts w:hint="eastAsia" w:ascii="仿宋" w:hAnsi="仿宋" w:eastAsia="仿宋" w:cs="仿宋"/>
          <w:color w:val="auto"/>
          <w:kern w:val="0"/>
          <w:sz w:val="32"/>
          <w:szCs w:val="32"/>
          <w:highlight w:val="none"/>
          <w:lang w:val="en-US" w:eastAsia="zh-CN" w:bidi="ar-SA"/>
        </w:rPr>
        <w:t>①</w:t>
      </w:r>
      <w:r>
        <w:rPr>
          <w:rFonts w:hint="eastAsia" w:ascii="仿宋_GB2312" w:hAnsi="仿宋_GB2312" w:eastAsia="仿宋_GB2312" w:cs="仿宋_GB2312"/>
          <w:color w:val="auto"/>
          <w:kern w:val="0"/>
          <w:sz w:val="32"/>
          <w:szCs w:val="32"/>
          <w:highlight w:val="none"/>
          <w:lang w:val="en-US" w:eastAsia="zh-CN" w:bidi="ar-SA"/>
        </w:rPr>
        <w:t>项目审批与评审管理制度，依据《农田建设项目管理办法》《福建省高标准农田提档升级建设指南》等相关文件规范各项流程，组织专家对项目进行专业论证，并通过《石狮市农业农村局关于申请批复石狮市2024年省级高标准农田“五化”示范建设项目设计报告的请示》（狮农〔2024〕55号）文件向泉州市农业农村局履行项目设计报告批复请示程序，体现审批环节的制度化；</w:t>
      </w:r>
      <w:r>
        <w:rPr>
          <w:rFonts w:hint="eastAsia" w:ascii="仿宋" w:hAnsi="仿宋" w:eastAsia="仿宋" w:cs="仿宋"/>
          <w:color w:val="auto"/>
          <w:kern w:val="0"/>
          <w:sz w:val="32"/>
          <w:szCs w:val="32"/>
          <w:highlight w:val="none"/>
          <w:lang w:val="en-US" w:eastAsia="zh-CN" w:bidi="ar-SA"/>
        </w:rPr>
        <w:t>②</w:t>
      </w:r>
      <w:r>
        <w:rPr>
          <w:rFonts w:hint="eastAsia" w:ascii="仿宋_GB2312" w:hAnsi="仿宋_GB2312" w:eastAsia="仿宋_GB2312" w:cs="仿宋_GB2312"/>
          <w:color w:val="auto"/>
          <w:kern w:val="0"/>
          <w:sz w:val="32"/>
          <w:szCs w:val="32"/>
          <w:highlight w:val="none"/>
          <w:lang w:val="en-US" w:eastAsia="zh-CN" w:bidi="ar-SA"/>
        </w:rPr>
        <w:t>招投标制度：作为招标投标监督机构，制定招标全流程监督规则，包括招标公告备案、评标委员会组建、投标保证金核查、中标候选人公示等，符合《电子招标投标办法》《中华人民共和国招标投标法实施条例》要求；</w:t>
      </w:r>
      <w:r>
        <w:rPr>
          <w:rFonts w:hint="eastAsia" w:ascii="仿宋" w:hAnsi="仿宋" w:eastAsia="仿宋" w:cs="仿宋"/>
          <w:color w:val="auto"/>
          <w:kern w:val="0"/>
          <w:sz w:val="32"/>
          <w:szCs w:val="32"/>
          <w:highlight w:val="none"/>
          <w:lang w:val="en-US" w:eastAsia="zh-CN" w:bidi="ar-SA"/>
        </w:rPr>
        <w:t>③</w:t>
      </w:r>
      <w:r>
        <w:rPr>
          <w:rFonts w:hint="eastAsia" w:ascii="仿宋_GB2312" w:hAnsi="仿宋_GB2312" w:eastAsia="仿宋_GB2312" w:cs="仿宋_GB2312"/>
          <w:color w:val="auto"/>
          <w:kern w:val="0"/>
          <w:sz w:val="32"/>
          <w:szCs w:val="32"/>
          <w:highlight w:val="none"/>
          <w:lang w:val="en-US" w:eastAsia="zh-CN" w:bidi="ar-SA"/>
        </w:rPr>
        <w:t>质量与进度监管制度：建立“施工过程检查-阶段性验收-竣工核验”三级监管机制，要求施工单位按《水利水电工程施工质量检验与评定规程》（SL176-2007）落实质量自检，联合监理单位对隐蔽工程、分部工程进行验收，对进度滞后项目（如延误超90天）可触发合同解除程序，形成质量与进度的双重管控。从项目实施过程来看，项目建设单位（石狮市福狮振兴乡村投资发展有限公司）制定了覆盖工程管理、资金管理、安全管理、合同管理的全维度业务制度，明确“施工单位-监理-项目负责人-集团事业部”等不同审批层级，还依据相关细则建立预结算管理制度，关键环节无缺失，形成完整的管理体系。根据评分标准，该指标满分4分，得4分。</w:t>
      </w:r>
    </w:p>
    <w:p w14:paraId="2C06AB66">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（2）制度执行有效性</w:t>
      </w:r>
    </w:p>
    <w:p w14:paraId="08A01466">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石狮市高标准农田建设（一期）“五化”示范项目整体合规性较好，其建设遵循《高标准农田建设通则》等法规及地方专项规划，招投标程序严谨，目前的实施进度过程基本符合相关管理规定，但依旧存在不足的地方：通过整理石狮市农业农村局提供的关于本项目的设计单位的询价、合同和设计成果方案等材料，发现从三家参选单位的《参选申请书》来看，设计单位选择环节仅围绕法定代表人资格证明书、营业执照、企业资质证书、报价函承诺书等基础材料展开评审，未纳入过往高标准农田项目业绩、技术方案思路、专职人员项目履历等核心能力维度，也未建立“技术+商务+信誉”的综合评价体系，仅以单一报价（福建省颐民水利49.98万元、福建中地土地49.656万元、福州耕美生态48.3万元）作为重要参考，整体选择门槛偏低，难以全面评估设计单位的项目适配性与履约能力。根据评分标准，该指标满分4分，扣2分，得2分。</w:t>
      </w:r>
    </w:p>
    <w:p w14:paraId="363B8D06">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（3）项目运行监控全面性</w:t>
      </w:r>
    </w:p>
    <w:p w14:paraId="5DCF3278">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合同约束力度不足：福州耕美生态农业发展有限公司中标后，与石狮市福狮振兴乡村投资发展有限公司签订的技术服务合同约定“合同签订后60天内完成项目设计送审”，但截至2025年7月底，该项目的设计方案最终稿，依旧处在修修补补中，远超合同约定周期，滞后时间超5个多月，未完成定稿，设计方案定稿的滞后直接导致项目整体进度顺延；且合同明确约定逾期交付的违约金条款，相关文件中未体现主管单位或委托单位针对该违约行为采取追索违约金、下发整改通知等惩罚措施，合同约束效力未有效落地。</w:t>
      </w:r>
    </w:p>
    <w:p w14:paraId="2BBE25DF">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资金使用时效性监控完全空白且未联动工期管控：依据《农田建设项目资金管理办法》第七条、第十一条，中央及省级农田建设资金有明确使用时限（通常需当年或次年完成拨付使用，逾期可能收回），针对本项目前期进度推进缓慢的问题，主管单位本应建立“资金使用进度-项目工期”联动监控机制并每月核查匹配度，主管单位既未评估工期压缩对资金使用时效的影响，无《资金使用与工期匹配核查表》以判断资金超期风险，也未制定“资金使用延期申请”“施工阶段资金提速拨付”等应急方案，存在资金因滞后使用被收回、造成财政资源浪费的隐患，暴露资金监控维度的完全缺失。</w:t>
      </w:r>
    </w:p>
    <w:p w14:paraId="74E3197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工期压缩后质量管控监控机制缺位且风险未防控：根据《高标准农田建设通则》（GB/T30600-2022）第6.3条及《福建省农田建设工程质量监督管理办法》，本项目原施工周期约360天、压缩后180天（压缩率50%），主管单位需牵头制定《压缩工期质量管控专项方案》，增加质量巡检频次（由每月1次增至每旬1次）、引入第三方质量抽检并明确关键工序质量保障措施，但实际未制定任何质量强化措施，未增加巡检或抽检以应对“赶工期可能导致的偷工减料、工艺简化”风险致质量管控从源头失管，存在与“五化”示范项目质量标准脱节的隐患。</w:t>
      </w:r>
    </w:p>
    <w:p w14:paraId="0A74179E">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根据评分标准，该指标满分6分，扣2分，得4分。</w:t>
      </w:r>
    </w:p>
    <w:p w14:paraId="39D2903B">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1"/>
        <w:rPr>
          <w:rFonts w:hint="eastAsia" w:ascii="楷体_GB2312" w:hAnsi="楷体_GB2312" w:eastAsia="楷体_GB2312" w:cs="楷体_GB2312"/>
          <w:b/>
          <w:bCs/>
          <w:color w:val="auto"/>
          <w:sz w:val="32"/>
          <w:szCs w:val="32"/>
          <w:lang w:val="en-US" w:eastAsia="zh-CN"/>
        </w:rPr>
      </w:pPr>
      <w:bookmarkStart w:id="186" w:name="_Toc31726"/>
      <w:r>
        <w:rPr>
          <w:rFonts w:hint="eastAsia" w:ascii="楷体_GB2312" w:hAnsi="楷体_GB2312" w:eastAsia="楷体_GB2312" w:cs="楷体_GB2312"/>
          <w:b/>
          <w:bCs/>
          <w:color w:val="auto"/>
          <w:sz w:val="32"/>
          <w:szCs w:val="32"/>
          <w:lang w:val="en-US" w:eastAsia="zh-CN"/>
        </w:rPr>
        <w:t>（三）项目产出情况</w:t>
      </w:r>
      <w:bookmarkEnd w:id="186"/>
    </w:p>
    <w:p w14:paraId="371F7704">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项目产出主要从产出数量、产出质量、产出时效和产出成本四方面评价。该部分分值为39分，评价得分21分。</w:t>
      </w:r>
    </w:p>
    <w:p w14:paraId="5E425D03">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eastAsia" w:ascii="仿宋_GB2312" w:hAnsi="仿宋_GB2312" w:eastAsia="仿宋_GB2312" w:cs="仿宋_GB2312"/>
          <w:b/>
          <w:bCs/>
          <w:color w:val="auto"/>
          <w:sz w:val="32"/>
          <w:szCs w:val="32"/>
          <w:lang w:val="en-US" w:eastAsia="zh-CN"/>
        </w:rPr>
      </w:pPr>
      <w:bookmarkStart w:id="187" w:name="_Toc22830"/>
      <w:r>
        <w:rPr>
          <w:rFonts w:hint="eastAsia" w:ascii="仿宋_GB2312" w:hAnsi="仿宋_GB2312" w:eastAsia="仿宋_GB2312" w:cs="仿宋_GB2312"/>
          <w:b/>
          <w:bCs/>
          <w:color w:val="auto"/>
          <w:sz w:val="32"/>
          <w:szCs w:val="32"/>
          <w:lang w:val="en-US" w:eastAsia="zh-CN"/>
        </w:rPr>
        <w:t>1.产出数量</w:t>
      </w:r>
      <w:bookmarkEnd w:id="187"/>
    </w:p>
    <w:p w14:paraId="7104E765">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（1）设计文件编制完成情况</w:t>
      </w:r>
    </w:p>
    <w:p w14:paraId="5CD05E59">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①设计方案涉及的正文章节完整性</w:t>
      </w:r>
    </w:p>
    <w:p w14:paraId="51524076">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在正文章节完整性方面，设计报告严格遵循大纲框架，涵盖综合说明、项目概况、项目分析、新增耕地来源分析、水量供需平衡分析、工程总体布局、工程设计、施工组织设计、土地权属调整、实施管理与后期管护、投资概算、耕地质量评价、效益分析、附件等14个核心章节，且针对“灌排化、机械化、生态化、田园化、数字化”“五化”示范要求单独设置专项设计章节，细化泵站、灌排渠、田间道、地力培肥、智慧指挥中心等具体内容，无核心章节缺失，结构完整、逻辑清晰，得2分。</w:t>
      </w:r>
    </w:p>
    <w:p w14:paraId="65C0709E">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②专业图纸合规性、附件资料完备性、概算与备案文件规范性</w:t>
      </w:r>
    </w:p>
    <w:p w14:paraId="5605CF9B">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在专业图纸合规性、附件资料完备性、概算与备案文件规范性方面，专业图纸参照《土地整治项目制图规范》执行，项目区地理位置图、规划图等采用1:1000实测地形图，沟渠及建筑物断面测量精度不低于1:50，工程设计图册包含泵站、灌排渠等结构图且标注清晰；附件涵盖第三次全国国土调查数据、统计年鉴、实测地形图、资质证书、相关政策文件等基础资料与备案审批文件；概算编制依据《福建省农田建设补助资金管理办法》等规范，费用构成清晰（总投资1846.36万元，工程施工费、设备购置费等占比合理），成果格式合规，备案文件符合全国农田建设综合监测监管平台要求，得2分。</w:t>
      </w:r>
    </w:p>
    <w:p w14:paraId="78BBD955">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default" w:ascii="仿宋_GB2312" w:hAnsi="仿宋_GB2312" w:eastAsia="仿宋_GB2312" w:cs="仿宋_GB2312"/>
          <w:color w:val="auto"/>
          <w:kern w:val="0"/>
          <w:sz w:val="32"/>
          <w:szCs w:val="32"/>
          <w:highlight w:val="none"/>
          <w:lang w:val="en-US" w:eastAsia="zh-CN" w:bidi="ar-SA"/>
        </w:rPr>
        <w:t>③专家评审通过率</w:t>
      </w:r>
    </w:p>
    <w:p w14:paraId="721D0713">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2024年5月石狮市农业农村局及时组织专家评审，由许川芎、洪火奇、骆丽芳3位专家均独立评审通过，认为项目设计符合《高标准农田建设通则》及福建省2022年制定的《福建省高标准农田提档升级建设指南》，“五化”布局合理、水量平衡分析准确、施工工艺可行、管护机制健全，专家提出的补充沟渠断面详图、细化有机肥验收标准等相关意见已全部整改并通过复核，评审通过率100%，得2分。</w:t>
      </w:r>
    </w:p>
    <w:p w14:paraId="02CC33E1">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 w:hAnsi="仿宋" w:eastAsia="仿宋" w:cs="仿宋"/>
          <w:color w:val="auto"/>
          <w:kern w:val="0"/>
          <w:sz w:val="32"/>
          <w:szCs w:val="32"/>
          <w:highlight w:val="none"/>
          <w:lang w:val="en-US" w:eastAsia="zh-CN" w:bidi="ar-SA"/>
        </w:rPr>
        <w:t>④设计方案的响应与调整及时性</w:t>
      </w:r>
    </w:p>
    <w:p w14:paraId="28A8680E">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首先，依据《福建省农田建设项目设计工作规范（试行）》，设计方案需在立项批复后30-45个工作日内完成初稿编制，若存在“五化”专项技术复杂等特殊情况，可申请延长至60个工作日，但需提交书面延期说明并经主管部门（石狮市农业农村局）审批。该项目未遵循《农田建设项目管理办法》等法规对设计编制周期的要求，出现编制周期较长、方案反复调整的情况；其次，根据《福建省农田建设项目资金管理办法》第十条，“设计方案中的投资预算、资金支付计划需与资金来源保持一致，资金来源调整后15个工作日内，需更新设计中的资金相关内容，并报财政部门备案”，该项目在资金来源发生调整后，未按规定及时更新设计方案中相关内容。上述问题不仅可能延误项目整体推进进度，还会影响资金使用合规性与设计方案的指导性，需尽快针对性整改以保障项目后续实施规范。扣2分。</w:t>
      </w:r>
    </w:p>
    <w:p w14:paraId="69DDD22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综上所述，根据评分标准，该指标满分8分，扣2分，得6分。</w:t>
      </w:r>
    </w:p>
    <w:p w14:paraId="270BFF7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（2）灌排化、机械化、田园化、数字化工程进度</w:t>
      </w:r>
    </w:p>
    <w:p w14:paraId="073D19A8">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default" w:ascii="仿宋_GB2312" w:hAnsi="仿宋_GB2312" w:eastAsia="仿宋_GB2312" w:cs="仿宋_GB2312"/>
          <w:color w:val="auto"/>
          <w:kern w:val="0"/>
          <w:sz w:val="32"/>
          <w:szCs w:val="32"/>
          <w:highlight w:val="none"/>
          <w:lang w:val="en-US" w:eastAsia="zh-CN" w:bidi="ar-SA"/>
        </w:rPr>
        <w:t>根据项目时间线，设计单位自2023年12月启动设计方案编制，至2024年7月才完成终稿，耗时超8个月，远超常规高标准农田建设项目设计周期（通常4-6个月），导致设计文件编制阶段严重滞后。设计环节的延误直接影响后续工程招标、施工进场等流程，目前工程阶段性进度暂无任何进展，需后续加快推进设计批复、招标采购等工作，以追赶项目整体进度。</w:t>
      </w:r>
      <w:r>
        <w:rPr>
          <w:rFonts w:hint="eastAsia" w:ascii="仿宋_GB2312" w:hAnsi="仿宋_GB2312" w:eastAsia="仿宋_GB2312" w:cs="仿宋_GB2312"/>
          <w:color w:val="auto"/>
          <w:kern w:val="0"/>
          <w:sz w:val="32"/>
          <w:szCs w:val="32"/>
          <w:highlight w:val="none"/>
          <w:lang w:val="en-US" w:eastAsia="zh-CN" w:bidi="ar-SA"/>
        </w:rPr>
        <w:t>根据评分标准，该指标满分10分，扣10分，得0分。</w:t>
      </w:r>
    </w:p>
    <w:p w14:paraId="32F3995E">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eastAsia" w:ascii="仿宋_GB2312" w:hAnsi="仿宋_GB2312" w:eastAsia="仿宋_GB2312" w:cs="仿宋_GB2312"/>
          <w:b/>
          <w:bCs/>
          <w:color w:val="auto"/>
          <w:sz w:val="32"/>
          <w:szCs w:val="32"/>
          <w:lang w:val="en-US" w:eastAsia="zh-CN"/>
        </w:rPr>
      </w:pPr>
      <w:bookmarkStart w:id="188" w:name="_Toc27218"/>
      <w:r>
        <w:rPr>
          <w:rFonts w:hint="eastAsia" w:ascii="仿宋_GB2312" w:hAnsi="仿宋_GB2312" w:eastAsia="仿宋_GB2312" w:cs="仿宋_GB2312"/>
          <w:b/>
          <w:bCs/>
          <w:color w:val="auto"/>
          <w:sz w:val="32"/>
          <w:szCs w:val="32"/>
          <w:lang w:val="en-US" w:eastAsia="zh-CN"/>
        </w:rPr>
        <w:t>2.产出质量</w:t>
      </w:r>
      <w:bookmarkEnd w:id="188"/>
    </w:p>
    <w:p w14:paraId="00AA129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（1）“五化”特征设计覆盖率</w:t>
      </w:r>
    </w:p>
    <w:p w14:paraId="508917F0">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①“五化”核心建设内容的设计覆盖完整性</w:t>
      </w:r>
    </w:p>
    <w:p w14:paraId="2E0B826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本项目严格围绕灌排化、机械化、生态化、田园化、数字化“五化”要求，实现核心建设内容全覆盖。灌排化方面，构建“水源-渠道-排水-建筑物”完整体系，新建抽水泵站1座解决取水难题，改建6条灌排渠（总长1752m）、加固4条排水沟（总长2188m），配套放水口、涵洞等设施79个，保障灌排顺畅；机械化方面，改建2条彩色砼压花田间道（总长718m），增设错车道2处、下田坡道8处，满足农机通行与作业需求；生态化方面，全域3100亩耕地施用商品有机肥（符合NY525-2021标准），排水沟采用抛石挤淤处理软基，灌排渠用浆砌条石兼顾生态与耐用性；田园化方面，新建/改建彩色沥青道路4962m，种植紫色风铃木1100棵，布置洗墙灯1300盏，打造“生产+休闲”景观；数字化方面，新建智慧指挥中心机房1座，配套20套土壤墒情监测、23套田间摄像头等硬件，开发空间数据建模、管理平台等软件，覆盖智慧监测与管理。</w:t>
      </w:r>
    </w:p>
    <w:p w14:paraId="3A5C3124">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②“五化”技术参数与标准的匹配覆盖</w:t>
      </w:r>
    </w:p>
    <w:p w14:paraId="3E451EA0">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项目“五化”设计严格契合《高标准农田建设通则》（GB/T30600-2022）及相关规范要求。灌排化领域，防洪标准10年一遇、排涝标准“10年一遇1d暴雨3d排净”，灌溉保证率90%、灌溉水利用系数提升至0.72，灌排渠流速0.49-0.58m/s，符合防洪灌溉与渠道设计标准；机械化领域，田间道路宽3m、核心区沥青道路宽5m，基层压实度≥93%，错车道有效长度14m、下田坡道坡降1:5，匹配农机作业与道路建设规范；生态化领域，商品有机肥重金属含量、蛔虫卵死亡率等指标达标，排水沟冲刷深度计算与基础埋深设计符合《堤防设计规范》，挡墙抗滑、抗倾系数满足稳定要求；田园化领域，沥青道路结构、绿化苗木规格、照明设备防护等级均符合市政与绿化标准；数字化领域，土壤墒情监测精度、虫情监测识别准确率、软件数据传输速率等参数，符合智慧农业相关技术规范。</w:t>
      </w:r>
    </w:p>
    <w:p w14:paraId="1FD58AD5">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default" w:ascii="仿宋_GB2312" w:hAnsi="仿宋_GB2312" w:eastAsia="仿宋_GB2312" w:cs="仿宋_GB2312"/>
          <w:color w:val="auto"/>
          <w:kern w:val="0"/>
          <w:sz w:val="32"/>
          <w:szCs w:val="32"/>
          <w:highlight w:val="none"/>
          <w:lang w:val="en-US" w:eastAsia="zh-CN" w:bidi="ar-SA"/>
        </w:rPr>
        <w:t>③</w:t>
      </w:r>
      <w:r>
        <w:rPr>
          <w:rFonts w:hint="eastAsia" w:ascii="仿宋_GB2312" w:hAnsi="仿宋_GB2312" w:eastAsia="仿宋_GB2312" w:cs="仿宋_GB2312"/>
          <w:color w:val="auto"/>
          <w:kern w:val="0"/>
          <w:sz w:val="32"/>
          <w:szCs w:val="32"/>
          <w:highlight w:val="none"/>
          <w:lang w:val="en-US" w:eastAsia="zh-CN" w:bidi="ar-SA"/>
        </w:rPr>
        <w:t>“五化”与项目区需求的针对性覆盖</w:t>
      </w:r>
    </w:p>
    <w:p w14:paraId="06D0B21E">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项目“五化”设计精准解决项目区（石狮市蚶江镇滨海围垦区）痛点。灌排化针对东南侧282亩农田取水难、中部712亩农田内涝问题，通过泵站与沟渠改造实现供水排水改善；机械化破解21条原有土路农机通行难问题，改建道路与辅助设施辐射超1500亩耕地；生态化针对赤沙土保肥差、黑赤土田缺钾及软基易坍塌问题，通过有机肥施用与抛石挤淤修复土壤、稳固设施；田园化契合邻近居民区“农旅融合”需求，打造休闲步道与景观，且避开红白萝卜、蜜薯种植区不干扰生产；数字化弥补3100亩分散耕地人工监测管理低效短板，实时预警与农事指导功能降低农户经验依赖，助力精准农业发展。</w:t>
      </w:r>
    </w:p>
    <w:p w14:paraId="5171ECC8">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综上所述，根据评分标准，该指标满分6分，得6分。</w:t>
      </w:r>
    </w:p>
    <w:p w14:paraId="4FFAA50E">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（2）招标服务保障达标率</w:t>
      </w:r>
    </w:p>
    <w:p w14:paraId="7CB0C78F">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参考《中华人民共和国招标投标法》《必须招标的工程项目规定》及水利工程招标管理细则，结合本项目实际，招标阶段需完成的核心工作项共计8项，具体如下：项目审批和备案、确定招标代理机构、编制招标文件、招标文件备案、发布招标公告、组织投标报名与文件发售（保障潜在投标人获取招标文件）、开标、评标与中标公示等，经对照项目执行情况核查，8项工作均合规完成（如取得闽发改备(2025)C070216号批准文件、在法定媒介发布招标公告、按约定时间地点开标并完成中标公示等），最终计算得出达标率为100%，这表明项目招标服务在流程合规性、信息公开性、评审公正性上完全符合要求，为后续建设的合法性与质量保障奠定基础。根据评分标准，该指标满分2分，得2分。</w:t>
      </w:r>
    </w:p>
    <w:p w14:paraId="1DF6F5B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（3）政策契合达标率</w:t>
      </w:r>
    </w:p>
    <w:p w14:paraId="5B7BA95B">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本项目设计方案全面契合《高标准农田建设通则》（GB/T30600-2022）核心要求。在“灌排化”方面，通过泵站新建、渠系加固实现灌溉保证率与排涝防洪标准达标，提升水资源利用效率；“机械化”依托道路升级与田块优化，满足农机作业条件；“田园化”融合景观、生态与整洁要求，打造兼具生产与休闲功能的农田环境；“数字化”构建全域监测与智能管理体系，赋能精准农业；同时实现耕地质量等别提升0.2等，土壤指标符合规范要求。项目各单项建设标准均达到《通则》规定，整体设计合规性强，可有效推动高标准农田提档升级。根据评分标准，该指标满分4分，得4分。</w:t>
      </w:r>
    </w:p>
    <w:p w14:paraId="47C48E9B">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sectPr>
          <w:headerReference r:id="rId12" w:type="default"/>
          <w:footerReference r:id="rId14" w:type="default"/>
          <w:headerReference r:id="rId13" w:type="even"/>
          <w:pgSz w:w="11906" w:h="16838"/>
          <w:pgMar w:top="1417" w:right="1474" w:bottom="1417" w:left="1587"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668D6B23">
      <w:pPr>
        <w:keepNext w:val="0"/>
        <w:keepLines w:val="0"/>
        <w:pageBreakBefore w:val="0"/>
        <w:widowControl w:val="0"/>
        <w:kinsoku/>
        <w:wordWrap/>
        <w:topLinePunct w:val="0"/>
        <w:bidi w:val="0"/>
        <w:snapToGrid/>
        <w:jc w:val="center"/>
        <w:rPr>
          <w:rFonts w:hint="eastAsia" w:ascii="仿宋" w:hAnsi="仿宋" w:eastAsia="仿宋" w:cs="仿宋"/>
          <w:b/>
          <w:bCs/>
          <w:color w:val="auto"/>
          <w:kern w:val="0"/>
          <w:sz w:val="28"/>
          <w:szCs w:val="28"/>
          <w:highlight w:val="none"/>
          <w:lang w:val="en-US" w:eastAsia="zh-CN" w:bidi="ar-SA"/>
        </w:rPr>
      </w:pPr>
      <w:r>
        <w:rPr>
          <w:rFonts w:hint="eastAsia" w:ascii="仿宋" w:hAnsi="仿宋" w:eastAsia="仿宋" w:cs="仿宋"/>
          <w:b/>
          <w:bCs/>
          <w:color w:val="auto"/>
          <w:kern w:val="0"/>
          <w:sz w:val="28"/>
          <w:szCs w:val="28"/>
          <w:highlight w:val="none"/>
          <w:lang w:val="en-US" w:eastAsia="zh-CN" w:bidi="ar-SA"/>
        </w:rPr>
        <w:t>表6 符合性核心内容对照表</w:t>
      </w:r>
    </w:p>
    <w:tbl>
      <w:tblPr>
        <w:tblStyle w:val="15"/>
        <w:tblW w:w="1485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79"/>
        <w:gridCol w:w="3987"/>
        <w:gridCol w:w="8012"/>
        <w:gridCol w:w="1975"/>
      </w:tblGrid>
      <w:tr w14:paraId="3CABA9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10" w:hRule="exact"/>
          <w:jc w:val="center"/>
        </w:trPr>
        <w:tc>
          <w:tcPr>
            <w:tcW w:w="879"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3CE62BAD">
            <w:pPr>
              <w:keepNext w:val="0"/>
              <w:keepLines w:val="0"/>
              <w:pageBreakBefore w:val="0"/>
              <w:widowControl w:val="0"/>
              <w:suppressLineNumbers w:val="0"/>
              <w:kinsoku/>
              <w:wordWrap/>
              <w:topLinePunct w:val="0"/>
              <w:bidi w:val="0"/>
              <w:snapToGrid/>
              <w:spacing w:line="240" w:lineRule="auto"/>
              <w:jc w:val="center"/>
              <w:textAlignment w:val="center"/>
              <w:rPr>
                <w:rFonts w:hint="eastAsia" w:ascii="仿宋_GB2312" w:hAnsi="仿宋_GB2312" w:eastAsia="仿宋_GB2312" w:cs="仿宋_GB2312"/>
                <w:b/>
                <w:bCs/>
                <w:i w:val="0"/>
                <w:iCs w:val="0"/>
                <w:color w:val="000000"/>
                <w:sz w:val="24"/>
                <w:szCs w:val="24"/>
                <w:highlight w:val="none"/>
                <w:u w:val="none"/>
                <w:lang w:val="en-US"/>
              </w:rPr>
            </w:pPr>
            <w:r>
              <w:rPr>
                <w:rFonts w:hint="eastAsia" w:ascii="仿宋_GB2312" w:hAnsi="仿宋_GB2312" w:eastAsia="仿宋_GB2312" w:cs="仿宋_GB2312"/>
                <w:b/>
                <w:bCs/>
                <w:i w:val="0"/>
                <w:iCs w:val="0"/>
                <w:color w:val="000000"/>
                <w:kern w:val="0"/>
                <w:sz w:val="24"/>
                <w:szCs w:val="24"/>
                <w:highlight w:val="none"/>
                <w:u w:val="none"/>
                <w:lang w:val="en-US" w:eastAsia="zh-CN" w:bidi="ar"/>
              </w:rPr>
              <w:t>对比维度</w:t>
            </w:r>
          </w:p>
        </w:tc>
        <w:tc>
          <w:tcPr>
            <w:tcW w:w="398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62A5F044">
            <w:pPr>
              <w:keepNext w:val="0"/>
              <w:keepLines w:val="0"/>
              <w:pageBreakBefore w:val="0"/>
              <w:widowControl w:val="0"/>
              <w:suppressLineNumbers w:val="0"/>
              <w:kinsoku/>
              <w:wordWrap/>
              <w:topLinePunct w:val="0"/>
              <w:bidi w:val="0"/>
              <w:snapToGrid/>
              <w:spacing w:line="240" w:lineRule="auto"/>
              <w:jc w:val="center"/>
              <w:textAlignment w:val="center"/>
              <w:rPr>
                <w:rFonts w:hint="eastAsia" w:ascii="仿宋_GB2312" w:hAnsi="仿宋_GB2312" w:eastAsia="仿宋_GB2312" w:cs="仿宋_GB2312"/>
                <w:b/>
                <w:bCs/>
                <w:i w:val="0"/>
                <w:iCs w:val="0"/>
                <w:color w:val="000000"/>
                <w:sz w:val="24"/>
                <w:szCs w:val="24"/>
                <w:highlight w:val="none"/>
                <w:u w:val="none"/>
              </w:rPr>
            </w:pPr>
            <w:r>
              <w:rPr>
                <w:rFonts w:hint="eastAsia" w:ascii="仿宋_GB2312" w:hAnsi="仿宋_GB2312" w:eastAsia="仿宋_GB2312" w:cs="仿宋_GB2312"/>
                <w:b/>
                <w:bCs/>
                <w:i w:val="0"/>
                <w:iCs w:val="0"/>
                <w:color w:val="000000"/>
                <w:kern w:val="0"/>
                <w:sz w:val="24"/>
                <w:szCs w:val="24"/>
                <w:highlight w:val="none"/>
                <w:u w:val="none"/>
                <w:lang w:val="en-US" w:eastAsia="zh-CN" w:bidi="ar"/>
              </w:rPr>
              <w:t>《高标准农田建设通则》核心要求</w:t>
            </w:r>
          </w:p>
        </w:tc>
        <w:tc>
          <w:tcPr>
            <w:tcW w:w="8012"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62BE96FD">
            <w:pPr>
              <w:keepNext w:val="0"/>
              <w:keepLines w:val="0"/>
              <w:pageBreakBefore w:val="0"/>
              <w:widowControl w:val="0"/>
              <w:suppressLineNumbers w:val="0"/>
              <w:kinsoku/>
              <w:wordWrap/>
              <w:topLinePunct w:val="0"/>
              <w:bidi w:val="0"/>
              <w:snapToGrid/>
              <w:spacing w:line="240" w:lineRule="auto"/>
              <w:jc w:val="center"/>
              <w:textAlignment w:val="center"/>
              <w:rPr>
                <w:rFonts w:hint="eastAsia" w:ascii="仿宋_GB2312" w:hAnsi="仿宋_GB2312" w:eastAsia="仿宋_GB2312" w:cs="仿宋_GB2312"/>
                <w:b/>
                <w:bCs/>
                <w:i w:val="0"/>
                <w:iCs w:val="0"/>
                <w:color w:val="000000"/>
                <w:sz w:val="24"/>
                <w:szCs w:val="24"/>
                <w:highlight w:val="none"/>
                <w:u w:val="none"/>
              </w:rPr>
            </w:pPr>
            <w:r>
              <w:rPr>
                <w:rFonts w:hint="eastAsia" w:ascii="仿宋_GB2312" w:hAnsi="仿宋_GB2312" w:eastAsia="仿宋_GB2312" w:cs="仿宋_GB2312"/>
                <w:b/>
                <w:bCs/>
                <w:i w:val="0"/>
                <w:iCs w:val="0"/>
                <w:color w:val="000000"/>
                <w:kern w:val="0"/>
                <w:sz w:val="24"/>
                <w:szCs w:val="24"/>
                <w:highlight w:val="none"/>
                <w:u w:val="none"/>
                <w:lang w:val="en-US" w:eastAsia="zh-CN" w:bidi="ar"/>
              </w:rPr>
              <w:t>石狮市项目设计方案对应内容</w:t>
            </w:r>
          </w:p>
        </w:tc>
        <w:tc>
          <w:tcPr>
            <w:tcW w:w="1975"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2ADEDCAD">
            <w:pPr>
              <w:keepNext w:val="0"/>
              <w:keepLines w:val="0"/>
              <w:pageBreakBefore w:val="0"/>
              <w:widowControl w:val="0"/>
              <w:suppressLineNumbers w:val="0"/>
              <w:kinsoku/>
              <w:wordWrap/>
              <w:topLinePunct w:val="0"/>
              <w:bidi w:val="0"/>
              <w:snapToGrid/>
              <w:spacing w:line="240" w:lineRule="auto"/>
              <w:jc w:val="center"/>
              <w:textAlignment w:val="center"/>
              <w:rPr>
                <w:rFonts w:hint="eastAsia" w:ascii="仿宋_GB2312" w:hAnsi="仿宋_GB2312" w:eastAsia="仿宋_GB2312" w:cs="仿宋_GB2312"/>
                <w:b/>
                <w:bCs/>
                <w:i w:val="0"/>
                <w:iCs w:val="0"/>
                <w:color w:val="000000"/>
                <w:kern w:val="0"/>
                <w:sz w:val="24"/>
                <w:szCs w:val="24"/>
                <w:highlight w:val="none"/>
                <w:u w:val="none"/>
                <w:lang w:val="en-US" w:eastAsia="zh-CN" w:bidi="ar"/>
              </w:rPr>
            </w:pPr>
            <w:r>
              <w:rPr>
                <w:rFonts w:hint="eastAsia" w:ascii="仿宋_GB2312" w:hAnsi="仿宋_GB2312" w:eastAsia="仿宋_GB2312" w:cs="仿宋_GB2312"/>
                <w:b/>
                <w:bCs/>
                <w:i w:val="0"/>
                <w:iCs w:val="0"/>
                <w:color w:val="000000"/>
                <w:kern w:val="0"/>
                <w:sz w:val="24"/>
                <w:szCs w:val="24"/>
                <w:highlight w:val="none"/>
                <w:u w:val="none"/>
                <w:lang w:val="en-US" w:eastAsia="zh-CN" w:bidi="ar"/>
              </w:rPr>
              <w:t>符合性结论</w:t>
            </w:r>
          </w:p>
        </w:tc>
      </w:tr>
      <w:tr w14:paraId="05471B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6" w:hRule="exact"/>
          <w:jc w:val="center"/>
        </w:trPr>
        <w:tc>
          <w:tcPr>
            <w:tcW w:w="8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46D9B">
            <w:pPr>
              <w:pStyle w:val="32"/>
              <w:ind w:left="0" w:leftChars="0"/>
              <w:jc w:val="center"/>
              <w:rPr>
                <w:rFonts w:hint="eastAsia" w:ascii="仿宋_GB2312" w:hAnsi="仿宋_GB2312" w:eastAsia="仿宋_GB2312" w:cs="仿宋_GB2312"/>
                <w:i w:val="0"/>
                <w:iCs w:val="0"/>
                <w:color w:val="000000"/>
                <w:sz w:val="24"/>
                <w:szCs w:val="24"/>
                <w:highlight w:val="none"/>
                <w:u w:val="none"/>
              </w:rPr>
            </w:pPr>
            <w:r>
              <w:rPr>
                <w:rFonts w:hint="eastAsia" w:ascii="仿宋_GB2312" w:hAnsi="仿宋_GB2312" w:eastAsia="仿宋_GB2312" w:cs="仿宋_GB2312"/>
                <w:b/>
                <w:bCs/>
                <w:sz w:val="24"/>
                <w:szCs w:val="24"/>
              </w:rPr>
              <w:t>灌排化</w:t>
            </w:r>
          </w:p>
        </w:tc>
        <w:tc>
          <w:tcPr>
            <w:tcW w:w="3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4CA1D">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1.灌溉保证率：水田≥90%；</w:t>
            </w:r>
          </w:p>
          <w:p w14:paraId="173808AC">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2.排涝标准：10年一遇，1d暴雨3d排至耐淹水深；</w:t>
            </w:r>
          </w:p>
          <w:p w14:paraId="249660B7">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3.防洪标准：≥10年一遇；</w:t>
            </w:r>
          </w:p>
          <w:p w14:paraId="42C202EA">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i w:val="0"/>
                <w:iCs w:val="0"/>
                <w:color w:val="000000"/>
                <w:sz w:val="24"/>
                <w:szCs w:val="24"/>
                <w:highlight w:val="none"/>
                <w:u w:val="none"/>
              </w:rPr>
            </w:pPr>
            <w:r>
              <w:rPr>
                <w:rFonts w:hint="eastAsia" w:ascii="仿宋_GB2312" w:hAnsi="仿宋_GB2312" w:eastAsia="仿宋_GB2312" w:cs="仿宋_GB2312"/>
                <w:sz w:val="24"/>
                <w:szCs w:val="24"/>
              </w:rPr>
              <w:t>4.渠系水利用系数：≥0.75</w:t>
            </w:r>
          </w:p>
        </w:tc>
        <w:tc>
          <w:tcPr>
            <w:tcW w:w="80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64B62">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1.灌溉保证率90%，P=90%枯水年可供水量612.06万m³，满足灌溉需求；</w:t>
            </w:r>
          </w:p>
          <w:p w14:paraId="4BCA153D">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2.排涝标准10年一遇，1d暴雨3d排至耐淹水深，加固排水沟4条（总长2188m）；</w:t>
            </w:r>
          </w:p>
          <w:p w14:paraId="70470102">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3.防洪标准10年一遇，依托蚶江水闸、军垦水闸（均按10年一遇设计）；</w:t>
            </w:r>
          </w:p>
          <w:p w14:paraId="28E5C9E5">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i w:val="0"/>
                <w:iCs w:val="0"/>
                <w:color w:val="000000"/>
                <w:kern w:val="0"/>
                <w:sz w:val="24"/>
                <w:szCs w:val="24"/>
                <w:highlight w:val="none"/>
                <w:u w:val="none"/>
                <w:lang w:val="en-US" w:eastAsia="zh-CN" w:bidi="ar"/>
              </w:rPr>
            </w:pPr>
            <w:r>
              <w:rPr>
                <w:rFonts w:hint="eastAsia" w:ascii="仿宋_GB2312" w:hAnsi="仿宋_GB2312" w:eastAsia="仿宋_GB2312" w:cs="仿宋_GB2312"/>
                <w:sz w:val="24"/>
                <w:szCs w:val="24"/>
              </w:rPr>
              <w:t>4.渠系水利用系数0.75，灌溉水利用系数0.72（较现状提升11.2个百分点）</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D8133">
            <w:pPr>
              <w:pStyle w:val="32"/>
              <w:ind w:left="0" w:leftChars="0"/>
              <w:jc w:val="center"/>
              <w:rPr>
                <w:rFonts w:hint="eastAsia" w:ascii="仿宋_GB2312" w:hAnsi="仿宋_GB2312" w:eastAsia="仿宋_GB2312" w:cs="仿宋_GB2312"/>
                <w:i w:val="0"/>
                <w:iCs w:val="0"/>
                <w:color w:val="000000"/>
                <w:kern w:val="0"/>
                <w:sz w:val="24"/>
                <w:szCs w:val="24"/>
                <w:highlight w:val="none"/>
                <w:u w:val="none"/>
                <w:lang w:val="en-US" w:eastAsia="zh-CN" w:bidi="ar"/>
              </w:rPr>
            </w:pPr>
            <w:r>
              <w:rPr>
                <w:rFonts w:hint="eastAsia" w:ascii="仿宋_GB2312" w:hAnsi="仿宋_GB2312" w:eastAsia="仿宋_GB2312" w:cs="仿宋_GB2312"/>
                <w:sz w:val="24"/>
                <w:szCs w:val="24"/>
              </w:rPr>
              <w:t>完全符合，单项标准均达标</w:t>
            </w:r>
          </w:p>
        </w:tc>
      </w:tr>
      <w:tr w14:paraId="0DD657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40" w:hRule="exact"/>
          <w:jc w:val="center"/>
        </w:trPr>
        <w:tc>
          <w:tcPr>
            <w:tcW w:w="8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DB9B4">
            <w:pPr>
              <w:pStyle w:val="32"/>
              <w:ind w:left="0" w:leftChars="0"/>
              <w:jc w:val="center"/>
              <w:rPr>
                <w:rFonts w:hint="eastAsia" w:ascii="仿宋_GB2312" w:hAnsi="仿宋_GB2312" w:eastAsia="仿宋_GB2312" w:cs="仿宋_GB2312"/>
                <w:i w:val="0"/>
                <w:iCs w:val="0"/>
                <w:color w:val="000000"/>
                <w:sz w:val="24"/>
                <w:szCs w:val="24"/>
                <w:highlight w:val="none"/>
                <w:u w:val="none"/>
              </w:rPr>
            </w:pPr>
            <w:r>
              <w:rPr>
                <w:rFonts w:hint="eastAsia" w:ascii="仿宋_GB2312" w:hAnsi="仿宋_GB2312" w:eastAsia="仿宋_GB2312" w:cs="仿宋_GB2312"/>
                <w:b/>
                <w:bCs/>
                <w:sz w:val="24"/>
                <w:szCs w:val="24"/>
              </w:rPr>
              <w:t>机械化</w:t>
            </w:r>
          </w:p>
        </w:tc>
        <w:tc>
          <w:tcPr>
            <w:tcW w:w="3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57C5C">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1.田间道路宽度：3-5m，通达度≥95%；</w:t>
            </w:r>
          </w:p>
          <w:p w14:paraId="622E05B2">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2.田块连片度：单块面积宜≥50亩；</w:t>
            </w:r>
          </w:p>
          <w:p w14:paraId="5A98DCE4">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3.农机作业条件：田面坡度≤2°，无明显障碍</w:t>
            </w:r>
          </w:p>
        </w:tc>
        <w:tc>
          <w:tcPr>
            <w:tcW w:w="80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175EA">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1.改建田间道2条（宽3m，总长718m），核心区沥青道路宽5m（总长4962m），通达度95%；</w:t>
            </w:r>
          </w:p>
          <w:p w14:paraId="42917F97">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2.项目区田块单块面积≥50亩，集中连片规模3100亩；</w:t>
            </w:r>
          </w:p>
          <w:p w14:paraId="1374874F">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rPr>
              <w:t>3.田面坡度0-2°（可平整面积2969亩），清除田间障碍，配套错车道2处、下田坡道8处</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329CD">
            <w:pPr>
              <w:pStyle w:val="32"/>
              <w:ind w:left="0" w:leftChars="0"/>
              <w:jc w:val="center"/>
              <w:rPr>
                <w:rFonts w:hint="eastAsia" w:ascii="仿宋_GB2312" w:hAnsi="仿宋_GB2312" w:eastAsia="仿宋_GB2312" w:cs="仿宋_GB2312"/>
                <w:i w:val="0"/>
                <w:iCs w:val="0"/>
                <w:color w:val="000000"/>
                <w:kern w:val="0"/>
                <w:sz w:val="24"/>
                <w:szCs w:val="24"/>
                <w:highlight w:val="none"/>
                <w:u w:val="none"/>
                <w:lang w:val="en-US" w:eastAsia="zh-CN" w:bidi="ar"/>
              </w:rPr>
            </w:pPr>
            <w:r>
              <w:rPr>
                <w:rFonts w:hint="eastAsia" w:ascii="仿宋_GB2312" w:hAnsi="仿宋_GB2312" w:eastAsia="仿宋_GB2312" w:cs="仿宋_GB2312"/>
                <w:sz w:val="24"/>
                <w:szCs w:val="24"/>
              </w:rPr>
              <w:t>完全符合，单项标准均达标</w:t>
            </w:r>
          </w:p>
        </w:tc>
      </w:tr>
      <w:tr w14:paraId="6B1F15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35" w:hRule="exact"/>
          <w:jc w:val="center"/>
        </w:trPr>
        <w:tc>
          <w:tcPr>
            <w:tcW w:w="8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A3E5A">
            <w:pPr>
              <w:pStyle w:val="32"/>
              <w:ind w:left="0" w:leftChars="0"/>
              <w:jc w:val="center"/>
              <w:rPr>
                <w:rFonts w:hint="eastAsia" w:ascii="仿宋_GB2312" w:hAnsi="仿宋_GB2312" w:eastAsia="仿宋_GB2312" w:cs="仿宋_GB2312"/>
                <w:i w:val="0"/>
                <w:iCs w:val="0"/>
                <w:color w:val="000000"/>
                <w:sz w:val="24"/>
                <w:szCs w:val="24"/>
                <w:highlight w:val="none"/>
                <w:u w:val="none"/>
              </w:rPr>
            </w:pPr>
            <w:r>
              <w:rPr>
                <w:rFonts w:hint="eastAsia" w:ascii="仿宋_GB2312" w:hAnsi="仿宋_GB2312" w:eastAsia="仿宋_GB2312" w:cs="仿宋_GB2312"/>
                <w:b/>
                <w:bCs/>
                <w:sz w:val="24"/>
                <w:szCs w:val="24"/>
              </w:rPr>
              <w:t>田园化</w:t>
            </w:r>
          </w:p>
        </w:tc>
        <w:tc>
          <w:tcPr>
            <w:tcW w:w="3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730127">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1.农田景观：优化空间布局，融合生态与休闲功能；</w:t>
            </w:r>
          </w:p>
          <w:p w14:paraId="2B62F414">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2.土壤生态：推广有机肥施用，提升土壤肥力；</w:t>
            </w:r>
          </w:p>
          <w:p w14:paraId="6079C361">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3.环境整洁：施工后清理垃圾，设置公示牌</w:t>
            </w:r>
          </w:p>
        </w:tc>
        <w:tc>
          <w:tcPr>
            <w:tcW w:w="80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A4605">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1.种植紫色风铃木1100棵，布置洗墙灯1300盏，打造“520”休闲步道；</w:t>
            </w:r>
          </w:p>
          <w:p w14:paraId="225AD803">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2.施用商品有机肥923.18吨（亩均297.8kg），推广秸秆还田、绿肥种植；</w:t>
            </w:r>
          </w:p>
          <w:p w14:paraId="081B4111">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rPr>
              <w:t>3.施工后拆除临时设施，设项目公示牌1座（混凝土基础+瓷砖贴面）</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84BA1">
            <w:pPr>
              <w:pStyle w:val="32"/>
              <w:ind w:left="0" w:leftChars="0"/>
              <w:jc w:val="center"/>
              <w:rPr>
                <w:rFonts w:hint="eastAsia" w:ascii="仿宋_GB2312" w:hAnsi="仿宋_GB2312" w:eastAsia="仿宋_GB2312" w:cs="仿宋_GB2312"/>
                <w:i w:val="0"/>
                <w:iCs w:val="0"/>
                <w:color w:val="000000"/>
                <w:kern w:val="0"/>
                <w:sz w:val="24"/>
                <w:szCs w:val="24"/>
                <w:highlight w:val="none"/>
                <w:u w:val="none"/>
                <w:lang w:val="en-US" w:eastAsia="zh-CN" w:bidi="ar"/>
              </w:rPr>
            </w:pPr>
            <w:r>
              <w:rPr>
                <w:rFonts w:hint="eastAsia" w:ascii="仿宋_GB2312" w:hAnsi="仿宋_GB2312" w:eastAsia="仿宋_GB2312" w:cs="仿宋_GB2312"/>
                <w:sz w:val="24"/>
                <w:szCs w:val="24"/>
              </w:rPr>
              <w:t>完全符合，单项标准均达标</w:t>
            </w:r>
          </w:p>
        </w:tc>
      </w:tr>
      <w:tr w14:paraId="786CCC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57" w:hRule="exact"/>
          <w:jc w:val="center"/>
        </w:trPr>
        <w:tc>
          <w:tcPr>
            <w:tcW w:w="8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C8A87">
            <w:pPr>
              <w:pStyle w:val="32"/>
              <w:ind w:left="0" w:leftChars="0"/>
              <w:jc w:val="center"/>
              <w:rPr>
                <w:rFonts w:hint="eastAsia" w:ascii="仿宋_GB2312" w:hAnsi="仿宋_GB2312" w:eastAsia="仿宋_GB2312" w:cs="仿宋_GB2312"/>
                <w:i w:val="0"/>
                <w:iCs w:val="0"/>
                <w:color w:val="000000"/>
                <w:sz w:val="24"/>
                <w:szCs w:val="24"/>
                <w:highlight w:val="none"/>
                <w:u w:val="none"/>
              </w:rPr>
            </w:pPr>
            <w:r>
              <w:rPr>
                <w:rFonts w:hint="eastAsia" w:ascii="仿宋_GB2312" w:hAnsi="仿宋_GB2312" w:eastAsia="仿宋_GB2312" w:cs="仿宋_GB2312"/>
                <w:b/>
                <w:bCs/>
                <w:sz w:val="24"/>
                <w:szCs w:val="24"/>
              </w:rPr>
              <w:t>数字化</w:t>
            </w:r>
          </w:p>
        </w:tc>
        <w:tc>
          <w:tcPr>
            <w:tcW w:w="3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5AFF1">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1.监测系统：覆盖土壤、气象、虫情等要素；</w:t>
            </w:r>
          </w:p>
          <w:p w14:paraId="2F63B14A">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2.管理平台：具备数据建模、农事管理功能；</w:t>
            </w:r>
          </w:p>
          <w:p w14:paraId="1AD7D359">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3.精准作业：支持无人机、智能调度等技术应用</w:t>
            </w:r>
          </w:p>
        </w:tc>
        <w:tc>
          <w:tcPr>
            <w:tcW w:w="80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BBE7DA">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1.建气象站1套、土壤墒情监测20套、虫情系统1套、摄像头23套；2.开发空间数据建模、PC/移动端管理平台、AIGC数字管家各1项；</w:t>
            </w:r>
          </w:p>
          <w:p w14:paraId="64055C1E">
            <w:pPr>
              <w:pStyle w:val="32"/>
              <w:keepNext w:val="0"/>
              <w:keepLines w:val="0"/>
              <w:pageBreakBefore w:val="0"/>
              <w:widowControl/>
              <w:kinsoku/>
              <w:wordWrap/>
              <w:overflowPunct/>
              <w:topLinePunct w:val="0"/>
              <w:autoSpaceDE/>
              <w:autoSpaceDN/>
              <w:bidi w:val="0"/>
              <w:adjustRightInd/>
              <w:snapToGrid/>
              <w:spacing w:before="0" w:after="0" w:line="300" w:lineRule="exact"/>
              <w:ind w:left="0" w:leftChars="0"/>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rPr>
              <w:t>3.配备农业无人机1套，实现精准灌溉、施肥（年节水31.81万m³）</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E7FE8">
            <w:pPr>
              <w:pStyle w:val="32"/>
              <w:ind w:left="0" w:leftChars="0"/>
              <w:jc w:val="center"/>
              <w:rPr>
                <w:rFonts w:hint="eastAsia" w:ascii="仿宋_GB2312" w:hAnsi="仿宋_GB2312" w:eastAsia="仿宋_GB2312" w:cs="仿宋_GB2312"/>
                <w:i w:val="0"/>
                <w:iCs w:val="0"/>
                <w:color w:val="000000"/>
                <w:kern w:val="0"/>
                <w:sz w:val="24"/>
                <w:szCs w:val="24"/>
                <w:highlight w:val="none"/>
                <w:u w:val="none"/>
                <w:lang w:val="en-US" w:eastAsia="zh-CN" w:bidi="ar"/>
              </w:rPr>
            </w:pPr>
            <w:r>
              <w:rPr>
                <w:rFonts w:hint="eastAsia" w:ascii="仿宋_GB2312" w:hAnsi="仿宋_GB2312" w:eastAsia="仿宋_GB2312" w:cs="仿宋_GB2312"/>
                <w:sz w:val="24"/>
                <w:szCs w:val="24"/>
              </w:rPr>
              <w:t>完全符合，单项标准均达标</w:t>
            </w:r>
          </w:p>
        </w:tc>
      </w:tr>
    </w:tbl>
    <w:p w14:paraId="62A59AD6">
      <w:pPr>
        <w:keepNext w:val="0"/>
        <w:keepLines w:val="0"/>
        <w:pageBreakBefore w:val="0"/>
        <w:widowControl w:val="0"/>
        <w:kinsoku/>
        <w:wordWrap/>
        <w:overflowPunct/>
        <w:topLinePunct w:val="0"/>
        <w:autoSpaceDE/>
        <w:autoSpaceDN/>
        <w:bidi w:val="0"/>
        <w:adjustRightInd/>
        <w:snapToGrid/>
        <w:spacing w:line="240" w:lineRule="auto"/>
        <w:ind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sectPr>
          <w:pgSz w:w="16838" w:h="11906" w:orient="landscape"/>
          <w:pgMar w:top="1587" w:right="1417" w:bottom="1474" w:left="1417"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0B2D1212">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2"/>
        <w:rPr>
          <w:rFonts w:hint="eastAsia" w:ascii="仿宋_GB2312" w:hAnsi="仿宋_GB2312" w:eastAsia="仿宋_GB2312" w:cs="仿宋_GB2312"/>
          <w:b/>
          <w:bCs/>
          <w:color w:val="auto"/>
          <w:sz w:val="32"/>
          <w:szCs w:val="32"/>
          <w:lang w:val="en-US" w:eastAsia="zh-CN"/>
        </w:rPr>
      </w:pPr>
      <w:bookmarkStart w:id="189" w:name="_Toc12142"/>
      <w:r>
        <w:rPr>
          <w:rFonts w:hint="eastAsia" w:ascii="仿宋_GB2312" w:hAnsi="仿宋_GB2312" w:eastAsia="仿宋_GB2312" w:cs="仿宋_GB2312"/>
          <w:b/>
          <w:bCs/>
          <w:color w:val="auto"/>
          <w:sz w:val="32"/>
          <w:szCs w:val="32"/>
          <w:lang w:val="en-US" w:eastAsia="zh-CN"/>
        </w:rPr>
        <w:t>3.产出时效</w:t>
      </w:r>
      <w:bookmarkEnd w:id="189"/>
    </w:p>
    <w:p w14:paraId="6F00E329">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（1）设计周期达标率</w:t>
      </w:r>
    </w:p>
    <w:p w14:paraId="02095A42">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本项目于2023年11月16日收到3家设计单位的报价材料，其中，福州耕美生态农业发展有限公司中标后，与石狮市福狮振兴乡村投资发展有限公司签订的技术服务合同约定“合同签订后60天内完成项目设计送审”，但实际《石狮市2024年省级高标准农田“五化”示范建设项目设计报告（终稿）》编制完成于2024年7月，远超合同约定周期，滞后时间超150天（耗时7个月），截至2025年7月底，该设计方案也处于一直在调整的状态，未完成最终的定稿。根据评分标准，该指标满分6分，扣6分，得0分。</w:t>
      </w:r>
    </w:p>
    <w:p w14:paraId="29024F5F">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eastAsia" w:ascii="仿宋_GB2312" w:hAnsi="仿宋_GB2312" w:eastAsia="仿宋_GB2312" w:cs="仿宋_GB2312"/>
          <w:b/>
          <w:bCs/>
          <w:color w:val="auto"/>
          <w:sz w:val="32"/>
          <w:szCs w:val="32"/>
          <w:lang w:val="en-US" w:eastAsia="zh-CN"/>
        </w:rPr>
      </w:pPr>
      <w:bookmarkStart w:id="190" w:name="_Toc23795"/>
      <w:r>
        <w:rPr>
          <w:rFonts w:hint="eastAsia" w:ascii="仿宋_GB2312" w:hAnsi="仿宋_GB2312" w:eastAsia="仿宋_GB2312" w:cs="仿宋_GB2312"/>
          <w:b/>
          <w:bCs/>
          <w:color w:val="auto"/>
          <w:sz w:val="32"/>
          <w:szCs w:val="32"/>
          <w:lang w:val="en-US" w:eastAsia="zh-CN"/>
        </w:rPr>
        <w:t>4.产出成本</w:t>
      </w:r>
      <w:bookmarkEnd w:id="190"/>
    </w:p>
    <w:p w14:paraId="2D8DE846">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（1）项目阶段性投资控制率</w:t>
      </w:r>
    </w:p>
    <w:p w14:paraId="6C9DC8F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在石狮市高标准农田建设（一期）“五化”示范项目中，设计概算总投资（1846.36万元）与项目批复概算金额完全一致、实现“无偏差”，则该项目阶段性投资控制率为100%，完全符合高标准农田项目设计概算与批复概算偏差需控制在合理范围（通常为±5%）的行业要求，这表明设计阶段严格遵循了批复文件的投资限额，在编制依据（如定额标准、价格基准期）、建设内容（与“五化”示范定位及批复范围完全匹配）、价格测算（材料、人工等价格与批复阶段市场情况精准对应）等方面均实现高度统一，阶段性投资控制成效显著，为后续项目施工、资金使用及结算环节的合规性与准确性奠定了坚实基础。根据评分标准，该指标满分3分，得3分。</w:t>
      </w:r>
    </w:p>
    <w:p w14:paraId="3389683D">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1"/>
        <w:rPr>
          <w:rFonts w:hint="eastAsia" w:ascii="楷体_GB2312" w:hAnsi="楷体_GB2312" w:eastAsia="楷体_GB2312" w:cs="楷体_GB2312"/>
          <w:b/>
          <w:bCs/>
          <w:color w:val="auto"/>
          <w:sz w:val="32"/>
          <w:szCs w:val="32"/>
          <w:lang w:val="en-US" w:eastAsia="zh-CN"/>
        </w:rPr>
      </w:pPr>
      <w:bookmarkStart w:id="191" w:name="_Toc27266"/>
      <w:r>
        <w:rPr>
          <w:rFonts w:hint="eastAsia" w:ascii="楷体_GB2312" w:hAnsi="楷体_GB2312" w:eastAsia="楷体_GB2312" w:cs="楷体_GB2312"/>
          <w:b/>
          <w:bCs/>
          <w:color w:val="auto"/>
          <w:sz w:val="32"/>
          <w:szCs w:val="32"/>
          <w:lang w:val="en-US" w:eastAsia="zh-CN"/>
        </w:rPr>
        <w:t>（四）项目效益情况</w:t>
      </w:r>
      <w:bookmarkEnd w:id="191"/>
    </w:p>
    <w:p w14:paraId="5186454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主要从社会效益、经济效益、生态效益、可持续发展效益和满意度五个方面评价项目效益情况。该部分分值23分，评价得分23分。</w:t>
      </w:r>
    </w:p>
    <w:p w14:paraId="4468BCE4">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eastAsia" w:ascii="仿宋_GB2312" w:hAnsi="仿宋_GB2312" w:eastAsia="仿宋_GB2312" w:cs="仿宋_GB2312"/>
          <w:b/>
          <w:bCs/>
          <w:color w:val="auto"/>
          <w:sz w:val="32"/>
          <w:szCs w:val="32"/>
          <w:highlight w:val="none"/>
          <w:lang w:val="en-US" w:eastAsia="zh-CN"/>
        </w:rPr>
      </w:pPr>
      <w:bookmarkStart w:id="192" w:name="_Toc6509"/>
      <w:r>
        <w:rPr>
          <w:rFonts w:hint="eastAsia" w:ascii="仿宋_GB2312" w:hAnsi="仿宋_GB2312" w:eastAsia="仿宋_GB2312" w:cs="仿宋_GB2312"/>
          <w:b/>
          <w:bCs/>
          <w:color w:val="auto"/>
          <w:sz w:val="32"/>
          <w:szCs w:val="32"/>
          <w:highlight w:val="none"/>
          <w:lang w:val="en-US" w:eastAsia="zh-CN"/>
        </w:rPr>
        <w:t>1.社会效益</w:t>
      </w:r>
      <w:bookmarkEnd w:id="192"/>
    </w:p>
    <w:p w14:paraId="55E4AA89">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（1）“五化”集成可复制性</w:t>
      </w:r>
    </w:p>
    <w:p w14:paraId="5DCEDA9E">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①技术适配性：“五化”集成技术普适性强，无特殊条件依赖</w:t>
      </w:r>
    </w:p>
    <w:p w14:paraId="43AA9F6A">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本项目“五化”集成所采用的技术均基于常规农业生产场景需求设计，无对特殊地理条件、气候环境或稀缺资源的依赖，具备广泛适配性。从灌排化来看，采用的“泵站+浆砌条石渠+排水沟”技术体系，依据《高标准农田建设通则》（GB/T30600-2022）中灌排工程通用标准设计，泵站选用常规离心泵（IS100-90J-160型号），沟渠采用M7.5浆砌条石与C20现浇砼组合结构，无需依赖特殊水源或地形条件，在平原、围垦区等多数农田区域均可应用；机械化方面，改建田间道采用“砼压花路面+水泥碎石稳定层”常规工艺，错车道、下田坡道按农机通行通用参数设计（路面宽3m、坡道坡降1:5），适配中小型拖拉机、收割机等主流农机，不依赖特殊机械型号；生态化的“商品有机肥施用+抛石挤淤”技术，商品有机肥符合NY525-2021通用标准，抛石挤淤针对软基处理，在滨海、平原等不同土壤质地区域可通过调整抛石厚度灵活适配；田园化的“彩色沥青道路+绿化亮化”组合，道路结构遵循市政工程常规标准，苗木选用易存活的紫色风铃木，照明设备为IP65防护等级通用款，无需特殊养护条件；数字化的“监测设备+管理平台”体系，气象监测站、土壤墒情监测仪等均为农业领域通用设备，软件系统基于常规农田管理需求开发，无对特定数据接口或网络环境的特殊依赖，在多数高标准农田项目中可直接复用。</w:t>
      </w:r>
    </w:p>
    <w:p w14:paraId="78036FC5">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②成本可控性：“五化”集成成本符合省级标准，无超额支出</w:t>
      </w:r>
    </w:p>
    <w:p w14:paraId="4FC5799B">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项目“五化”集成总投资1846.36万元，亩均投资5956元，严格符合省级高标准农田平均投入水平，各模块成本均无超额支出。依据农业农村局提供的《石狮市2024年省级高标准农田“五化”示范建设项目（终稿）》数据，灌排化工程投资580.16万元（亩均1871.48元），其中泵站建设13.23万元、沟渠改造497.65万元，均在《福建省高标准农田提档升级建设指南》规定的灌排工程亩均造价范围内；机械化工程投资60.45万元（亩均195元），田间道路改建单价841.86元/m，低于省级同类项目机械化工程平均单价；生态化的商品有机肥示范推广措施费92.32万元（亩均297.8元），符合福建省“按财政投资5%安排有机肥费用”的规定；田园化工程投资708.16万元（亩均2284.39元），彩色沥青道路单价1624.52元/m，绿化亮化单价与省级田园化项目平均水平持平；数字化工程投资259.89万元（亩均838.35元），硬件设备与软件系统单价均在省级高标准农田数字化建设成本控制范围内，遵循福建省高标准农田资金投入标准，成本规模在省级项目可承受范围内，具备可复制性。</w:t>
      </w:r>
    </w:p>
    <w:p w14:paraId="71A0AA6F">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default" w:ascii="仿宋_GB2312" w:hAnsi="仿宋_GB2312" w:eastAsia="仿宋_GB2312" w:cs="仿宋_GB2312"/>
          <w:color w:val="auto"/>
          <w:kern w:val="0"/>
          <w:sz w:val="32"/>
          <w:szCs w:val="32"/>
          <w:highlight w:val="none"/>
          <w:lang w:val="en-US" w:eastAsia="zh-CN" w:bidi="ar-SA"/>
        </w:rPr>
        <w:t>③</w:t>
      </w:r>
      <w:r>
        <w:rPr>
          <w:rFonts w:hint="eastAsia" w:ascii="仿宋_GB2312" w:hAnsi="仿宋_GB2312" w:eastAsia="仿宋_GB2312" w:cs="仿宋_GB2312"/>
          <w:color w:val="auto"/>
          <w:kern w:val="0"/>
          <w:sz w:val="32"/>
          <w:szCs w:val="32"/>
          <w:highlight w:val="none"/>
          <w:lang w:val="en-US" w:eastAsia="zh-CN" w:bidi="ar-SA"/>
        </w:rPr>
        <w:t>场景兼容性：“五化”集成模式适配多元场景，无单一场景依赖</w:t>
      </w:r>
    </w:p>
    <w:p w14:paraId="4E251C60">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项目“五化”集成模式不依赖单一作物种植结构或土地规模，可灵活适配不同农业生产场景。从种植结构来看，灌排化工程按“水稻+经济作物”通用需求设计，灌溉保证率90%、排涝标准“10年一遇1d暴雨3d排净”，既满足水稻需水需求，也适配蔬菜、甘薯、花生等经济作物的灌排要求；机械化道路与辅助设施按“通用农机作业”设计，不针对特定作物调整，无论是水稻连片种植还是蔬菜大棚分散种植，均可保障农机通行与作业；生态化的有机肥施用可根据作物类型调整用量（如水稻亩均300kg、蔬菜亩均280kg），无单一种植依赖；田园化的景观设计避开作物种植核心区，道路与绿化不影响作物布局，适配“粮食+经济作物”“粮食+休闲农业”等多元产业场景；数字化系统支持“多作物监测与管理”，土壤墒情监测可设置水稻、蔬菜等不同作物的预警阈值，农事管理平台可录入多种作物种植计划与农事记录，无需针对单一种植结构重构系统。从土地规模来看，项目总规模3100亩，涵盖石狮围垦区2517亩连片地块与石壁村337.15亩、水头村56.43亩等分散地块，“五化”技术在连片与分散地块中均能落地——连片地块可集中布设数字化监测设备与灌排系统，分散地块通过小型泵站、短距离沟渠灵活适配，证明该集成模式在50-3000亩不同规模的高标准农田项目中均可兼容应用。</w:t>
      </w:r>
    </w:p>
    <w:p w14:paraId="79F87E0F">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综上所述，根据评分标准，该指标满分6分，得6分。</w:t>
      </w:r>
    </w:p>
    <w:p w14:paraId="521B5ABC">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default" w:ascii="仿宋_GB2312" w:hAnsi="仿宋_GB2312" w:eastAsia="仿宋_GB2312" w:cs="仿宋_GB2312"/>
          <w:b/>
          <w:bCs/>
          <w:color w:val="auto"/>
          <w:sz w:val="32"/>
          <w:szCs w:val="32"/>
          <w:highlight w:val="none"/>
          <w:lang w:val="en-US" w:eastAsia="zh-CN"/>
        </w:rPr>
      </w:pPr>
      <w:bookmarkStart w:id="193" w:name="_Toc30743"/>
      <w:r>
        <w:rPr>
          <w:rFonts w:hint="eastAsia" w:ascii="仿宋_GB2312" w:hAnsi="仿宋_GB2312" w:eastAsia="仿宋_GB2312" w:cs="仿宋_GB2312"/>
          <w:b/>
          <w:bCs/>
          <w:color w:val="auto"/>
          <w:sz w:val="32"/>
          <w:szCs w:val="32"/>
          <w:highlight w:val="none"/>
          <w:lang w:val="en-US" w:eastAsia="zh-CN"/>
        </w:rPr>
        <w:t>2.经济效益</w:t>
      </w:r>
      <w:bookmarkEnd w:id="193"/>
    </w:p>
    <w:p w14:paraId="309BCDE7">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（1）土地利用率</w:t>
      </w:r>
    </w:p>
    <w:p w14:paraId="78B6DEF6">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微软雅黑" w:hAnsi="微软雅黑" w:eastAsia="微软雅黑" w:cs="微软雅黑"/>
          <w:color w:val="auto"/>
          <w:kern w:val="0"/>
          <w:sz w:val="32"/>
          <w:szCs w:val="32"/>
          <w:highlight w:val="none"/>
          <w:lang w:val="en-US" w:eastAsia="zh-CN" w:bidi="ar-SA"/>
        </w:rPr>
        <w:t>①</w:t>
      </w:r>
      <w:r>
        <w:rPr>
          <w:rFonts w:hint="eastAsia" w:ascii="仿宋_GB2312" w:hAnsi="仿宋_GB2312" w:eastAsia="仿宋_GB2312" w:cs="仿宋_GB2312"/>
          <w:color w:val="auto"/>
          <w:kern w:val="0"/>
          <w:sz w:val="32"/>
          <w:szCs w:val="32"/>
          <w:highlight w:val="none"/>
          <w:lang w:val="en-US" w:eastAsia="zh-CN" w:bidi="ar-SA"/>
        </w:rPr>
        <w:t>耕地保护效率：严格落实耕地保护要求，耕地质量稳步提升</w:t>
      </w:r>
    </w:p>
    <w:p w14:paraId="39079307">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根据《石狮市2024年省级高标准农田“五化”示范建设项目（终稿）》，本项目严格遵循“不占用耕地、提升耕地质量”原则，完全符合《高标准农田建设通则》（GB/T30600-2022）中“耕地保护优先”的要求。从耕地占用情况来看，项目明确“工程建设不占用耕地”，所有灌排渠、田间道、数字化设备等设施均在现有非耕地空间或田间间隙布局，如灌排渠改建依托原有土渠线路，田间道改建利用原有路基，未新增占用项目区3100亩耕地（含水田2531.40亩、水浇地548.60亩、旱地20.00亩），土地利用结构调整表显示建设前后耕地面积保持100%占比，无耕地被挤占情况。从耕地质量提升来看，项目通过全域3100亩施用商品有机肥（符合NY525-2021标准）、灌排系统优化（灌溉保证率提升至90%、排水达标面积新增1793.06亩）等措施，将耕地质量等别从现状“国家利用综合等7.3等、国家经济综合等6.4等”提升至“国家利用综合等7.1等、国家经济综合等6.2等”（耕地质量的等级越低越好），同时新增粮食产能51.15万公斤，切实实现耕地质量与产能“双提升”，耕地保护效率达标。</w:t>
      </w:r>
    </w:p>
    <w:p w14:paraId="040B6317">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微软雅黑" w:hAnsi="微软雅黑" w:eastAsia="微软雅黑" w:cs="微软雅黑"/>
          <w:color w:val="auto"/>
          <w:kern w:val="0"/>
          <w:sz w:val="32"/>
          <w:szCs w:val="32"/>
          <w:highlight w:val="none"/>
          <w:lang w:val="en-US" w:eastAsia="zh-CN" w:bidi="ar-SA"/>
        </w:rPr>
        <w:t>②</w:t>
      </w:r>
      <w:r>
        <w:rPr>
          <w:rFonts w:hint="eastAsia" w:ascii="仿宋_GB2312" w:hAnsi="仿宋_GB2312" w:eastAsia="仿宋_GB2312" w:cs="仿宋_GB2312"/>
          <w:color w:val="auto"/>
          <w:kern w:val="0"/>
          <w:sz w:val="32"/>
          <w:szCs w:val="32"/>
          <w:highlight w:val="none"/>
          <w:lang w:val="en-US" w:eastAsia="zh-CN" w:bidi="ar-SA"/>
        </w:rPr>
        <w:t>基础设施占地效率：设施布局集约紧凑，无空间浪费</w:t>
      </w:r>
    </w:p>
    <w:p w14:paraId="73EA8343">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项目严格控制灌排、道路、数字化等基础设施占地，遵循“紧凑布局、高效利用”原则，符合《高标准农田建设通则》中“基础设施占地率不超过8%”的要求。从设施占地规模来看，项目田间基础设施占地率为0%（项目特性表明确标注），远低于标准上限：灌排渠改建6条总长1752m，采用M7.5浆砌条石结构，渠宽仅0.5m，依托原有沟渠线路减少新占空间；田间道改建2条总长718m，路面宽3m，仅在原有土路基础上硬化，未拓宽占用额外耕地；数字化设备如20套土壤墒情监测仪、23套田间摄像头均采用小型化设计，安装于田间间隙或道路两侧，单套设备占地不足1㎡；核心区彩色沥青道路宽5m，总长4962m，沿农田边缘布局，未切割连片耕地。从空间利用优化来看，项目采用“灌排结合”模式（灌排渠兼顾灌溉与排水功能），减少单独排水设施占地；田间道与灌排渠并行布置，共享田间廊道空间，如彩色沥青道路单侧同步布设洗墙灯与紫色风铃木，避免重复占地；数字化设备与灌排渠、道路结合安装（如气象监测站建于泵站旁），进一步压缩独立占地空间，基础设施整体占地集约，无浪费情况。</w:t>
      </w:r>
    </w:p>
    <w:p w14:paraId="64532E99">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default" w:ascii="Calibri" w:hAnsi="Calibri" w:eastAsia="仿宋_GB2312" w:cs="Calibri"/>
          <w:color w:val="auto"/>
          <w:kern w:val="0"/>
          <w:sz w:val="32"/>
          <w:szCs w:val="32"/>
          <w:highlight w:val="none"/>
          <w:lang w:val="en-US" w:eastAsia="zh-CN" w:bidi="ar-SA"/>
        </w:rPr>
        <w:t>③</w:t>
      </w:r>
      <w:r>
        <w:rPr>
          <w:rFonts w:hint="eastAsia" w:ascii="仿宋_GB2312" w:hAnsi="仿宋_GB2312" w:eastAsia="仿宋_GB2312" w:cs="仿宋_GB2312"/>
          <w:color w:val="auto"/>
          <w:kern w:val="0"/>
          <w:sz w:val="32"/>
          <w:szCs w:val="32"/>
          <w:highlight w:val="none"/>
          <w:lang w:val="en-US" w:eastAsia="zh-CN" w:bidi="ar-SA"/>
        </w:rPr>
        <w:t>土地复合利用效率：融合多元功能，提升土地综合价值</w:t>
      </w:r>
    </w:p>
    <w:p w14:paraId="6C95677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项目打破传统耕地“单一生产”功能定位，推动“生产+生态+景观+休闲”功能融合，显著提升土地复合利用效率，符合《高标准农田建设通则》中“统筹生产、生活、生态功能”的要求。从功能融合布局来看，生产功能方面，3100亩耕地保持水稻、蔬菜、甘薯等作物种植，通过灌排化、机械化提升生产效率；生态功能方面，排水沟采用抛石挤淤处理软基、灌排渠浆砌条石表面保留微生物栖息空间，配合全域有机肥施用，改善农田生态环境；景观功能方面，彩色沥青道路串联农田形成“520”田园步道，单侧种植1100棵紫色风铃木，沿道路布置1300盏洗墙灯，构建“四季有景”的田园景观；休闲功能方面，核心区沥青道路兼具农业生产运输与村民休闲健身功能，满足周边8.6万常住人口的休闲需求。从综合价值来看，土地复合利用使项目区从“单一农田”转变为“农旅融合节点”，既保障粮食生产（新增种植业产值298.38万元），又通过景观与休闲功能提升土地附加值，如休闲步道可带动周边农产品销售与乡村旅游发展，直接受益农户779户年增收3830元，实现土地“生产效益+生态效益+社会效益”多重价值叠加，复合利用效率显著。</w:t>
      </w:r>
    </w:p>
    <w:p w14:paraId="50D8BC7F">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综上所述，根据评分标准，该指标满分3分，得3分。</w:t>
      </w:r>
    </w:p>
    <w:p w14:paraId="41AF2BA0">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（2）乡村振兴契合度</w:t>
      </w:r>
    </w:p>
    <w:p w14:paraId="68776A02">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①产业振兴与农民增收契合度：强力支撑农业产业升级，直接提升农民收入</w:t>
      </w:r>
    </w:p>
    <w:p w14:paraId="11F0EC94">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从产业振兴来看，项目通过“五化”建设补齐农业基础设施短板，推动农业产业从“传统粗放”向“高效优质”升级。灌排化工程新建泵站1座、改建灌排渠6条及加固排水沟4条，将灌溉保证率提升至90%、灌溉水利用率提高11.2个百分点，解决282亩农田取水难题与712亩农田内涝问题，为水稻、蔬菜、甘薯等作物提供稳定生产条件，同时通过“浅、蓄、晒、湿”灌溉制度与精准灌排控制，优化作物生长环境，推动种植结构向“粮食+经济作物”多元模式升级；机械化工程改建彩色砼压花田间道2条（总长718m）、配套错车道与下田坡道，提升农机通行与作业效率，降低农业生产人工成本，为规模化种植、集约化管理奠定基础；为数字化工程搭建智慧指挥中心与监测管理平台，通过土壤墒情监测、虫情预警等功能实现精准农事指导，减少农药化肥滥用，提升农产品品质，助力打造优质农产品品牌，推动产业向“科技赋能型”转型。</w:t>
      </w:r>
    </w:p>
    <w:p w14:paraId="1AD9DDA4">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从农民增收来看，项目效益直接惠及农户。根据项目设计报告，项目建成后预计年新增粮食产能51.15万公斤、油料产能0.78万公斤、其他农产品产量18.91万公斤，新增种植业产值约298.38万元；直接受益农户约779户、农业人口约3248人，直接受益农民年纯收入增加总额约298.38万元，每户年均增收3830元。同时，机械化与数字化降低生产投入成本，生态化与田园化推动农旅融合，为农户创造间接增收渠道，切实支撑农民收入稳定提升，契合产业振兴“强产业、富农民”的核心目标。</w:t>
      </w:r>
    </w:p>
    <w:p w14:paraId="194671A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②生态宜居与景观提升契合度：显著改善农村生态环境，打造优质田园景观</w:t>
      </w:r>
    </w:p>
    <w:p w14:paraId="571CB617">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在农村生态环境改善方面，项目以生态化建设为核心，多维度修复与保护农村生态。生态化工程全域3100亩耕地施用商品有机肥（符合NY525-2021标准，有机质≥45%、总养分≥4%），配合秸秆还田、种植绿肥等措施，改良赤沙土保水保肥差、黑赤土田缺钾等土壤问题，提升耕地地力与土壤生态功能；灌排渠采用M7.5浆砌条石结构，表面小凹凸利于微生物栖息，排水沟通过抛石挤淤处理滨海围垦区软基，避免水土流失，保护农田生态系统；数字化工程的虫情监测一体机、杀虫灯等设备，减少化学农药使用量，降低农业面源污染，维护农村生态平衡，符合“生态宜居”中“保护生态、减少污染”的要求。</w:t>
      </w:r>
    </w:p>
    <w:p w14:paraId="404F49E0">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在田园景观提升方面，田园化工程打造“生产+休闲”融合的景观体系。新建/改建彩色沥青道路4962m（形成“520”田园景观休闲健身步道），单侧种植紫色风铃木1100棵（胸径10cm、高度300cm），沿道路布置1300盏三色洗墙灯，既优化农田空间布局，又构建“四季有景、夜间安全”的田园景观，改善农村人居环境风貌，增强农村“视觉吸引力”，为乡村休闲旅游发展创造条件，契合生态宜居“美环境、提风貌”的目标。</w:t>
      </w:r>
    </w:p>
    <w:p w14:paraId="5BABF4CB">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default" w:ascii="仿宋_GB2312" w:hAnsi="仿宋_GB2312" w:eastAsia="仿宋_GB2312" w:cs="仿宋_GB2312"/>
          <w:color w:val="auto"/>
          <w:kern w:val="0"/>
          <w:sz w:val="32"/>
          <w:szCs w:val="32"/>
          <w:highlight w:val="none"/>
          <w:lang w:val="en-US" w:eastAsia="zh-CN" w:bidi="ar-SA"/>
        </w:rPr>
        <w:t>③</w:t>
      </w:r>
      <w:r>
        <w:rPr>
          <w:rFonts w:hint="eastAsia" w:ascii="仿宋_GB2312" w:hAnsi="仿宋_GB2312" w:eastAsia="仿宋_GB2312" w:cs="仿宋_GB2312"/>
          <w:color w:val="auto"/>
          <w:kern w:val="0"/>
          <w:sz w:val="32"/>
          <w:szCs w:val="32"/>
          <w:highlight w:val="none"/>
          <w:lang w:val="en-US" w:eastAsia="zh-CN" w:bidi="ar-SA"/>
        </w:rPr>
        <w:t>治理有效与管护衔接契合度：构建完善后期管护机制，深度融合乡村治理体系</w:t>
      </w:r>
    </w:p>
    <w:p w14:paraId="3614F04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项目严格遵循“治理有效”要求，建立与乡村治理体系深度融合的后期管护机制，确保工程长期发挥效益。从管护机制设计来看，项目明确“市级负总责、乡镇监管、村为主体”的建后管护体系，与乡村现有“市-镇-村”三级治理架构高度契合：市级人民政府对管护负总责，统筹政策与资金；项目所在镇人民政府履行监管主体责任，负责监督管护实施；工程竣工验收后，对已规模流转的高标准农田，由专业大户、家庭农场等新型经营主体作为管护实施主体，未流转的由村委会作为管护主体，落实管护人员与责任，实现“谁受益、谁管护”，与乡村治理中“分层负责、群众参与”的原则一致。</w:t>
      </w:r>
    </w:p>
    <w:p w14:paraId="1BD196D4">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从管护措施来看，项目明确管护内容（田块、道路、灌排设施等）与标准，制定“日常巡视+专项维修”管护模式，因施工质量、机械作业、自然灾害等不同原因导致的设施损坏，分别明确整改责任主体（施工单位、损坏人、管护主体），避免责任推诿；同时，管护经费通过“财政预算+结余资金+集体经济收益”多渠道筹措，与乡村治理中“多元投入、保障运转”的资金管理逻辑适配。此外，项目鼓励村民参与施工监督（每村派1-2名村民监督员），并通过村民代表会议公示管护方案，保障村民知情权与参与权，进一步强化与乡村治理“群众自治”体系的衔接，确保项目管护融入乡村治理日常，实现“长效运维、治理有效”。</w:t>
      </w:r>
    </w:p>
    <w:p w14:paraId="4C1A0048">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综上所述，根据评分标准，该指标满分3分，得3分。</w:t>
      </w:r>
    </w:p>
    <w:p w14:paraId="3EC7E8F8">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eastAsia" w:ascii="仿宋_GB2312" w:hAnsi="仿宋_GB2312" w:eastAsia="仿宋_GB2312" w:cs="仿宋_GB2312"/>
          <w:b/>
          <w:bCs/>
          <w:color w:val="auto"/>
          <w:sz w:val="32"/>
          <w:szCs w:val="32"/>
          <w:highlight w:val="none"/>
          <w:lang w:val="en-US" w:eastAsia="zh-CN"/>
        </w:rPr>
      </w:pPr>
      <w:bookmarkStart w:id="194" w:name="_Toc839"/>
      <w:r>
        <w:rPr>
          <w:rFonts w:hint="eastAsia" w:ascii="仿宋_GB2312" w:hAnsi="仿宋_GB2312" w:eastAsia="仿宋_GB2312" w:cs="仿宋_GB2312"/>
          <w:b/>
          <w:bCs/>
          <w:color w:val="auto"/>
          <w:sz w:val="32"/>
          <w:szCs w:val="32"/>
          <w:highlight w:val="none"/>
          <w:lang w:val="en-US" w:eastAsia="zh-CN"/>
        </w:rPr>
        <w:t>3.生态效益</w:t>
      </w:r>
      <w:bookmarkEnd w:id="194"/>
    </w:p>
    <w:p w14:paraId="1142413B">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（1）耕地质量提升保障度</w:t>
      </w:r>
    </w:p>
    <w:p w14:paraId="4344E74A">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微软雅黑" w:hAnsi="微软雅黑" w:eastAsia="微软雅黑" w:cs="微软雅黑"/>
          <w:color w:val="auto"/>
          <w:kern w:val="0"/>
          <w:sz w:val="32"/>
          <w:szCs w:val="32"/>
          <w:highlight w:val="none"/>
          <w:lang w:val="en-US" w:eastAsia="zh-CN" w:bidi="ar-SA"/>
        </w:rPr>
        <w:t>①</w:t>
      </w:r>
      <w:r>
        <w:rPr>
          <w:rFonts w:hint="eastAsia" w:ascii="仿宋_GB2312" w:hAnsi="仿宋_GB2312" w:eastAsia="仿宋_GB2312" w:cs="仿宋_GB2312"/>
          <w:color w:val="auto"/>
          <w:kern w:val="0"/>
          <w:sz w:val="32"/>
          <w:szCs w:val="32"/>
          <w:highlight w:val="none"/>
          <w:lang w:val="en-US" w:eastAsia="zh-CN" w:bidi="ar-SA"/>
        </w:rPr>
        <w:t>目标匹配度：耕地质量提升目标与省级标准、项目区需求高度一致</w:t>
      </w:r>
    </w:p>
    <w:p w14:paraId="289AB9A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从与省级标准匹配来看，项目严格遵循《高标准农田建设通则》（GB/T30600-2022）及《福建省高标准农田提档升级建设指南》要求，明确耕地质量提升目标为“国家自然综合等5.1等、国家利用综合等7.1等、国家经济综合等6.2等”，与省级高标准农田“耕地质量等别不低于利用综合等7等、经济综合等6等”的核心标准完全契合；同时，目标中“灌溉保证率90%、排涝标准10年一遇1d暴雨3d排净”“土壤有机质含量提升至≥15g/kg”等细化指标，均符合省级对高标准农田耕地质量的硬性要求，无目标偏离。</w:t>
      </w:r>
    </w:p>
    <w:p w14:paraId="57817E2F">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从与项目区需求匹配来看，项目精准针对蚶江镇滨海围垦区耕地痛点设定目标：针对项目区赤沙土保水保肥差、黑赤土田缺钾（现状土壤有机质含量部分地块仅1.62%-2.42%）的问题，设定“全域3100亩施用商品有机肥”目标，旨在提升土壤肥力；针对282亩农田灌溉不足、712亩农田内涝导致耕地生产力受限的问题，设定“新增和改善灌溉达标面积236亩、排水达标面积1793.06亩”目标，解决灌排短板对耕地质量的制约；针对现状耕地国家利用综合等7.3等与农业现代化需求的差距，设定“耕地质量等别提升0.2等”目标，切实弥补项目区耕地质量短板，目标与需求高度契合。</w:t>
      </w:r>
    </w:p>
    <w:p w14:paraId="13EAF195">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微软雅黑" w:hAnsi="微软雅黑" w:eastAsia="微软雅黑" w:cs="微软雅黑"/>
          <w:color w:val="auto"/>
          <w:kern w:val="0"/>
          <w:sz w:val="32"/>
          <w:szCs w:val="32"/>
          <w:highlight w:val="none"/>
          <w:lang w:val="en-US" w:eastAsia="zh-CN" w:bidi="ar-SA"/>
        </w:rPr>
        <w:t>②</w:t>
      </w:r>
      <w:r>
        <w:rPr>
          <w:rFonts w:hint="eastAsia" w:ascii="仿宋_GB2312" w:hAnsi="仿宋_GB2312" w:eastAsia="仿宋_GB2312" w:cs="仿宋_GB2312"/>
          <w:color w:val="auto"/>
          <w:kern w:val="0"/>
          <w:sz w:val="32"/>
          <w:szCs w:val="32"/>
          <w:highlight w:val="none"/>
          <w:lang w:val="en-US" w:eastAsia="zh-CN" w:bidi="ar-SA"/>
        </w:rPr>
        <w:t>技术保障力：土壤改良、培肥、灌排优化等技术措施精准支撑质量提升目标</w:t>
      </w:r>
    </w:p>
    <w:p w14:paraId="3C6A0FD7">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a.土壤改良与培肥技术：直击土壤肥力短板</w:t>
      </w:r>
    </w:p>
    <w:p w14:paraId="3D12D2E7">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项目采用“商品有机肥施用+配套改良”组合技术，为土壤肥力提升提供核心支撑。依据项目文件，全域3100亩耕地施用符合《有机肥料》（NY525-2021）标准的商品有机肥，亩均用量297.8kg，有机质≥45%、总养分（N+P₂O₅+K₂O）≥4%，可针对性改善赤沙土“瘦”、黑赤土田“缺钾”问题，预计使土壤有机质含量提升至15g/kg以上，契合肥力提升目标；同时配套“土地翻耕+秸秆还田+种植绿肥（田菁）”辅助措施，土地翻耕增加土壤孔隙度、促进养分转化，秸秆还田与绿肥种植进一步补充土壤有机质，形成“主肥+辅措”的肥力提升体系，技术措施与“地力不降低且逐年提升”目标直接对应。</w:t>
      </w:r>
    </w:p>
    <w:p w14:paraId="7C39C0B8">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b.灌排优化技术：消除耕地生产力制约因素</w:t>
      </w:r>
    </w:p>
    <w:p w14:paraId="6309ACD1">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项目通过灌排化工程优化耕地生长环境，支撑质量提升。新建1座抽水泵站（配套IS100-90J-160离心泵），解决东南侧282亩农田进水口损坏的取水难题；改建6条M7.5浆砌条石灌排渠（总长1752m），减少土渠渗漏，提升灌溉水利用率至0.72（较现状提升11.2个百分点）；加固4条浆砌石排水沟（总长2188m），使排涝标准达到“10年一遇1d暴雨3d排净”，消除内涝对耕地的浸泡损害。灌排技术的优化，为作物生长提供稳定的水分条件，避免“旱、涝”导致的耕地生产力下降，直接支撑“耕地质量等别提升”目标。</w:t>
      </w:r>
    </w:p>
    <w:p w14:paraId="037F6F55">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default" w:ascii="Calibri" w:hAnsi="Calibri" w:eastAsia="仿宋_GB2312" w:cs="Calibri"/>
          <w:color w:val="auto"/>
          <w:kern w:val="0"/>
          <w:sz w:val="32"/>
          <w:szCs w:val="32"/>
          <w:highlight w:val="none"/>
          <w:lang w:val="en-US" w:eastAsia="zh-CN" w:bidi="ar-SA"/>
        </w:rPr>
        <w:t>③</w:t>
      </w:r>
      <w:r>
        <w:rPr>
          <w:rFonts w:hint="eastAsia" w:ascii="仿宋_GB2312" w:hAnsi="仿宋_GB2312" w:eastAsia="仿宋_GB2312" w:cs="仿宋_GB2312"/>
          <w:color w:val="auto"/>
          <w:kern w:val="0"/>
          <w:sz w:val="32"/>
          <w:szCs w:val="32"/>
          <w:highlight w:val="none"/>
          <w:lang w:val="en-US" w:eastAsia="zh-CN" w:bidi="ar-SA"/>
        </w:rPr>
        <w:t>监测完备性：耕地质量监测措施全流程跟踪效果，支撑后续优化</w:t>
      </w:r>
    </w:p>
    <w:p w14:paraId="1E2215D4">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a.监测指标与频次：覆盖质量提升核心维度</w:t>
      </w:r>
    </w:p>
    <w:p w14:paraId="2C595750">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项目构建“土壤-灌排-产能”多维度监测体系，跟踪耕地质量提升效果。土壤监测方面，依托20套土壤墒情监测设备（分布于项目区不同地块），实时监测土壤含水量、pH值、电导率等指标，每30分钟采集1次数据，掌握土壤肥力与理化性状变化；灌排监测方面，通过6把量水尺、2套超声波流量计，监测灌溉水量与排水效率，验证灌排优化对耕地水分环境的改善效果；产能监测方面，定期对水稻、蔬菜等作物进行测产，记录粮食产能（预计新增51.15万公斤）、油料产能（新增0.78万公斤）等数据，间接反映耕地质量提升成效。监测指标覆盖“土壤质量-生长环境-产出能力”核心维度，频次满足“实时+定期”的跟踪需求。</w:t>
      </w:r>
    </w:p>
    <w:p w14:paraId="022E3A4E">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b.监测数据应用：支撑后续管护优化</w:t>
      </w:r>
    </w:p>
    <w:p w14:paraId="09A80C45">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项目监测数据通过“智慧指挥中心机房+数字化管理平台”实现归集与分析，一方面可实时对比“现状值与目标值”（如土壤有机质含量是否达标、灌排效率是否符合标准），若发现偏差（如局部地块墒情异常），可及时调整管护措施（如补充灌溉、追加有机肥）；另一方面，监测数据归档形成耕地质量变化台账，为后续项目区“针对性改良”提供依据（如某区域黑赤土田缺钾问题未改善，可调整钾肥配比），形成“监测-分析-优化”的闭环，确保耕地质量提升效果可跟踪、后续优化有支撑，符合《高标准农田建设通则》中“耕地质量动态监测”的要求。</w:t>
      </w:r>
    </w:p>
    <w:p w14:paraId="61622925">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综上所述，根据评分标准，该指标满分6分，得6分。</w:t>
      </w:r>
    </w:p>
    <w:p w14:paraId="670AA98A">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eastAsia" w:ascii="仿宋_GB2312" w:hAnsi="仿宋_GB2312" w:eastAsia="仿宋_GB2312" w:cs="仿宋_GB2312"/>
          <w:b/>
          <w:bCs/>
          <w:color w:val="auto"/>
          <w:sz w:val="32"/>
          <w:szCs w:val="32"/>
          <w:highlight w:val="none"/>
          <w:lang w:val="en-US" w:eastAsia="zh-CN"/>
        </w:rPr>
      </w:pPr>
      <w:bookmarkStart w:id="195" w:name="_Toc28639"/>
      <w:r>
        <w:rPr>
          <w:rFonts w:hint="eastAsia" w:ascii="仿宋_GB2312" w:hAnsi="仿宋_GB2312" w:eastAsia="仿宋_GB2312" w:cs="仿宋_GB2312"/>
          <w:b/>
          <w:bCs/>
          <w:color w:val="auto"/>
          <w:sz w:val="32"/>
          <w:szCs w:val="32"/>
          <w:highlight w:val="none"/>
          <w:lang w:val="en-US" w:eastAsia="zh-CN"/>
        </w:rPr>
        <w:t>4.可持续性发展效益</w:t>
      </w:r>
      <w:bookmarkEnd w:id="195"/>
    </w:p>
    <w:p w14:paraId="3D2CCD0A">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（1）后期管护机制设计完备率</w:t>
      </w:r>
    </w:p>
    <w:p w14:paraId="4B317A6E">
      <w:pPr>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①管护主体与职责完备性：“谁来管、管什么”明确界定，无责任真空</w:t>
      </w:r>
    </w:p>
    <w:p w14:paraId="14591FB9">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项目依据《石狮市2024年省级高标准农田“五化”示范建设项目（终稿）》，构建“分层负责、主体清晰”的管护体系，明确“谁来管”与“管什么”，无责任盲区。</w:t>
      </w:r>
    </w:p>
    <w:p w14:paraId="48FD2C3F">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从“谁来管”来看，项目建立“市级负总责、乡镇监管、村为主体”的三级管护架构：市级人民政府对建后管护负总责，统筹政策制定与整体协调；项目所在镇人民政府履行监管主体责任，负责监督管护实施、核查管护成效；工程竣工验收后，按土地流转情况明确管护实施主体——已规模流转的高标准农田，由取得土地经营权的专业大户、家庭农场、专业合作社等新型农业经营主体负责；未流转的高标准农田，由所在村委会作为管护主体，并落实专职管护人员，确保每个管护环节均有明确责任主体。</w:t>
      </w:r>
    </w:p>
    <w:p w14:paraId="2A61F8B2">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从“管什么”来看，项目明确界定全品类设施管护内容与标准：田块管护需保持土地用途不改变、田面平整、地力不降低，减少化肥与不可降解农药使用；田间道路管护需维持路面平整畅通、无杂草杂物；灌排与农田防护设施管护需定期巡查沟渠、涵洞、挡墙等，及时除草清淤，确保灌排功能正常；数字化设备（如气象监测站、土壤墒情监测仪）需定期检修校准，保障数据传输稳定；同时要求区内各类项目公示牌完好无损。此外，针对不同损坏原因明确责任归属——施工质量不达标导致的损坏由施工单位负责整改，机械作业或人为损坏由责任人承担维修费用，年久老化或自然灾害损坏由管护主体统筹处理，无责任推诿空间。</w:t>
      </w:r>
    </w:p>
    <w:p w14:paraId="70EB5D12">
      <w:pPr>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②管护资金与渠道完备性：“钱从哪来、怎么用”清晰规范，无资金缺口</w:t>
      </w:r>
    </w:p>
    <w:p w14:paraId="3B1CCB2D">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项目依据相关要求，明确管护资金筹措渠道与使用规范，确保“钱从哪来”有路径、“怎么用”有标准，无资金保障盲区。从“钱从哪来”来看，项目设计多渠道资金筹措机制：一是财政补助渠道，未流转农田的管护主体可向乡镇、市级申请财政预算安排建后管护与灾毁修复经费，已流转农田管护费用由经营主体自行承担，符合省级高标准农田资金补助逻辑；二是结余与收益渠道，可通过项目结余资金、新增耕地指标交易收益、村组集体经济收益等补充管护资金，拓宽资金来源；三是保险补充渠道，鼓励保险机构开发高标准农田管护相关农业保险产品，引导管护主体购买，降低灾毁修复资金压力。多渠道组合确保管护资金可持续，无单一依赖导致的资金缺口风险。</w:t>
      </w:r>
    </w:p>
    <w:p w14:paraId="52561825">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从“怎么用”来看，项目明确资金使用规范：管护资金需专项用于设施日常巡查、维修养护（如沟渠清淤、道路修补、设备更换），不得挤占挪用；资金拨付与使用需按“市级报账制”执行，由项目主管部门审核开支，确保票据齐备、账目清晰，经监理签证、乡镇管理人员确认后方可列支；工程竣工后，财政、审计部门需对资金使用情况进行审计，核定竣工结算，确保资金使用合规高效，符合《高标准农田建设通则》（GB/T30600-2022）中“管护资金专款专用”的要求。</w:t>
      </w:r>
    </w:p>
    <w:p w14:paraId="192123BC">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default" w:ascii="仿宋_GB2312" w:hAnsi="仿宋_GB2312" w:eastAsia="仿宋_GB2312" w:cs="仿宋_GB2312"/>
          <w:color w:val="auto"/>
          <w:kern w:val="0"/>
          <w:sz w:val="32"/>
          <w:szCs w:val="32"/>
          <w:highlight w:val="none"/>
          <w:lang w:val="en-US" w:eastAsia="zh-CN" w:bidi="ar-SA"/>
        </w:rPr>
        <w:t>③</w:t>
      </w:r>
      <w:r>
        <w:rPr>
          <w:rFonts w:hint="eastAsia" w:ascii="仿宋_GB2312" w:hAnsi="仿宋_GB2312" w:eastAsia="仿宋_GB2312" w:cs="仿宋_GB2312"/>
          <w:color w:val="auto"/>
          <w:kern w:val="0"/>
          <w:sz w:val="32"/>
          <w:szCs w:val="32"/>
          <w:highlight w:val="none"/>
          <w:lang w:val="en-US" w:eastAsia="zh-CN" w:bidi="ar-SA"/>
        </w:rPr>
        <w:t>管护流程与监督完备性：“怎么管、怎么监督”规范闭环，无管理漏洞</w:t>
      </w:r>
    </w:p>
    <w:p w14:paraId="5544796B">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项目设计“日常管护-专项处置-监督考核”全流程闭环机制，明确“怎么管”的操作规范与“怎么监督”的保障措施，确保管护落地见效。</w:t>
      </w:r>
    </w:p>
    <w:p w14:paraId="78511579">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从“怎么管”的流程来看，项目建立“日常巡查-问题处置-记录归档”规范流程：管护主体需定期开展日常巡查（如每周1次田间道路与灌排设施检查、每月1次数字化设备校准），发现问题及时分类处置——轻微损坏（如路面小坑洼）由管护人员现场修复，严重损坏（如沟渠坍塌、设备故障）需制定专项维修方案，报乡镇监管部门备案后实施；所有管护行为需做好纸质与影像记录，归档至项目管理档案，实现“管护有痕迹、问题可追溯”，符合项目报告中“规范化记录项目建设与管护”的要求。</w:t>
      </w:r>
    </w:p>
    <w:p w14:paraId="28544654">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从“怎么监督”的闭环机制来看，项目构建多层级监督体系：一是群众监督，项目施工阶段派村民监督员全程参与，管护阶段通过村务公开栏公示管护计划与资金使用情况，保障村民知情权与监督权；二是乡镇监管，镇人民政府定期（每季度1次）核查管护成效，对照管护标准验收维修工程；三是市级督查，市农业农村、财政等部门不定期开展抽查，对管护不到位的主体责令限期整改，逾期未整改的依规处理；四是长效考核，将管护成效纳入乡镇乡村振兴考核体系，与后续项目申报、资金补助挂钩，形成“监督-整改-考核-激励”的闭环，确保管护机制长期有效运行，无监督缺位导致的管理漏洞。</w:t>
      </w:r>
    </w:p>
    <w:p w14:paraId="345C5914">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综上所述，根据评分标准，该指标满分3分，得3分。</w:t>
      </w:r>
    </w:p>
    <w:p w14:paraId="2F5DE2DD">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2"/>
        <w:rPr>
          <w:rFonts w:hint="eastAsia" w:ascii="仿宋_GB2312" w:hAnsi="仿宋_GB2312" w:eastAsia="仿宋_GB2312" w:cs="仿宋_GB2312"/>
          <w:b/>
          <w:bCs/>
          <w:color w:val="auto"/>
          <w:sz w:val="32"/>
          <w:szCs w:val="32"/>
          <w:highlight w:val="none"/>
          <w:lang w:val="en-US" w:eastAsia="zh-CN"/>
        </w:rPr>
      </w:pPr>
      <w:bookmarkStart w:id="196" w:name="_Toc13453"/>
      <w:r>
        <w:rPr>
          <w:rFonts w:hint="eastAsia" w:ascii="仿宋_GB2312" w:hAnsi="仿宋_GB2312" w:eastAsia="仿宋_GB2312" w:cs="仿宋_GB2312"/>
          <w:b/>
          <w:bCs/>
          <w:color w:val="auto"/>
          <w:sz w:val="32"/>
          <w:szCs w:val="32"/>
          <w:highlight w:val="none"/>
          <w:lang w:val="en-US" w:eastAsia="zh-CN"/>
        </w:rPr>
        <w:t>5.满意度</w:t>
      </w:r>
      <w:bookmarkEnd w:id="196"/>
    </w:p>
    <w:p w14:paraId="5283FE97">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3"/>
        <w:rPr>
          <w:rFonts w:hint="eastAsia" w:ascii="仿宋_GB2312" w:hAnsi="仿宋_GB2312" w:eastAsia="仿宋_GB2312" w:cs="仿宋_GB2312"/>
          <w:color w:val="auto"/>
          <w:kern w:val="0"/>
          <w:sz w:val="32"/>
          <w:szCs w:val="32"/>
          <w:highlight w:val="yellow"/>
          <w:lang w:val="en-US" w:eastAsia="zh-CN" w:bidi="ar-SA"/>
        </w:rPr>
      </w:pPr>
      <w:r>
        <w:rPr>
          <w:rFonts w:hint="eastAsia" w:ascii="仿宋_GB2312" w:hAnsi="仿宋_GB2312" w:eastAsia="仿宋_GB2312" w:cs="仿宋_GB2312"/>
          <w:color w:val="auto"/>
          <w:kern w:val="0"/>
          <w:sz w:val="32"/>
          <w:szCs w:val="32"/>
          <w:highlight w:val="none"/>
          <w:lang w:val="en-US" w:eastAsia="zh-CN" w:bidi="ar-SA"/>
        </w:rPr>
        <w:t>（1）调研沟通满意度</w:t>
      </w:r>
    </w:p>
    <w:p w14:paraId="54E5A64B">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本次满意度调查对象主要是项目实施前实地调研和征求意见的当地群众。根据问卷调查统计结果（有效问卷58份），石狮市高标准农田建设（一期）“五化”示范项目前期整体满意度为96.43%，指标分值2分，得分2分。</w:t>
      </w:r>
    </w:p>
    <w:p w14:paraId="039B6DE7">
      <w:pPr>
        <w:keepNext w:val="0"/>
        <w:keepLines w:val="0"/>
        <w:pageBreakBefore w:val="0"/>
        <w:widowControl w:val="0"/>
        <w:numPr>
          <w:ilvl w:val="0"/>
          <w:numId w:val="0"/>
        </w:numPr>
        <w:shd w:val="clear" w:fill="FFFFFF" w:themeFill="background1"/>
        <w:kinsoku/>
        <w:wordWrap/>
        <w:overflowPunct w:val="0"/>
        <w:topLinePunct w:val="0"/>
        <w:autoSpaceDE w:val="0"/>
        <w:autoSpaceDN w:val="0"/>
        <w:bidi w:val="0"/>
        <w:adjustRightInd w:val="0"/>
        <w:snapToGrid/>
        <w:spacing w:line="240" w:lineRule="auto"/>
        <w:ind w:firstLine="200" w:firstLineChars="200"/>
        <w:jc w:val="both"/>
        <w:textAlignment w:val="baseline"/>
        <w:outlineLvl w:val="9"/>
        <w:rPr>
          <w:rFonts w:hint="eastAsia" w:ascii="仿宋_GB2312" w:hAnsi="仿宋_GB2312" w:eastAsia="仿宋_GB2312" w:cs="仿宋_GB2312"/>
          <w:color w:val="auto"/>
          <w:kern w:val="2"/>
          <w:sz w:val="10"/>
          <w:szCs w:val="10"/>
          <w:lang w:val="en-US" w:eastAsia="zh-CN" w:bidi="ar-SA"/>
        </w:rPr>
      </w:pPr>
    </w:p>
    <w:p w14:paraId="7009274C">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0"/>
        <w:rPr>
          <w:rFonts w:hint="eastAsia" w:ascii="仿宋_GB2312" w:hAnsi="仿宋_GB2312" w:eastAsia="仿宋_GB2312" w:cs="仿宋_GB2312"/>
          <w:color w:val="auto"/>
          <w:kern w:val="2"/>
          <w:sz w:val="32"/>
          <w:szCs w:val="32"/>
          <w:lang w:val="en-US" w:eastAsia="zh-CN" w:bidi="ar-SA"/>
        </w:rPr>
      </w:pPr>
      <w:bookmarkStart w:id="197" w:name="_Toc26704"/>
      <w:r>
        <w:rPr>
          <w:rFonts w:hint="eastAsia" w:ascii="黑体" w:hAnsi="黑体" w:eastAsia="黑体" w:cs="黑体"/>
          <w:b/>
          <w:bCs/>
          <w:color w:val="auto"/>
          <w:sz w:val="32"/>
          <w:szCs w:val="32"/>
          <w:lang w:val="en-US" w:eastAsia="zh-CN"/>
        </w:rPr>
        <w:t>五、主要问题及建议</w:t>
      </w:r>
      <w:bookmarkEnd w:id="197"/>
    </w:p>
    <w:p w14:paraId="311FA26A">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1"/>
        <w:rPr>
          <w:rFonts w:hint="eastAsia" w:ascii="楷体_GB2312" w:hAnsi="楷体_GB2312" w:eastAsia="楷体_GB2312" w:cs="楷体_GB2312"/>
          <w:b/>
          <w:bCs/>
          <w:color w:val="auto"/>
          <w:sz w:val="32"/>
          <w:szCs w:val="32"/>
          <w:highlight w:val="none"/>
          <w:lang w:val="en-US" w:eastAsia="zh-CN"/>
        </w:rPr>
      </w:pPr>
      <w:bookmarkStart w:id="198" w:name="_Toc9235"/>
      <w:r>
        <w:rPr>
          <w:rFonts w:hint="eastAsia" w:ascii="楷体_GB2312" w:hAnsi="楷体_GB2312" w:eastAsia="楷体_GB2312" w:cs="楷体_GB2312"/>
          <w:b/>
          <w:bCs/>
          <w:color w:val="auto"/>
          <w:sz w:val="32"/>
          <w:szCs w:val="32"/>
          <w:highlight w:val="none"/>
          <w:lang w:val="en-US" w:eastAsia="zh-CN"/>
        </w:rPr>
        <w:t>（一）主要问题</w:t>
      </w:r>
      <w:bookmarkEnd w:id="198"/>
    </w:p>
    <w:p w14:paraId="3D3C60A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2"/>
        <w:rPr>
          <w:rFonts w:hint="eastAsia" w:ascii="仿宋_GB2312" w:hAnsi="仿宋_GB2312" w:eastAsia="仿宋_GB2312" w:cs="仿宋_GB2312"/>
          <w:color w:val="auto"/>
          <w:kern w:val="0"/>
          <w:sz w:val="32"/>
          <w:szCs w:val="32"/>
          <w:highlight w:val="none"/>
          <w:lang w:val="en-US" w:eastAsia="zh-CN" w:bidi="ar-SA"/>
        </w:rPr>
      </w:pPr>
      <w:bookmarkStart w:id="199" w:name="_Toc5720"/>
      <w:r>
        <w:rPr>
          <w:rFonts w:hint="eastAsia" w:ascii="仿宋_GB2312" w:hAnsi="仿宋_GB2312" w:eastAsia="仿宋_GB2312" w:cs="仿宋_GB2312"/>
          <w:color w:val="auto"/>
          <w:kern w:val="0"/>
          <w:sz w:val="32"/>
          <w:szCs w:val="32"/>
          <w:highlight w:val="none"/>
          <w:lang w:val="en-US" w:eastAsia="zh-CN" w:bidi="ar-SA"/>
        </w:rPr>
        <w:t>1.项目进度严重滞后，关键环节推进受阻</w:t>
      </w:r>
      <w:bookmarkEnd w:id="199"/>
    </w:p>
    <w:p w14:paraId="2934CC0B">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设计环节延误：设计单位中标后，合同约定“60天内完成项目设计送审”，但实际设计终稿编制耗时超7个月，截至2025年7月仍处于调整阶段，滞后超150天，远超常规高标准农田项目4-6个月的设计周期，直接导致后续流程无法启动。</w:t>
      </w:r>
    </w:p>
    <w:p w14:paraId="45AE3ECA">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（2）招投标工作未完成：截至2025年7月，项目尚未完成工程招投标工作，导致施工、设备采购等核心建设环节无法推进，整体建设周期大幅延长，影响高标准农田尽早发挥效益。</w:t>
      </w:r>
    </w:p>
    <w:p w14:paraId="1F66C24F">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2"/>
        <w:rPr>
          <w:rFonts w:hint="eastAsia" w:ascii="仿宋_GB2312" w:hAnsi="仿宋_GB2312" w:eastAsia="仿宋_GB2312" w:cs="仿宋_GB2312"/>
          <w:color w:val="auto"/>
          <w:kern w:val="0"/>
          <w:sz w:val="32"/>
          <w:szCs w:val="32"/>
          <w:highlight w:val="none"/>
          <w:lang w:val="en-US" w:eastAsia="zh-CN" w:bidi="ar-SA"/>
        </w:rPr>
      </w:pPr>
      <w:bookmarkStart w:id="200" w:name="_Toc3786"/>
      <w:r>
        <w:rPr>
          <w:rFonts w:hint="eastAsia" w:ascii="仿宋_GB2312" w:hAnsi="仿宋_GB2312" w:eastAsia="仿宋_GB2312" w:cs="仿宋_GB2312"/>
          <w:color w:val="auto"/>
          <w:kern w:val="0"/>
          <w:sz w:val="32"/>
          <w:szCs w:val="32"/>
          <w:highlight w:val="none"/>
          <w:lang w:val="en-US" w:eastAsia="zh-CN" w:bidi="ar-SA"/>
        </w:rPr>
        <w:t>2.资金管理存在漏洞，使用效率与风险管控不足</w:t>
      </w:r>
      <w:bookmarkEnd w:id="200"/>
    </w:p>
    <w:p w14:paraId="0D59D38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（1）预算执行率为0%：项目上级财政到位资金1240万元，但因进度滞后仍处于施工招标阶段，未发生任何资金支出，预算执行率为0，财政资金闲置，未实现“及时使用、高效配置”的要求。</w:t>
      </w:r>
    </w:p>
    <w:p w14:paraId="740023E4">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资金监控机制缺失：未建立“资金使用进度-项目工期”联动监控机制，未每月核查资金使用与工期的匹配度，也未制定“资金延期申请”“施工阶段资金提速拨付”等应急方案，存在中央及省级农田建设资金因逾期使用被收回的风险，造成财政资源浪费。</w:t>
      </w:r>
    </w:p>
    <w:p w14:paraId="6C0D060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2"/>
        <w:rPr>
          <w:rFonts w:hint="eastAsia" w:ascii="仿宋_GB2312" w:hAnsi="仿宋_GB2312" w:eastAsia="仿宋_GB2312" w:cs="仿宋_GB2312"/>
          <w:color w:val="auto"/>
          <w:kern w:val="0"/>
          <w:sz w:val="32"/>
          <w:szCs w:val="32"/>
          <w:highlight w:val="none"/>
          <w:lang w:val="en-US" w:eastAsia="zh-CN" w:bidi="ar-SA"/>
        </w:rPr>
      </w:pPr>
      <w:bookmarkStart w:id="201" w:name="_Toc14302"/>
      <w:r>
        <w:rPr>
          <w:rFonts w:hint="eastAsia" w:ascii="仿宋_GB2312" w:hAnsi="仿宋_GB2312" w:eastAsia="仿宋_GB2312" w:cs="仿宋_GB2312"/>
          <w:color w:val="auto"/>
          <w:kern w:val="0"/>
          <w:sz w:val="32"/>
          <w:szCs w:val="32"/>
          <w:highlight w:val="none"/>
          <w:lang w:val="en-US" w:eastAsia="zh-CN" w:bidi="ar-SA"/>
        </w:rPr>
        <w:t>3.组织实施不规范，核心环节管控缺位</w:t>
      </w:r>
      <w:bookmarkEnd w:id="201"/>
    </w:p>
    <w:p w14:paraId="2DC6AC31">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设计单位遴选标准不合理：设计单位选择仅围绕法定代表人资格证明、营业执照、报价等基础材料评审，未纳入“过往高标准农田项目业绩、技术方案思路、专职人员履历”等核心能力维度，未建立“技术+商务+信誉”综合评价体系，仅以单一报价作为重要参考，门槛偏低，难以保障设计单位履约能力与项目适配性。</w:t>
      </w:r>
    </w:p>
    <w:p w14:paraId="36E6FDF7">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（2）合同约束效力未落地：设计单位逾期交付设计方案超5个月，合同中虽明确逾期违约金条款，但主管单位及委托单位未采取“追索违约金、下发整改通知”等追责措施，合同约定未有效执行，无法形成约束。</w:t>
      </w:r>
    </w:p>
    <w:p w14:paraId="1567FE9D">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3）压缩工期后质量管控空白：项目原施工周期360天，压缩后为180天（压缩率50%），但未按《高标准农田建设通则》要求制定《压缩工期质量管控专项方案》，未增加质量巡检频次，也未引入第三方质量抽检，存在“赶工期导致偷工减料、工艺简化”的质量风险，与“五化”示范项目质量标准脱节。</w:t>
      </w:r>
    </w:p>
    <w:p w14:paraId="6AA7CC52">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2"/>
        <w:rPr>
          <w:rFonts w:hint="eastAsia" w:ascii="仿宋_GB2312" w:hAnsi="仿宋_GB2312" w:eastAsia="仿宋_GB2312" w:cs="仿宋_GB2312"/>
          <w:color w:val="auto"/>
          <w:kern w:val="0"/>
          <w:sz w:val="32"/>
          <w:szCs w:val="32"/>
          <w:highlight w:val="none"/>
          <w:lang w:val="en-US" w:eastAsia="zh-CN" w:bidi="ar-SA"/>
        </w:rPr>
      </w:pPr>
      <w:bookmarkStart w:id="202" w:name="_Toc17624"/>
      <w:r>
        <w:rPr>
          <w:rFonts w:hint="eastAsia" w:ascii="仿宋_GB2312" w:hAnsi="仿宋_GB2312" w:eastAsia="仿宋_GB2312" w:cs="仿宋_GB2312"/>
          <w:color w:val="auto"/>
          <w:kern w:val="0"/>
          <w:sz w:val="32"/>
          <w:szCs w:val="32"/>
          <w:highlight w:val="none"/>
          <w:lang w:val="en-US" w:eastAsia="zh-CN" w:bidi="ar-SA"/>
        </w:rPr>
        <w:t>4.绩效目标设置不科学，指标明确性不足</w:t>
      </w:r>
      <w:bookmarkEnd w:id="202"/>
    </w:p>
    <w:p w14:paraId="47B6EB8E">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在效益指标中，扶持农业产业配套基础设施项目指标以“显著改善”作为衡量标准，过于模糊和定性，缺乏具体的量化方式，导致难以确切判断其与项目目标任务数或计划数的契合程度，不能清晰地反映该效益目标在项目实施过程中的达成情况，其次，资金使用重大违纪违规问题指标通常应当用于衡量资金使用过程中“是否违反法规/制度”，聚焦“风险控制与合规性”，多为“底线要求”指标，若将该指标归为“效益”，会混淆“不犯错是基本要求”与“做得好是增值目标”的逻辑，导致指标体系失去对“真正效益”的聚焦。</w:t>
      </w:r>
    </w:p>
    <w:p w14:paraId="08BCDD52">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1"/>
        <w:rPr>
          <w:rFonts w:hint="eastAsia" w:ascii="仿宋_GB2312" w:hAnsi="仿宋_GB2312" w:eastAsia="仿宋_GB2312" w:cs="仿宋_GB2312"/>
          <w:color w:val="auto"/>
          <w:kern w:val="2"/>
          <w:sz w:val="32"/>
          <w:szCs w:val="32"/>
          <w:highlight w:val="none"/>
          <w:lang w:val="en-US" w:eastAsia="zh-CN" w:bidi="ar-SA"/>
        </w:rPr>
      </w:pPr>
      <w:bookmarkStart w:id="203" w:name="_Toc1786"/>
      <w:r>
        <w:rPr>
          <w:rFonts w:hint="eastAsia" w:ascii="楷体_GB2312" w:hAnsi="楷体_GB2312" w:eastAsia="楷体_GB2312" w:cs="楷体_GB2312"/>
          <w:b/>
          <w:bCs/>
          <w:color w:val="auto"/>
          <w:sz w:val="32"/>
          <w:szCs w:val="32"/>
          <w:highlight w:val="none"/>
          <w:lang w:val="en-US" w:eastAsia="zh-CN"/>
        </w:rPr>
        <w:t>（二）有关建议</w:t>
      </w:r>
      <w:bookmarkEnd w:id="203"/>
    </w:p>
    <w:p w14:paraId="0C4C3A6A">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2"/>
        <w:rPr>
          <w:rFonts w:hint="default" w:ascii="仿宋_GB2312" w:hAnsi="仿宋_GB2312" w:eastAsia="仿宋_GB2312" w:cs="仿宋_GB2312"/>
          <w:color w:val="auto"/>
          <w:kern w:val="0"/>
          <w:sz w:val="32"/>
          <w:szCs w:val="32"/>
          <w:highlight w:val="none"/>
          <w:lang w:val="en-US" w:eastAsia="zh-CN" w:bidi="ar-SA"/>
        </w:rPr>
      </w:pPr>
      <w:bookmarkStart w:id="204" w:name="_Toc16463"/>
      <w:r>
        <w:rPr>
          <w:rFonts w:hint="eastAsia" w:ascii="仿宋_GB2312" w:hAnsi="仿宋_GB2312" w:eastAsia="仿宋_GB2312" w:cs="仿宋_GB2312"/>
          <w:color w:val="auto"/>
          <w:kern w:val="0"/>
          <w:sz w:val="32"/>
          <w:szCs w:val="32"/>
          <w:highlight w:val="none"/>
          <w:lang w:val="en-US" w:eastAsia="zh-CN" w:bidi="ar-SA"/>
        </w:rPr>
        <w:t>1.</w:t>
      </w:r>
      <w:r>
        <w:rPr>
          <w:rFonts w:hint="default" w:ascii="仿宋_GB2312" w:hAnsi="仿宋_GB2312" w:eastAsia="仿宋_GB2312" w:cs="仿宋_GB2312"/>
          <w:color w:val="auto"/>
          <w:kern w:val="0"/>
          <w:sz w:val="32"/>
          <w:szCs w:val="32"/>
          <w:highlight w:val="none"/>
          <w:lang w:val="en-US" w:eastAsia="zh-CN" w:bidi="ar-SA"/>
        </w:rPr>
        <w:t>强化进度管控，推动项目高效落地</w:t>
      </w:r>
      <w:bookmarkEnd w:id="204"/>
    </w:p>
    <w:p w14:paraId="39CABD2E">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w:t>
      </w:r>
      <w:r>
        <w:rPr>
          <w:rFonts w:hint="default" w:ascii="仿宋_GB2312" w:hAnsi="仿宋_GB2312" w:eastAsia="仿宋_GB2312" w:cs="仿宋_GB2312"/>
          <w:color w:val="auto"/>
          <w:kern w:val="0"/>
          <w:sz w:val="32"/>
          <w:szCs w:val="32"/>
          <w:highlight w:val="none"/>
          <w:lang w:val="en-US" w:eastAsia="zh-CN" w:bidi="ar-SA"/>
        </w:rPr>
        <w:t>建立设计进度刚性约束机制：明确设计各阶段（初稿、评审、终稿）的时间节点，</w:t>
      </w:r>
      <w:r>
        <w:rPr>
          <w:rFonts w:hint="eastAsia" w:ascii="仿宋_GB2312" w:hAnsi="仿宋_GB2312" w:eastAsia="仿宋_GB2312" w:cs="仿宋_GB2312"/>
          <w:color w:val="auto"/>
          <w:kern w:val="0"/>
          <w:sz w:val="32"/>
          <w:szCs w:val="32"/>
          <w:highlight w:val="none"/>
          <w:lang w:val="en-US" w:eastAsia="zh-CN" w:bidi="ar-SA"/>
        </w:rPr>
        <w:t>按照合同</w:t>
      </w:r>
      <w:r>
        <w:rPr>
          <w:rFonts w:hint="default" w:ascii="仿宋_GB2312" w:hAnsi="仿宋_GB2312" w:eastAsia="仿宋_GB2312" w:cs="仿宋_GB2312"/>
          <w:color w:val="auto"/>
          <w:kern w:val="0"/>
          <w:sz w:val="32"/>
          <w:szCs w:val="32"/>
          <w:highlight w:val="none"/>
          <w:lang w:val="en-US" w:eastAsia="zh-CN" w:bidi="ar-SA"/>
        </w:rPr>
        <w:t>约定</w:t>
      </w:r>
      <w:r>
        <w:rPr>
          <w:rFonts w:hint="eastAsia" w:ascii="仿宋_GB2312" w:hAnsi="仿宋_GB2312" w:eastAsia="仿宋_GB2312" w:cs="仿宋_GB2312"/>
          <w:color w:val="auto"/>
          <w:kern w:val="0"/>
          <w:sz w:val="32"/>
          <w:szCs w:val="32"/>
          <w:highlight w:val="none"/>
          <w:lang w:val="en-US" w:eastAsia="zh-CN" w:bidi="ar-SA"/>
        </w:rPr>
        <w:t>要求严格</w:t>
      </w:r>
      <w:r>
        <w:rPr>
          <w:rFonts w:hint="default" w:ascii="仿宋_GB2312" w:hAnsi="仿宋_GB2312" w:eastAsia="仿宋_GB2312" w:cs="仿宋_GB2312"/>
          <w:color w:val="auto"/>
          <w:kern w:val="0"/>
          <w:sz w:val="32"/>
          <w:szCs w:val="32"/>
          <w:highlight w:val="none"/>
          <w:lang w:val="en-US" w:eastAsia="zh-CN" w:bidi="ar-SA"/>
        </w:rPr>
        <w:t>收取违约金，逾期未整改的更换设计单位，确保设计终稿尽快定稿。</w:t>
      </w:r>
    </w:p>
    <w:p w14:paraId="7A8D5CC4">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default" w:ascii="仿宋_GB2312" w:hAnsi="仿宋_GB2312" w:eastAsia="仿宋_GB2312" w:cs="仿宋_GB2312"/>
          <w:color w:val="auto"/>
          <w:kern w:val="0"/>
          <w:sz w:val="32"/>
          <w:szCs w:val="32"/>
          <w:highlight w:val="none"/>
          <w:lang w:val="en-US" w:eastAsia="zh-CN" w:bidi="ar-SA"/>
        </w:rPr>
        <w:t>2.加快招投标流程推进：由石狮市福狮振兴乡村投资发展有限公司牵头，在设计终稿确定后15个工作日内完成招标代理机构遴选，30个工作日内完成招标文件编制与备案，同步在法定交易平台发布招标公告，确保2个月内完成招投标并确定施工单位，压缩流程耗时。</w:t>
      </w:r>
    </w:p>
    <w:p w14:paraId="13935B3E">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2"/>
        <w:rPr>
          <w:rFonts w:hint="default" w:ascii="仿宋_GB2312" w:hAnsi="仿宋_GB2312" w:eastAsia="仿宋_GB2312" w:cs="仿宋_GB2312"/>
          <w:color w:val="auto"/>
          <w:kern w:val="0"/>
          <w:sz w:val="32"/>
          <w:szCs w:val="32"/>
          <w:highlight w:val="none"/>
          <w:lang w:val="en-US" w:eastAsia="zh-CN" w:bidi="ar-SA"/>
        </w:rPr>
      </w:pPr>
      <w:bookmarkStart w:id="205" w:name="_Toc9298"/>
      <w:r>
        <w:rPr>
          <w:rFonts w:hint="eastAsia" w:ascii="仿宋_GB2312" w:hAnsi="仿宋_GB2312" w:eastAsia="仿宋_GB2312" w:cs="仿宋_GB2312"/>
          <w:color w:val="auto"/>
          <w:kern w:val="0"/>
          <w:sz w:val="32"/>
          <w:szCs w:val="32"/>
          <w:highlight w:val="none"/>
          <w:lang w:val="en-US" w:eastAsia="zh-CN" w:bidi="ar-SA"/>
        </w:rPr>
        <w:t>2.</w:t>
      </w:r>
      <w:r>
        <w:rPr>
          <w:rFonts w:hint="default" w:ascii="仿宋_GB2312" w:hAnsi="仿宋_GB2312" w:eastAsia="仿宋_GB2312" w:cs="仿宋_GB2312"/>
          <w:color w:val="auto"/>
          <w:kern w:val="0"/>
          <w:sz w:val="32"/>
          <w:szCs w:val="32"/>
          <w:highlight w:val="none"/>
          <w:lang w:val="en-US" w:eastAsia="zh-CN" w:bidi="ar-SA"/>
        </w:rPr>
        <w:t>优化资金管理，提升使用效率与风险防控能力</w:t>
      </w:r>
      <w:bookmarkEnd w:id="205"/>
    </w:p>
    <w:p w14:paraId="6985BAC0">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w:t>
      </w:r>
      <w:r>
        <w:rPr>
          <w:rFonts w:hint="default" w:ascii="仿宋_GB2312" w:hAnsi="仿宋_GB2312" w:eastAsia="仿宋_GB2312" w:cs="仿宋_GB2312"/>
          <w:color w:val="auto"/>
          <w:kern w:val="0"/>
          <w:sz w:val="32"/>
          <w:szCs w:val="32"/>
          <w:highlight w:val="none"/>
          <w:lang w:val="en-US" w:eastAsia="zh-CN" w:bidi="ar-SA"/>
        </w:rPr>
        <w:t>建立“资金-工期”联动监控机制：由石狮市农业农村局</w:t>
      </w:r>
      <w:r>
        <w:rPr>
          <w:rFonts w:hint="eastAsia" w:ascii="仿宋_GB2312" w:hAnsi="仿宋_GB2312" w:eastAsia="仿宋_GB2312" w:cs="仿宋_GB2312"/>
          <w:color w:val="auto"/>
          <w:kern w:val="0"/>
          <w:sz w:val="32"/>
          <w:szCs w:val="32"/>
          <w:highlight w:val="none"/>
          <w:lang w:val="en-US" w:eastAsia="zh-CN" w:bidi="ar-SA"/>
        </w:rPr>
        <w:t>、</w:t>
      </w:r>
      <w:r>
        <w:rPr>
          <w:rFonts w:hint="default" w:ascii="仿宋_GB2312" w:hAnsi="仿宋_GB2312" w:eastAsia="仿宋_GB2312" w:cs="仿宋_GB2312"/>
          <w:color w:val="auto"/>
          <w:kern w:val="0"/>
          <w:sz w:val="32"/>
          <w:szCs w:val="32"/>
          <w:highlight w:val="none"/>
          <w:lang w:val="en-US" w:eastAsia="zh-CN" w:bidi="ar-SA"/>
        </w:rPr>
        <w:t>石狮市福狮振兴乡村投资发展有限公司</w:t>
      </w:r>
      <w:r>
        <w:rPr>
          <w:rFonts w:hint="eastAsia" w:ascii="仿宋_GB2312" w:hAnsi="仿宋_GB2312" w:eastAsia="仿宋_GB2312" w:cs="仿宋_GB2312"/>
          <w:color w:val="auto"/>
          <w:kern w:val="0"/>
          <w:sz w:val="32"/>
          <w:szCs w:val="32"/>
          <w:highlight w:val="none"/>
          <w:lang w:val="en-US" w:eastAsia="zh-CN" w:bidi="ar-SA"/>
        </w:rPr>
        <w:t>、监理单位等</w:t>
      </w:r>
      <w:r>
        <w:rPr>
          <w:rFonts w:hint="default" w:ascii="仿宋_GB2312" w:hAnsi="仿宋_GB2312" w:eastAsia="仿宋_GB2312" w:cs="仿宋_GB2312"/>
          <w:color w:val="auto"/>
          <w:kern w:val="0"/>
          <w:sz w:val="32"/>
          <w:szCs w:val="32"/>
          <w:highlight w:val="none"/>
          <w:lang w:val="en-US" w:eastAsia="zh-CN" w:bidi="ar-SA"/>
        </w:rPr>
        <w:t>联合制定《资金与工期匹配核查表》，每月</w:t>
      </w:r>
      <w:r>
        <w:rPr>
          <w:rFonts w:hint="eastAsia" w:ascii="仿宋_GB2312" w:hAnsi="仿宋_GB2312" w:eastAsia="仿宋_GB2312" w:cs="仿宋_GB2312"/>
          <w:color w:val="auto"/>
          <w:kern w:val="0"/>
          <w:sz w:val="32"/>
          <w:szCs w:val="32"/>
          <w:highlight w:val="none"/>
          <w:lang w:val="en-US" w:eastAsia="zh-CN" w:bidi="ar-SA"/>
        </w:rPr>
        <w:t>5</w:t>
      </w:r>
      <w:r>
        <w:rPr>
          <w:rFonts w:hint="default" w:ascii="仿宋_GB2312" w:hAnsi="仿宋_GB2312" w:eastAsia="仿宋_GB2312" w:cs="仿宋_GB2312"/>
          <w:color w:val="auto"/>
          <w:kern w:val="0"/>
          <w:sz w:val="32"/>
          <w:szCs w:val="32"/>
          <w:highlight w:val="none"/>
          <w:lang w:val="en-US" w:eastAsia="zh-CN" w:bidi="ar-SA"/>
        </w:rPr>
        <w:t>日前核查“资金到位情况、已完成工程进度、预计下月支出”，对进度滞后导致资金闲置的，要求项目单位提交整改方案，逾期未整改的暂停后续资金拨付。</w:t>
      </w:r>
    </w:p>
    <w:p w14:paraId="1DD9F145">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w:t>
      </w:r>
      <w:r>
        <w:rPr>
          <w:rFonts w:hint="default" w:ascii="仿宋_GB2312" w:hAnsi="仿宋_GB2312" w:eastAsia="仿宋_GB2312" w:cs="仿宋_GB2312"/>
          <w:color w:val="auto"/>
          <w:kern w:val="0"/>
          <w:sz w:val="32"/>
          <w:szCs w:val="32"/>
          <w:highlight w:val="none"/>
          <w:lang w:val="en-US" w:eastAsia="zh-CN" w:bidi="ar-SA"/>
        </w:rPr>
        <w:t>推进支出进度形成有效投资：施工单位确定后，按“先计量、后付款”的原则推进资金支出，避免资金长期闲置；同时提前对接设备供应商，确保施工与设备采购同步推进，尽快形成实物工作量，提升预算执行率。</w:t>
      </w:r>
    </w:p>
    <w:p w14:paraId="13F6EA2E">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2"/>
        <w:rPr>
          <w:rFonts w:hint="default" w:ascii="仿宋_GB2312" w:hAnsi="仿宋_GB2312" w:eastAsia="仿宋_GB2312" w:cs="仿宋_GB2312"/>
          <w:color w:val="auto"/>
          <w:kern w:val="0"/>
          <w:sz w:val="32"/>
          <w:szCs w:val="32"/>
          <w:highlight w:val="none"/>
          <w:lang w:val="en-US" w:eastAsia="zh-CN" w:bidi="ar-SA"/>
        </w:rPr>
      </w:pPr>
      <w:bookmarkStart w:id="206" w:name="_Toc23220"/>
      <w:r>
        <w:rPr>
          <w:rFonts w:hint="eastAsia" w:ascii="仿宋_GB2312" w:hAnsi="仿宋_GB2312" w:eastAsia="仿宋_GB2312" w:cs="仿宋_GB2312"/>
          <w:color w:val="auto"/>
          <w:kern w:val="0"/>
          <w:sz w:val="32"/>
          <w:szCs w:val="32"/>
          <w:highlight w:val="none"/>
          <w:lang w:val="en-US" w:eastAsia="zh-CN" w:bidi="ar-SA"/>
        </w:rPr>
        <w:t>3.</w:t>
      </w:r>
      <w:r>
        <w:rPr>
          <w:rFonts w:hint="default" w:ascii="仿宋_GB2312" w:hAnsi="仿宋_GB2312" w:eastAsia="仿宋_GB2312" w:cs="仿宋_GB2312"/>
          <w:color w:val="auto"/>
          <w:kern w:val="0"/>
          <w:sz w:val="32"/>
          <w:szCs w:val="32"/>
          <w:highlight w:val="none"/>
          <w:lang w:val="en-US" w:eastAsia="zh-CN" w:bidi="ar-SA"/>
        </w:rPr>
        <w:t>规范组织实施，筑牢项目管理基础</w:t>
      </w:r>
      <w:bookmarkEnd w:id="206"/>
    </w:p>
    <w:p w14:paraId="7335D977">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w:t>
      </w:r>
      <w:r>
        <w:rPr>
          <w:rFonts w:hint="default" w:ascii="仿宋_GB2312" w:hAnsi="仿宋_GB2312" w:eastAsia="仿宋_GB2312" w:cs="仿宋_GB2312"/>
          <w:color w:val="auto"/>
          <w:kern w:val="0"/>
          <w:sz w:val="32"/>
          <w:szCs w:val="32"/>
          <w:highlight w:val="none"/>
          <w:lang w:val="en-US" w:eastAsia="zh-CN" w:bidi="ar-SA"/>
        </w:rPr>
        <w:t>优化设计单位遴选标准：修订遴选文件，将“近3年高标准农田设计业绩（需提供合同及验收报告）、技术方案完整性（含‘五化’专项设计</w:t>
      </w:r>
      <w:r>
        <w:rPr>
          <w:rFonts w:hint="eastAsia" w:ascii="仿宋_GB2312" w:hAnsi="仿宋_GB2312" w:eastAsia="仿宋_GB2312" w:cs="仿宋_GB2312"/>
          <w:color w:val="auto"/>
          <w:kern w:val="0"/>
          <w:sz w:val="32"/>
          <w:szCs w:val="32"/>
          <w:highlight w:val="none"/>
          <w:lang w:val="en-US" w:eastAsia="zh-CN" w:bidi="ar-SA"/>
        </w:rPr>
        <w:t>框架</w:t>
      </w:r>
      <w:r>
        <w:rPr>
          <w:rFonts w:hint="default" w:ascii="仿宋_GB2312" w:hAnsi="仿宋_GB2312" w:eastAsia="仿宋_GB2312" w:cs="仿宋_GB2312"/>
          <w:color w:val="auto"/>
          <w:kern w:val="0"/>
          <w:sz w:val="32"/>
          <w:szCs w:val="32"/>
          <w:highlight w:val="none"/>
          <w:lang w:val="en-US" w:eastAsia="zh-CN" w:bidi="ar-SA"/>
        </w:rPr>
        <w:t>思路）、项目负责人高级职称及</w:t>
      </w:r>
      <w:r>
        <w:rPr>
          <w:rFonts w:hint="eastAsia" w:ascii="仿宋_GB2312" w:hAnsi="仿宋_GB2312" w:eastAsia="仿宋_GB2312" w:cs="仿宋_GB2312"/>
          <w:color w:val="auto"/>
          <w:kern w:val="0"/>
          <w:sz w:val="32"/>
          <w:szCs w:val="32"/>
          <w:highlight w:val="none"/>
          <w:lang w:val="en-US" w:eastAsia="zh-CN" w:bidi="ar-SA"/>
        </w:rPr>
        <w:t>3-</w:t>
      </w:r>
      <w:r>
        <w:rPr>
          <w:rFonts w:hint="default" w:ascii="仿宋_GB2312" w:hAnsi="仿宋_GB2312" w:eastAsia="仿宋_GB2312" w:cs="仿宋_GB2312"/>
          <w:color w:val="auto"/>
          <w:kern w:val="0"/>
          <w:sz w:val="32"/>
          <w:szCs w:val="32"/>
          <w:highlight w:val="none"/>
          <w:lang w:val="en-US" w:eastAsia="zh-CN" w:bidi="ar-SA"/>
        </w:rPr>
        <w:t>5年以上相关经验”纳入评审指标，</w:t>
      </w:r>
      <w:r>
        <w:rPr>
          <w:rFonts w:hint="eastAsia" w:ascii="仿宋_GB2312" w:hAnsi="仿宋_GB2312" w:eastAsia="仿宋_GB2312" w:cs="仿宋_GB2312"/>
          <w:color w:val="auto"/>
          <w:kern w:val="0"/>
          <w:sz w:val="32"/>
          <w:szCs w:val="32"/>
          <w:highlight w:val="none"/>
          <w:lang w:val="en-US" w:eastAsia="zh-CN" w:bidi="ar-SA"/>
        </w:rPr>
        <w:t>该评价指标权重应当与报价</w:t>
      </w:r>
      <w:r>
        <w:rPr>
          <w:rFonts w:hint="default" w:ascii="仿宋_GB2312" w:hAnsi="仿宋_GB2312" w:eastAsia="仿宋_GB2312" w:cs="仿宋_GB2312"/>
          <w:color w:val="auto"/>
          <w:kern w:val="0"/>
          <w:sz w:val="32"/>
          <w:szCs w:val="32"/>
          <w:highlight w:val="none"/>
          <w:lang w:val="en-US" w:eastAsia="zh-CN" w:bidi="ar-SA"/>
        </w:rPr>
        <w:t>权重</w:t>
      </w:r>
      <w:r>
        <w:rPr>
          <w:rFonts w:hint="eastAsia" w:ascii="仿宋_GB2312" w:hAnsi="仿宋_GB2312" w:eastAsia="仿宋_GB2312" w:cs="仿宋_GB2312"/>
          <w:color w:val="auto"/>
          <w:kern w:val="0"/>
          <w:sz w:val="32"/>
          <w:szCs w:val="32"/>
          <w:highlight w:val="none"/>
          <w:lang w:val="en-US" w:eastAsia="zh-CN" w:bidi="ar-SA"/>
        </w:rPr>
        <w:t>合理考量</w:t>
      </w:r>
      <w:r>
        <w:rPr>
          <w:rFonts w:hint="default" w:ascii="仿宋_GB2312" w:hAnsi="仿宋_GB2312" w:eastAsia="仿宋_GB2312" w:cs="仿宋_GB2312"/>
          <w:color w:val="auto"/>
          <w:kern w:val="0"/>
          <w:sz w:val="32"/>
          <w:szCs w:val="32"/>
          <w:highlight w:val="none"/>
          <w:lang w:val="en-US" w:eastAsia="zh-CN" w:bidi="ar-SA"/>
        </w:rPr>
        <w:t>，形成“综合能力优先”的遴选机制。</w:t>
      </w:r>
    </w:p>
    <w:p w14:paraId="27DA2F48">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w:t>
      </w:r>
      <w:r>
        <w:rPr>
          <w:rFonts w:hint="default" w:ascii="仿宋_GB2312" w:hAnsi="仿宋_GB2312" w:eastAsia="仿宋_GB2312" w:cs="仿宋_GB2312"/>
          <w:color w:val="auto"/>
          <w:kern w:val="0"/>
          <w:sz w:val="32"/>
          <w:szCs w:val="32"/>
          <w:highlight w:val="none"/>
          <w:lang w:val="en-US" w:eastAsia="zh-CN" w:bidi="ar-SA"/>
        </w:rPr>
        <w:t>强化合同履约管理：由石狮市福狮振兴乡村投资发展有限公司建立“合同履约台账”，实时跟踪设计、施工、监理等单位的履约情况，对逾期履约的，在台账中记录并关联企业信用评价；对</w:t>
      </w:r>
      <w:r>
        <w:rPr>
          <w:rFonts w:hint="eastAsia" w:ascii="仿宋_GB2312" w:hAnsi="仿宋_GB2312" w:eastAsia="仿宋_GB2312" w:cs="仿宋_GB2312"/>
          <w:color w:val="auto"/>
          <w:kern w:val="0"/>
          <w:sz w:val="32"/>
          <w:szCs w:val="32"/>
          <w:highlight w:val="none"/>
          <w:lang w:val="en-US" w:eastAsia="zh-CN" w:bidi="ar-SA"/>
        </w:rPr>
        <w:t>相关</w:t>
      </w:r>
      <w:r>
        <w:rPr>
          <w:rFonts w:hint="default" w:ascii="仿宋_GB2312" w:hAnsi="仿宋_GB2312" w:eastAsia="仿宋_GB2312" w:cs="仿宋_GB2312"/>
          <w:color w:val="auto"/>
          <w:kern w:val="0"/>
          <w:sz w:val="32"/>
          <w:szCs w:val="32"/>
          <w:highlight w:val="none"/>
          <w:lang w:val="en-US" w:eastAsia="zh-CN" w:bidi="ar-SA"/>
        </w:rPr>
        <w:t>单位逾期未交付的，按合同约定追索违约金，违约金从</w:t>
      </w:r>
      <w:r>
        <w:rPr>
          <w:rFonts w:hint="eastAsia" w:ascii="仿宋_GB2312" w:hAnsi="仿宋_GB2312" w:eastAsia="仿宋_GB2312" w:cs="仿宋_GB2312"/>
          <w:color w:val="auto"/>
          <w:kern w:val="0"/>
          <w:sz w:val="32"/>
          <w:szCs w:val="32"/>
          <w:highlight w:val="none"/>
          <w:lang w:val="en-US" w:eastAsia="zh-CN" w:bidi="ar-SA"/>
        </w:rPr>
        <w:t>合同</w:t>
      </w:r>
      <w:r>
        <w:rPr>
          <w:rFonts w:hint="default" w:ascii="仿宋_GB2312" w:hAnsi="仿宋_GB2312" w:eastAsia="仿宋_GB2312" w:cs="仿宋_GB2312"/>
          <w:color w:val="auto"/>
          <w:kern w:val="0"/>
          <w:sz w:val="32"/>
          <w:szCs w:val="32"/>
          <w:highlight w:val="none"/>
          <w:lang w:val="en-US" w:eastAsia="zh-CN" w:bidi="ar-SA"/>
        </w:rPr>
        <w:t>费中直接抵扣，确保合同约束落地。</w:t>
      </w:r>
    </w:p>
    <w:p w14:paraId="36B926AC">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（3）</w:t>
      </w:r>
      <w:r>
        <w:rPr>
          <w:rFonts w:hint="default" w:ascii="仿宋_GB2312" w:hAnsi="仿宋_GB2312" w:eastAsia="仿宋_GB2312" w:cs="仿宋_GB2312"/>
          <w:color w:val="auto"/>
          <w:kern w:val="0"/>
          <w:sz w:val="32"/>
          <w:szCs w:val="32"/>
          <w:highlight w:val="none"/>
          <w:lang w:val="en-US" w:eastAsia="zh-CN" w:bidi="ar-SA"/>
        </w:rPr>
        <w:t>制定压缩工期质量管控方案：由石狮市农业农村局</w:t>
      </w:r>
      <w:r>
        <w:rPr>
          <w:rFonts w:hint="eastAsia" w:ascii="仿宋_GB2312" w:hAnsi="仿宋_GB2312" w:eastAsia="仿宋_GB2312" w:cs="仿宋_GB2312"/>
          <w:color w:val="auto"/>
          <w:kern w:val="0"/>
          <w:sz w:val="32"/>
          <w:szCs w:val="32"/>
          <w:highlight w:val="none"/>
          <w:lang w:val="en-US" w:eastAsia="zh-CN" w:bidi="ar-SA"/>
        </w:rPr>
        <w:t>和</w:t>
      </w:r>
      <w:r>
        <w:rPr>
          <w:rFonts w:hint="default" w:ascii="仿宋_GB2312" w:hAnsi="仿宋_GB2312" w:eastAsia="仿宋_GB2312" w:cs="仿宋_GB2312"/>
          <w:color w:val="auto"/>
          <w:kern w:val="0"/>
          <w:sz w:val="32"/>
          <w:szCs w:val="32"/>
          <w:highlight w:val="none"/>
          <w:lang w:val="en-US" w:eastAsia="zh-CN" w:bidi="ar-SA"/>
        </w:rPr>
        <w:t>石狮市福狮振兴乡村投资发展有限公司牵头，联合监理单位制定《压缩工期质量保障专项方案》，明确“每旬开展1次质量巡检、每月开展1次第三方抽检”，重点核查灌排渠衬砌厚度、道路基层压实度、数字化设备安装精度等关键指标，抽检结果不合格的责令返工，返工费用由施工单位承担。</w:t>
      </w:r>
    </w:p>
    <w:p w14:paraId="51357B76">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2"/>
        <w:rPr>
          <w:rFonts w:hint="default" w:ascii="仿宋_GB2312" w:hAnsi="仿宋_GB2312" w:eastAsia="仿宋_GB2312" w:cs="仿宋_GB2312"/>
          <w:color w:val="auto"/>
          <w:kern w:val="0"/>
          <w:sz w:val="32"/>
          <w:szCs w:val="32"/>
          <w:highlight w:val="none"/>
          <w:lang w:val="en-US" w:eastAsia="zh-CN" w:bidi="ar-SA"/>
        </w:rPr>
      </w:pPr>
      <w:bookmarkStart w:id="207" w:name="_Toc6399"/>
      <w:r>
        <w:rPr>
          <w:rFonts w:hint="eastAsia" w:ascii="仿宋_GB2312" w:hAnsi="仿宋_GB2312" w:eastAsia="仿宋_GB2312" w:cs="仿宋_GB2312"/>
          <w:color w:val="auto"/>
          <w:kern w:val="0"/>
          <w:sz w:val="32"/>
          <w:szCs w:val="32"/>
          <w:highlight w:val="none"/>
          <w:lang w:val="en-US" w:eastAsia="zh-CN" w:bidi="ar-SA"/>
        </w:rPr>
        <w:t>4.</w:t>
      </w:r>
      <w:r>
        <w:rPr>
          <w:rFonts w:hint="default" w:ascii="仿宋_GB2312" w:hAnsi="仿宋_GB2312" w:eastAsia="仿宋_GB2312" w:cs="仿宋_GB2312"/>
          <w:color w:val="auto"/>
          <w:kern w:val="0"/>
          <w:sz w:val="32"/>
          <w:szCs w:val="32"/>
          <w:highlight w:val="none"/>
          <w:lang w:val="en-US" w:eastAsia="zh-CN" w:bidi="ar-SA"/>
        </w:rPr>
        <w:t>完善绩效目标，提升指标科学性与可操作性</w:t>
      </w:r>
      <w:bookmarkEnd w:id="207"/>
    </w:p>
    <w:p w14:paraId="03656395">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w:t>
      </w:r>
      <w:r>
        <w:rPr>
          <w:rFonts w:hint="default" w:ascii="仿宋_GB2312" w:hAnsi="仿宋_GB2312" w:eastAsia="仿宋_GB2312" w:cs="仿宋_GB2312"/>
          <w:color w:val="auto"/>
          <w:kern w:val="0"/>
          <w:sz w:val="32"/>
          <w:szCs w:val="32"/>
          <w:highlight w:val="none"/>
          <w:lang w:val="en-US" w:eastAsia="zh-CN" w:bidi="ar-SA"/>
        </w:rPr>
        <w:t>调整绩效指标分类：</w:t>
      </w:r>
      <w:r>
        <w:rPr>
          <w:rFonts w:hint="eastAsia" w:ascii="仿宋_GB2312" w:hAnsi="仿宋_GB2312" w:eastAsia="仿宋_GB2312" w:cs="仿宋_GB2312"/>
          <w:color w:val="auto"/>
          <w:kern w:val="0"/>
          <w:sz w:val="32"/>
          <w:szCs w:val="32"/>
          <w:highlight w:val="none"/>
          <w:lang w:val="en-US" w:eastAsia="zh-CN" w:bidi="ar-SA"/>
        </w:rPr>
        <w:t>重新设置相关效益指标，结合项目实施后的预期效益</w:t>
      </w:r>
      <w:r>
        <w:rPr>
          <w:rFonts w:hint="default" w:ascii="仿宋_GB2312" w:hAnsi="仿宋_GB2312" w:eastAsia="仿宋_GB2312" w:cs="仿宋_GB2312"/>
          <w:color w:val="auto"/>
          <w:kern w:val="0"/>
          <w:sz w:val="32"/>
          <w:szCs w:val="32"/>
          <w:highlight w:val="none"/>
          <w:lang w:val="en-US" w:eastAsia="zh-CN" w:bidi="ar-SA"/>
        </w:rPr>
        <w:t>，</w:t>
      </w:r>
      <w:r>
        <w:rPr>
          <w:rFonts w:hint="eastAsia" w:ascii="仿宋_GB2312" w:hAnsi="仿宋_GB2312" w:eastAsia="仿宋_GB2312" w:cs="仿宋_GB2312"/>
          <w:color w:val="auto"/>
          <w:kern w:val="0"/>
          <w:sz w:val="32"/>
          <w:szCs w:val="32"/>
          <w:highlight w:val="none"/>
          <w:lang w:val="en-US" w:eastAsia="zh-CN" w:bidi="ar-SA"/>
        </w:rPr>
        <w:t>如“农机作业覆盖率”“农业就业人数增长率”“数字化技术普及率”“亩均农业生产成本降低率”等</w:t>
      </w:r>
      <w:r>
        <w:rPr>
          <w:rFonts w:hint="default" w:ascii="仿宋_GB2312" w:hAnsi="仿宋_GB2312" w:eastAsia="仿宋_GB2312" w:cs="仿宋_GB2312"/>
          <w:color w:val="auto"/>
          <w:kern w:val="0"/>
          <w:sz w:val="32"/>
          <w:szCs w:val="32"/>
          <w:highlight w:val="none"/>
          <w:lang w:val="en-US" w:eastAsia="zh-CN" w:bidi="ar-SA"/>
        </w:rPr>
        <w:t>更贴合</w:t>
      </w:r>
      <w:r>
        <w:rPr>
          <w:rFonts w:hint="eastAsia" w:ascii="仿宋_GB2312" w:hAnsi="仿宋_GB2312" w:eastAsia="仿宋_GB2312" w:cs="仿宋_GB2312"/>
          <w:color w:val="auto"/>
          <w:kern w:val="0"/>
          <w:sz w:val="32"/>
          <w:szCs w:val="32"/>
          <w:highlight w:val="none"/>
          <w:lang w:val="en-US" w:eastAsia="zh-CN" w:bidi="ar-SA"/>
        </w:rPr>
        <w:t>项目效益内容</w:t>
      </w:r>
      <w:r>
        <w:rPr>
          <w:rFonts w:hint="default" w:ascii="仿宋_GB2312" w:hAnsi="仿宋_GB2312" w:eastAsia="仿宋_GB2312" w:cs="仿宋_GB2312"/>
          <w:color w:val="auto"/>
          <w:kern w:val="0"/>
          <w:sz w:val="32"/>
          <w:szCs w:val="32"/>
          <w:highlight w:val="none"/>
          <w:lang w:val="en-US" w:eastAsia="zh-CN" w:bidi="ar-SA"/>
        </w:rPr>
        <w:t>。</w:t>
      </w:r>
    </w:p>
    <w:p w14:paraId="2C67B606">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w:t>
      </w:r>
      <w:r>
        <w:rPr>
          <w:rFonts w:hint="default" w:ascii="仿宋_GB2312" w:hAnsi="仿宋_GB2312" w:eastAsia="仿宋_GB2312" w:cs="仿宋_GB2312"/>
          <w:color w:val="auto"/>
          <w:kern w:val="0"/>
          <w:sz w:val="32"/>
          <w:szCs w:val="32"/>
          <w:highlight w:val="none"/>
          <w:lang w:val="en-US" w:eastAsia="zh-CN" w:bidi="ar-SA"/>
        </w:rPr>
        <w:t>量化效益指标：将“扶持农业产业配套基础设施项目”指标细化为可量化内容，如“农机通达率提升至98%以上”“灌溉保证率稳定在90%以上”“新增高标准农田管护设施50处”，明确数据来源（如实地勘测、监测平台数据），确保指标可衡量、可考核。</w:t>
      </w:r>
    </w:p>
    <w:p w14:paraId="4E952C41">
      <w:pPr>
        <w:keepNext w:val="0"/>
        <w:keepLines w:val="0"/>
        <w:pageBreakBefore w:val="0"/>
        <w:widowControl w:val="0"/>
        <w:numPr>
          <w:ilvl w:val="0"/>
          <w:numId w:val="0"/>
        </w:numPr>
        <w:shd w:val="clear" w:fill="FFFFFF" w:themeFill="background1"/>
        <w:kinsoku/>
        <w:wordWrap/>
        <w:overflowPunct w:val="0"/>
        <w:topLinePunct w:val="0"/>
        <w:autoSpaceDE w:val="0"/>
        <w:autoSpaceDN w:val="0"/>
        <w:bidi w:val="0"/>
        <w:adjustRightInd w:val="0"/>
        <w:snapToGrid/>
        <w:spacing w:line="240" w:lineRule="auto"/>
        <w:ind w:firstLine="200" w:firstLineChars="200"/>
        <w:jc w:val="both"/>
        <w:textAlignment w:val="baseline"/>
        <w:outlineLvl w:val="9"/>
        <w:rPr>
          <w:rFonts w:hint="eastAsia" w:ascii="仿宋_GB2312" w:hAnsi="仿宋_GB2312" w:eastAsia="仿宋_GB2312" w:cs="仿宋_GB2312"/>
          <w:color w:val="auto"/>
          <w:kern w:val="2"/>
          <w:sz w:val="10"/>
          <w:szCs w:val="10"/>
          <w:lang w:val="en-US" w:eastAsia="zh-CN" w:bidi="ar-SA"/>
        </w:rPr>
      </w:pPr>
    </w:p>
    <w:p w14:paraId="19168756">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0"/>
        <w:rPr>
          <w:rFonts w:hint="default" w:ascii="仿宋_GB2312" w:hAnsi="仿宋_GB2312" w:eastAsia="仿宋_GB2312" w:cs="仿宋_GB2312"/>
          <w:color w:val="auto"/>
          <w:kern w:val="2"/>
          <w:sz w:val="32"/>
          <w:szCs w:val="32"/>
          <w:lang w:val="en-US" w:eastAsia="zh-CN" w:bidi="ar-SA"/>
        </w:rPr>
      </w:pPr>
      <w:bookmarkStart w:id="208" w:name="_Toc24507"/>
      <w:r>
        <w:rPr>
          <w:rFonts w:hint="eastAsia" w:ascii="黑体" w:hAnsi="黑体" w:eastAsia="黑体" w:cs="黑体"/>
          <w:b/>
          <w:bCs/>
          <w:color w:val="auto"/>
          <w:sz w:val="32"/>
          <w:szCs w:val="32"/>
          <w:lang w:val="en-US" w:eastAsia="zh-CN"/>
        </w:rPr>
        <w:t>六、附件</w:t>
      </w:r>
      <w:bookmarkEnd w:id="208"/>
    </w:p>
    <w:p w14:paraId="16FF329E">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2"/>
          <w:sz w:val="32"/>
          <w:szCs w:val="32"/>
          <w:lang w:val="en-US" w:eastAsia="zh-CN" w:bidi="ar-SA"/>
        </w:rPr>
      </w:pPr>
      <w:bookmarkStart w:id="209" w:name="_Toc27273"/>
      <w:bookmarkStart w:id="210" w:name="_Toc20083"/>
      <w:bookmarkStart w:id="211" w:name="_Toc16664"/>
      <w:bookmarkStart w:id="212" w:name="_Toc7526"/>
      <w:bookmarkStart w:id="213" w:name="_Toc19777"/>
      <w:r>
        <w:rPr>
          <w:rFonts w:hint="eastAsia" w:ascii="仿宋_GB2312" w:hAnsi="仿宋_GB2312" w:eastAsia="仿宋_GB2312" w:cs="仿宋_GB2312"/>
          <w:color w:val="auto"/>
          <w:kern w:val="0"/>
          <w:sz w:val="32"/>
          <w:szCs w:val="32"/>
          <w:highlight w:val="none"/>
          <w:lang w:val="en-US" w:eastAsia="zh-CN" w:bidi="ar-SA"/>
        </w:rPr>
        <w:t xml:space="preserve">附件1 </w:t>
      </w:r>
      <w:bookmarkEnd w:id="209"/>
      <w:bookmarkEnd w:id="210"/>
      <w:bookmarkEnd w:id="211"/>
      <w:bookmarkEnd w:id="212"/>
      <w:bookmarkEnd w:id="213"/>
      <w:r>
        <w:rPr>
          <w:rFonts w:hint="eastAsia" w:ascii="仿宋_GB2312" w:hAnsi="仿宋_GB2312" w:eastAsia="仿宋_GB2312" w:cs="仿宋_GB2312"/>
          <w:color w:val="auto"/>
          <w:kern w:val="0"/>
          <w:sz w:val="32"/>
          <w:szCs w:val="32"/>
          <w:highlight w:val="none"/>
          <w:lang w:val="en-US" w:eastAsia="zh-CN" w:bidi="ar-SA"/>
        </w:rPr>
        <w:t>石狮市高标准农田建设（一期）“五化”示范项目事中绩效评价指标体系评分表</w:t>
      </w:r>
    </w:p>
    <w:p w14:paraId="72BC0582">
      <w:pPr>
        <w:keepNext w:val="0"/>
        <w:keepLines w:val="0"/>
        <w:pageBreakBefore w:val="0"/>
        <w:widowControl/>
        <w:numPr>
          <w:ilvl w:val="0"/>
          <w:numId w:val="0"/>
        </w:numPr>
        <w:shd w:val="clear" w:fill="FFFFFF" w:themeFill="background1"/>
        <w:kinsoku/>
        <w:wordWrap/>
        <w:overflowPunct w:val="0"/>
        <w:topLinePunct w:val="0"/>
        <w:autoSpaceDE w:val="0"/>
        <w:autoSpaceDN w:val="0"/>
        <w:bidi w:val="0"/>
        <w:adjustRightInd w:val="0"/>
        <w:snapToGrid/>
        <w:spacing w:line="240" w:lineRule="auto"/>
        <w:ind w:firstLine="640" w:firstLineChars="200"/>
        <w:jc w:val="both"/>
        <w:textAlignment w:val="baseline"/>
        <w:outlineLvl w:val="9"/>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附件2 编制单位签章</w:t>
      </w:r>
    </w:p>
    <w:p w14:paraId="0C87FC30">
      <w:pPr>
        <w:keepNext w:val="0"/>
        <w:keepLines w:val="0"/>
        <w:pageBreakBefore w:val="0"/>
        <w:widowControl/>
        <w:numPr>
          <w:ilvl w:val="0"/>
          <w:numId w:val="0"/>
        </w:numPr>
        <w:shd w:val="clear" w:fill="FFFFFF" w:themeFill="background1"/>
        <w:kinsoku/>
        <w:wordWrap/>
        <w:overflowPunct w:val="0"/>
        <w:topLinePunct w:val="0"/>
        <w:autoSpaceDE w:val="0"/>
        <w:autoSpaceDN w:val="0"/>
        <w:bidi w:val="0"/>
        <w:adjustRightInd w:val="0"/>
        <w:snapToGrid/>
        <w:spacing w:line="240" w:lineRule="auto"/>
        <w:ind w:firstLine="640" w:firstLineChars="200"/>
        <w:jc w:val="both"/>
        <w:textAlignment w:val="baseline"/>
        <w:outlineLvl w:val="9"/>
        <w:rPr>
          <w:rFonts w:hint="eastAsia" w:ascii="仿宋_GB2312" w:hAnsi="仿宋_GB2312" w:eastAsia="仿宋_GB2312" w:cs="仿宋_GB2312"/>
          <w:color w:val="auto"/>
          <w:kern w:val="2"/>
          <w:sz w:val="32"/>
          <w:szCs w:val="32"/>
          <w:lang w:val="en-US" w:eastAsia="zh-CN" w:bidi="ar-SA"/>
        </w:rPr>
        <w:sectPr>
          <w:pgSz w:w="11906" w:h="16838"/>
          <w:pgMar w:top="1417" w:right="1474" w:bottom="1417" w:left="1587"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ascii="仿宋_GB2312" w:hAnsi="仿宋_GB2312" w:eastAsia="仿宋_GB2312" w:cs="仿宋_GB2312"/>
          <w:color w:val="auto"/>
          <w:kern w:val="2"/>
          <w:sz w:val="32"/>
          <w:szCs w:val="32"/>
          <w:lang w:val="en-US" w:eastAsia="zh-CN" w:bidi="ar-SA"/>
        </w:rPr>
        <w:t>附件3 编制单位营业执照</w:t>
      </w:r>
    </w:p>
    <w:bookmarkEnd w:id="175"/>
    <w:bookmarkEnd w:id="176"/>
    <w:bookmarkEnd w:id="177"/>
    <w:p w14:paraId="2F1EB886">
      <w:pPr>
        <w:keepNext w:val="0"/>
        <w:keepLines w:val="0"/>
        <w:pageBreakBefore w:val="0"/>
        <w:widowControl/>
        <w:numPr>
          <w:ilvl w:val="0"/>
          <w:numId w:val="0"/>
        </w:numPr>
        <w:shd w:val="clear" w:fill="FFFFFF" w:themeFill="background1"/>
        <w:kinsoku/>
        <w:wordWrap/>
        <w:overflowPunct w:val="0"/>
        <w:topLinePunct w:val="0"/>
        <w:autoSpaceDE w:val="0"/>
        <w:autoSpaceDN w:val="0"/>
        <w:bidi w:val="0"/>
        <w:adjustRightInd w:val="0"/>
        <w:snapToGrid/>
        <w:spacing w:line="240" w:lineRule="auto"/>
        <w:jc w:val="left"/>
        <w:textAlignment w:val="baseline"/>
        <w:outlineLvl w:val="1"/>
        <w:rPr>
          <w:rFonts w:hint="eastAsia"/>
          <w:lang w:val="en-US" w:eastAsia="zh-CN"/>
        </w:rPr>
      </w:pPr>
      <w:bookmarkStart w:id="214" w:name="_Toc1731"/>
      <w:bookmarkStart w:id="215" w:name="_Toc21726"/>
      <w:r>
        <w:rPr>
          <w:rFonts w:hint="eastAsia" w:ascii="仿宋_GB2312" w:hAnsi="仿宋_GB2312" w:eastAsia="仿宋_GB2312" w:cs="仿宋_GB2312"/>
          <w:b/>
          <w:bCs/>
          <w:color w:val="auto"/>
          <w:kern w:val="2"/>
          <w:sz w:val="32"/>
          <w:szCs w:val="32"/>
          <w:lang w:val="en-US" w:eastAsia="zh-CN" w:bidi="ar-SA"/>
        </w:rPr>
        <w:t>附件1</w:t>
      </w:r>
      <w:bookmarkEnd w:id="214"/>
      <w:r>
        <w:rPr>
          <w:rFonts w:hint="eastAsia" w:ascii="仿宋_GB2312" w:hAnsi="仿宋_GB2312" w:eastAsia="仿宋_GB2312" w:cs="仿宋_GB2312"/>
          <w:b/>
          <w:bCs/>
          <w:color w:val="auto"/>
          <w:kern w:val="2"/>
          <w:sz w:val="32"/>
          <w:szCs w:val="32"/>
          <w:lang w:val="en-US" w:eastAsia="zh-CN" w:bidi="ar-SA"/>
        </w:rPr>
        <w:t xml:space="preserve"> </w:t>
      </w:r>
      <w:bookmarkStart w:id="216" w:name="_Toc18727"/>
      <w:r>
        <w:rPr>
          <w:rFonts w:hint="eastAsia" w:ascii="仿宋_GB2312" w:hAnsi="仿宋_GB2312" w:eastAsia="仿宋_GB2312" w:cs="仿宋_GB2312"/>
          <w:b/>
          <w:bCs/>
          <w:color w:val="auto"/>
          <w:kern w:val="2"/>
          <w:sz w:val="32"/>
          <w:szCs w:val="32"/>
          <w:lang w:val="en-US" w:eastAsia="zh-CN" w:bidi="ar-SA"/>
        </w:rPr>
        <w:t>石狮市高标准农田建设（一期）“五化”示范项目事中绩效评价指标体系评分表</w:t>
      </w:r>
      <w:bookmarkEnd w:id="215"/>
      <w:bookmarkEnd w:id="216"/>
    </w:p>
    <w:tbl>
      <w:tblPr>
        <w:tblStyle w:val="15"/>
        <w:tblW w:w="1506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76"/>
        <w:gridCol w:w="897"/>
        <w:gridCol w:w="1193"/>
        <w:gridCol w:w="1413"/>
        <w:gridCol w:w="2891"/>
        <w:gridCol w:w="5953"/>
        <w:gridCol w:w="1020"/>
        <w:gridCol w:w="1020"/>
      </w:tblGrid>
      <w:tr w14:paraId="1F48C7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19" w:hRule="atLeast"/>
          <w:tblHeader/>
          <w:jc w:val="center"/>
        </w:trPr>
        <w:tc>
          <w:tcPr>
            <w:tcW w:w="676"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4B1E3AA0">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序号</w:t>
            </w:r>
          </w:p>
        </w:tc>
        <w:tc>
          <w:tcPr>
            <w:tcW w:w="89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6A18A97C">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一级指标</w:t>
            </w:r>
          </w:p>
        </w:tc>
        <w:tc>
          <w:tcPr>
            <w:tcW w:w="1193"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7633D0EC">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二级指标</w:t>
            </w:r>
          </w:p>
        </w:tc>
        <w:tc>
          <w:tcPr>
            <w:tcW w:w="1413"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71A2D759">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三级指标</w:t>
            </w:r>
          </w:p>
        </w:tc>
        <w:tc>
          <w:tcPr>
            <w:tcW w:w="2891"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09E78E13">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指标解释</w:t>
            </w:r>
          </w:p>
        </w:tc>
        <w:tc>
          <w:tcPr>
            <w:tcW w:w="5953"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106F24A1">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评价要点及评分标准</w:t>
            </w:r>
          </w:p>
        </w:tc>
        <w:tc>
          <w:tcPr>
            <w:tcW w:w="1020"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5E90E612">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分值</w:t>
            </w:r>
          </w:p>
        </w:tc>
        <w:tc>
          <w:tcPr>
            <w:tcW w:w="1020"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74EC7BE3">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得分</w:t>
            </w:r>
          </w:p>
        </w:tc>
      </w:tr>
      <w:tr w14:paraId="717BDE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84" w:hRule="atLeast"/>
          <w:jc w:val="center"/>
        </w:trPr>
        <w:tc>
          <w:tcPr>
            <w:tcW w:w="6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A154C">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1</w:t>
            </w:r>
          </w:p>
        </w:tc>
        <w:tc>
          <w:tcPr>
            <w:tcW w:w="89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1F4AF2">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A决策指标</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（18分）</w:t>
            </w:r>
          </w:p>
        </w:tc>
        <w:tc>
          <w:tcPr>
            <w:tcW w:w="119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D8A9505">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A1项目立项</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（6分）</w:t>
            </w:r>
          </w:p>
        </w:tc>
        <w:tc>
          <w:tcPr>
            <w:tcW w:w="1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59D02">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A101立项依据充分性（3分）</w:t>
            </w:r>
          </w:p>
        </w:tc>
        <w:tc>
          <w:tcPr>
            <w:tcW w:w="28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11F69">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考察石狮市农业农村局2025年度高标准农田建设（一期）“五化”示范项目立项是否符合法律法规、相关政策及部门职责，用以反映和考核项目立项依据情况。</w:t>
            </w:r>
          </w:p>
        </w:tc>
        <w:tc>
          <w:tcPr>
            <w:tcW w:w="5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4ABE4">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①项目立项是否符合国家法律法规、国民经济发展规划和相关政策（0.6分）；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②项目立项是否符合行业发展规划和政策要求（0.6分）；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③项目立项是否与部门职责范围相符，属于部门履职所需（0.6分）；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④项目是否属于公共财政支持范围，是否符合市、县区事权支出责任划分原则（0.6分）；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⑤项目不与相关部门同类项目或部门内部相关项目重复（0.6分）。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评分标准：上述评价要点，符合得满分，不符合扣除相应分值。</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327C5">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3.00 </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19DBA">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3.00 </w:t>
            </w:r>
          </w:p>
        </w:tc>
      </w:tr>
      <w:tr w14:paraId="3D7068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49" w:hRule="atLeast"/>
          <w:jc w:val="center"/>
        </w:trPr>
        <w:tc>
          <w:tcPr>
            <w:tcW w:w="6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75C2B">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2</w:t>
            </w:r>
          </w:p>
        </w:tc>
        <w:tc>
          <w:tcPr>
            <w:tcW w:w="8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9CAA28">
            <w:pPr>
              <w:jc w:val="center"/>
              <w:rPr>
                <w:rFonts w:hint="eastAsia" w:ascii="仿宋_GB2312" w:hAnsi="仿宋_GB2312" w:eastAsia="仿宋_GB2312" w:cs="仿宋_GB2312"/>
                <w:i w:val="0"/>
                <w:iCs w:val="0"/>
                <w:color w:val="000000"/>
                <w:sz w:val="24"/>
                <w:szCs w:val="24"/>
                <w:u w:val="none"/>
              </w:rPr>
            </w:pPr>
          </w:p>
        </w:tc>
        <w:tc>
          <w:tcPr>
            <w:tcW w:w="119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8E13B8">
            <w:pPr>
              <w:jc w:val="center"/>
              <w:rPr>
                <w:rFonts w:hint="eastAsia" w:ascii="仿宋_GB2312" w:hAnsi="仿宋_GB2312" w:eastAsia="仿宋_GB2312" w:cs="仿宋_GB2312"/>
                <w:i w:val="0"/>
                <w:iCs w:val="0"/>
                <w:color w:val="000000"/>
                <w:sz w:val="24"/>
                <w:szCs w:val="24"/>
                <w:u w:val="none"/>
              </w:rPr>
            </w:pPr>
          </w:p>
        </w:tc>
        <w:tc>
          <w:tcPr>
            <w:tcW w:w="1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CE318">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A102立项程序规范性（3分）</w:t>
            </w:r>
          </w:p>
        </w:tc>
        <w:tc>
          <w:tcPr>
            <w:tcW w:w="28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AF491">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考察石狮市农业农村局2025年度高标准农田建设（一期）“五化”示范项目申请、设立过程是否符合相关要求，用以反映和考核项目立项的规范情况。</w:t>
            </w:r>
          </w:p>
        </w:tc>
        <w:tc>
          <w:tcPr>
            <w:tcW w:w="5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6AA6E">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①项目是否按照规定的程序申请设立（1分）；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②审批文件、材料是否符合相关要求（1分）；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③事前是否已经过必要的初步设计、专家评审、实地勘查测绘、集体决策等（1分）。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评分标准：上述评价要点，符合得满分，不符合扣除相应分值。</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E23ED">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3.00 </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314F0">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3.00 </w:t>
            </w:r>
          </w:p>
        </w:tc>
      </w:tr>
      <w:tr w14:paraId="7E125A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25" w:hRule="atLeast"/>
          <w:jc w:val="center"/>
        </w:trPr>
        <w:tc>
          <w:tcPr>
            <w:tcW w:w="6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73C97B">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3</w:t>
            </w:r>
          </w:p>
        </w:tc>
        <w:tc>
          <w:tcPr>
            <w:tcW w:w="8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9F5D79">
            <w:pPr>
              <w:jc w:val="center"/>
              <w:rPr>
                <w:rFonts w:hint="eastAsia" w:ascii="仿宋_GB2312" w:hAnsi="仿宋_GB2312" w:eastAsia="仿宋_GB2312" w:cs="仿宋_GB2312"/>
                <w:i w:val="0"/>
                <w:iCs w:val="0"/>
                <w:color w:val="000000"/>
                <w:sz w:val="24"/>
                <w:szCs w:val="24"/>
                <w:u w:val="none"/>
              </w:rPr>
            </w:pPr>
          </w:p>
        </w:tc>
        <w:tc>
          <w:tcPr>
            <w:tcW w:w="119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A1420D">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A2绩效目标</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（6分）</w:t>
            </w:r>
          </w:p>
        </w:tc>
        <w:tc>
          <w:tcPr>
            <w:tcW w:w="1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73268">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A201绩效目标合理性（3分）</w:t>
            </w:r>
          </w:p>
        </w:tc>
        <w:tc>
          <w:tcPr>
            <w:tcW w:w="28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944B0">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考察石狮市农业农村局2025年度高标准农田建设（一期）“五化”示范项目所设定的绩效目标是否依据充分，是否符合客观实际，用以反映和考核项目绩效目标与项目实施的相符情况。</w:t>
            </w:r>
          </w:p>
        </w:tc>
        <w:tc>
          <w:tcPr>
            <w:tcW w:w="5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751EE">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如未设定预算绩效目标，也可考核其他工作任务目标。</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①项目是否有绩效目标或工作任务目标（0.75分）；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②项目绩效目标或工作任务目标与实际工作内容是否具有相关性（0.75分）；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③项目预期产出效益和效果是否符合正常的业绩水平（0.75分）；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④是否与预算确定的项目投资额或资金量相匹配（0.75分）。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评分标准：上述评价要点，符合得满分，不符合扣除相应分值。</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BD5BA">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3.00 </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C5723">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3.00 </w:t>
            </w:r>
          </w:p>
        </w:tc>
      </w:tr>
      <w:tr w14:paraId="0C820A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0" w:hRule="atLeast"/>
          <w:jc w:val="center"/>
        </w:trPr>
        <w:tc>
          <w:tcPr>
            <w:tcW w:w="6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6EB69">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4</w:t>
            </w:r>
          </w:p>
        </w:tc>
        <w:tc>
          <w:tcPr>
            <w:tcW w:w="8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379034">
            <w:pPr>
              <w:jc w:val="center"/>
              <w:rPr>
                <w:rFonts w:hint="eastAsia" w:ascii="仿宋_GB2312" w:hAnsi="仿宋_GB2312" w:eastAsia="仿宋_GB2312" w:cs="仿宋_GB2312"/>
                <w:i w:val="0"/>
                <w:iCs w:val="0"/>
                <w:color w:val="000000"/>
                <w:sz w:val="24"/>
                <w:szCs w:val="24"/>
                <w:u w:val="none"/>
              </w:rPr>
            </w:pPr>
          </w:p>
        </w:tc>
        <w:tc>
          <w:tcPr>
            <w:tcW w:w="119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27405D">
            <w:pPr>
              <w:jc w:val="center"/>
              <w:rPr>
                <w:rFonts w:hint="eastAsia" w:ascii="仿宋_GB2312" w:hAnsi="仿宋_GB2312" w:eastAsia="仿宋_GB2312" w:cs="仿宋_GB2312"/>
                <w:i w:val="0"/>
                <w:iCs w:val="0"/>
                <w:color w:val="000000"/>
                <w:sz w:val="24"/>
                <w:szCs w:val="24"/>
                <w:u w:val="none"/>
              </w:rPr>
            </w:pPr>
          </w:p>
        </w:tc>
        <w:tc>
          <w:tcPr>
            <w:tcW w:w="1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D7CA5">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A202绩效指标明确性（3分）</w:t>
            </w:r>
          </w:p>
        </w:tc>
        <w:tc>
          <w:tcPr>
            <w:tcW w:w="28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A9695">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依据高标准农田建设绩效目标设定的绩效指标是否清晰、细化、可衡量等，用以反映和考核项目绩效目标的明细化情况。</w:t>
            </w:r>
          </w:p>
        </w:tc>
        <w:tc>
          <w:tcPr>
            <w:tcW w:w="5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325F0">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①是否将项目绩效目标或工作任务目标细化分解为具体的绩效指标或计划任务完成指标（1分）；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②是否通过清晰、可衡量的指标值予以体现（1分）；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③是否与项目目标任务数或计划数相对应（1分）。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评分标准：上述评价要点，符合得满分，不符合扣除相应分值。</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BD1F2">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3.00 </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0264E">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2.00 </w:t>
            </w:r>
          </w:p>
        </w:tc>
      </w:tr>
      <w:tr w14:paraId="56BE70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20" w:hRule="atLeast"/>
          <w:jc w:val="center"/>
        </w:trPr>
        <w:tc>
          <w:tcPr>
            <w:tcW w:w="6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E69BF8">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5</w:t>
            </w:r>
          </w:p>
        </w:tc>
        <w:tc>
          <w:tcPr>
            <w:tcW w:w="8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8C954F">
            <w:pPr>
              <w:jc w:val="center"/>
              <w:rPr>
                <w:rFonts w:hint="eastAsia" w:ascii="仿宋_GB2312" w:hAnsi="仿宋_GB2312" w:eastAsia="仿宋_GB2312" w:cs="仿宋_GB2312"/>
                <w:i w:val="0"/>
                <w:iCs w:val="0"/>
                <w:color w:val="000000"/>
                <w:sz w:val="24"/>
                <w:szCs w:val="24"/>
                <w:u w:val="none"/>
              </w:rPr>
            </w:pPr>
          </w:p>
        </w:tc>
        <w:tc>
          <w:tcPr>
            <w:tcW w:w="1193" w:type="dxa"/>
            <w:vMerge w:val="restart"/>
            <w:tcBorders>
              <w:top w:val="nil"/>
              <w:left w:val="single" w:color="000000" w:sz="4" w:space="0"/>
              <w:bottom w:val="single" w:color="000000" w:sz="4" w:space="0"/>
              <w:right w:val="single" w:color="000000" w:sz="4" w:space="0"/>
            </w:tcBorders>
            <w:shd w:val="clear" w:color="auto" w:fill="auto"/>
            <w:vAlign w:val="center"/>
          </w:tcPr>
          <w:p w14:paraId="1ED996DA">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A3资金投入</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（6分）</w:t>
            </w:r>
          </w:p>
        </w:tc>
        <w:tc>
          <w:tcPr>
            <w:tcW w:w="1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8B778">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A301预算编制科学性（3分）</w:t>
            </w:r>
          </w:p>
        </w:tc>
        <w:tc>
          <w:tcPr>
            <w:tcW w:w="28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A3044">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项目预算编制是否经过科学论证、有明确标准，资金额度与年度目标是否相适应，反映和考核项目预算编制的科学性、合理性情</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况。</w:t>
            </w:r>
          </w:p>
        </w:tc>
        <w:tc>
          <w:tcPr>
            <w:tcW w:w="5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60EE0">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①预算编制是否经过科学论证（1分）；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②预算内容与项目内容是否匹配（1分）；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③预算确定的项目投资额或资金量是否与工作任务相匹配（1分）。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评分标准：上述评价要点，符合得满分，不符合扣除相应分值。</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2A146">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3.00 </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19D2B">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3.00 </w:t>
            </w:r>
          </w:p>
        </w:tc>
      </w:tr>
      <w:tr w14:paraId="6E58B3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05" w:hRule="atLeast"/>
          <w:jc w:val="center"/>
        </w:trPr>
        <w:tc>
          <w:tcPr>
            <w:tcW w:w="6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49769">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6</w:t>
            </w:r>
          </w:p>
        </w:tc>
        <w:tc>
          <w:tcPr>
            <w:tcW w:w="897"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39C4F1D4">
            <w:pPr>
              <w:jc w:val="center"/>
              <w:rPr>
                <w:rFonts w:hint="eastAsia" w:ascii="仿宋_GB2312" w:hAnsi="仿宋_GB2312" w:eastAsia="仿宋_GB2312" w:cs="仿宋_GB2312"/>
                <w:i w:val="0"/>
                <w:iCs w:val="0"/>
                <w:color w:val="000000"/>
                <w:sz w:val="24"/>
                <w:szCs w:val="24"/>
                <w:u w:val="none"/>
              </w:rPr>
            </w:pPr>
          </w:p>
        </w:tc>
        <w:tc>
          <w:tcPr>
            <w:tcW w:w="1193" w:type="dxa"/>
            <w:vMerge w:val="continue"/>
            <w:tcBorders>
              <w:top w:val="nil"/>
              <w:left w:val="single" w:color="000000" w:sz="4" w:space="0"/>
              <w:bottom w:val="single" w:color="auto" w:sz="4" w:space="0"/>
              <w:right w:val="single" w:color="000000" w:sz="4" w:space="0"/>
            </w:tcBorders>
            <w:shd w:val="clear" w:color="auto" w:fill="auto"/>
            <w:vAlign w:val="center"/>
          </w:tcPr>
          <w:p w14:paraId="133C13A9">
            <w:pPr>
              <w:jc w:val="center"/>
              <w:rPr>
                <w:rFonts w:hint="eastAsia" w:ascii="仿宋_GB2312" w:hAnsi="仿宋_GB2312" w:eastAsia="仿宋_GB2312" w:cs="仿宋_GB2312"/>
                <w:i w:val="0"/>
                <w:iCs w:val="0"/>
                <w:color w:val="000000"/>
                <w:sz w:val="24"/>
                <w:szCs w:val="24"/>
                <w:u w:val="none"/>
              </w:rPr>
            </w:pPr>
          </w:p>
        </w:tc>
        <w:tc>
          <w:tcPr>
            <w:tcW w:w="1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583E2">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A301资金分配合理性（3分）</w:t>
            </w:r>
          </w:p>
        </w:tc>
        <w:tc>
          <w:tcPr>
            <w:tcW w:w="28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ACCA49">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项目预算资金分配是否有测算依据，与补助单位或地方实际是否相适应，用以反映和考核项目预算资金分配的科学性、合理性情况。</w:t>
            </w:r>
          </w:p>
        </w:tc>
        <w:tc>
          <w:tcPr>
            <w:tcW w:w="5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8B3B0">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①预算资金分配依据是否充分（1.5分）；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②资金分配额度是否合理，与项目单位或地方实际是否相适应（1.5分）。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评分标准：符合上述两点要求的，则按各项分值计算得分；不符合则按照各项分值扣分，扣完为止。</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E937B">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3.00 </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4D46E">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3.00 </w:t>
            </w:r>
          </w:p>
        </w:tc>
      </w:tr>
      <w:tr w14:paraId="3C6B16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24" w:hRule="atLeast"/>
          <w:jc w:val="center"/>
        </w:trPr>
        <w:tc>
          <w:tcPr>
            <w:tcW w:w="676" w:type="dxa"/>
            <w:tcBorders>
              <w:top w:val="single" w:color="000000" w:sz="4" w:space="0"/>
              <w:left w:val="single" w:color="000000" w:sz="4" w:space="0"/>
              <w:bottom w:val="single" w:color="000000" w:sz="4" w:space="0"/>
              <w:right w:val="single" w:color="auto" w:sz="4" w:space="0"/>
            </w:tcBorders>
            <w:shd w:val="clear" w:color="auto" w:fill="auto"/>
            <w:vAlign w:val="center"/>
          </w:tcPr>
          <w:p w14:paraId="0366FEE7">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7</w:t>
            </w:r>
          </w:p>
        </w:tc>
        <w:tc>
          <w:tcPr>
            <w:tcW w:w="897" w:type="dxa"/>
            <w:vMerge w:val="restart"/>
            <w:tcBorders>
              <w:top w:val="single" w:color="auto" w:sz="4" w:space="0"/>
              <w:left w:val="single" w:color="auto" w:sz="4" w:space="0"/>
              <w:bottom w:val="single" w:color="auto" w:sz="4" w:space="0"/>
              <w:right w:val="single" w:color="000000" w:sz="4" w:space="0"/>
            </w:tcBorders>
            <w:shd w:val="clear" w:color="auto" w:fill="auto"/>
            <w:vAlign w:val="center"/>
          </w:tcPr>
          <w:p w14:paraId="04E34126">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B过程指标</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（20分）</w:t>
            </w:r>
          </w:p>
        </w:tc>
        <w:tc>
          <w:tcPr>
            <w:tcW w:w="1193" w:type="dxa"/>
            <w:vMerge w:val="restart"/>
            <w:tcBorders>
              <w:top w:val="single" w:color="auto" w:sz="4" w:space="0"/>
              <w:left w:val="single" w:color="000000" w:sz="4" w:space="0"/>
              <w:bottom w:val="single" w:color="auto" w:sz="4" w:space="0"/>
              <w:right w:val="single" w:color="auto" w:sz="4" w:space="0"/>
            </w:tcBorders>
            <w:shd w:val="clear" w:color="auto" w:fill="auto"/>
            <w:vAlign w:val="center"/>
          </w:tcPr>
          <w:p w14:paraId="0BB9D33D">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B1资金管理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（6分）</w:t>
            </w:r>
          </w:p>
        </w:tc>
        <w:tc>
          <w:tcPr>
            <w:tcW w:w="1413" w:type="dxa"/>
            <w:tcBorders>
              <w:top w:val="single" w:color="000000" w:sz="4" w:space="0"/>
              <w:left w:val="single" w:color="auto" w:sz="4" w:space="0"/>
              <w:bottom w:val="single" w:color="000000" w:sz="4" w:space="0"/>
              <w:right w:val="single" w:color="000000" w:sz="4" w:space="0"/>
            </w:tcBorders>
            <w:shd w:val="clear" w:color="auto" w:fill="auto"/>
            <w:vAlign w:val="center"/>
          </w:tcPr>
          <w:p w14:paraId="21A6E7D7">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B101资金到位率（2分）</w:t>
            </w:r>
          </w:p>
        </w:tc>
        <w:tc>
          <w:tcPr>
            <w:tcW w:w="28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B609E">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实际到位资金与预算资金的比率，用以反映和考核资金落实情况对项目实施的总体保障程度。</w:t>
            </w:r>
          </w:p>
        </w:tc>
        <w:tc>
          <w:tcPr>
            <w:tcW w:w="5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E53CC">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①资金到位率=（实际到位资金/预算资金）×100%。</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②实际到位资金：一定时期（本年度或项目期）内分配落实到具体项目的资金。</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③预算资金：一定时期（本年度或项目期）内预算安排到具体项目的资金。</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评分标准：指标得分=资金到位率×权重分</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A3735">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2.00 </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825BA">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2.00 </w:t>
            </w:r>
          </w:p>
        </w:tc>
      </w:tr>
      <w:tr w14:paraId="73722B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71" w:hRule="atLeast"/>
          <w:jc w:val="center"/>
        </w:trPr>
        <w:tc>
          <w:tcPr>
            <w:tcW w:w="676" w:type="dxa"/>
            <w:tcBorders>
              <w:top w:val="single" w:color="000000" w:sz="4" w:space="0"/>
              <w:left w:val="single" w:color="000000" w:sz="4" w:space="0"/>
              <w:bottom w:val="single" w:color="000000" w:sz="4" w:space="0"/>
              <w:right w:val="single" w:color="auto" w:sz="4" w:space="0"/>
            </w:tcBorders>
            <w:shd w:val="clear" w:color="auto" w:fill="auto"/>
            <w:vAlign w:val="center"/>
          </w:tcPr>
          <w:p w14:paraId="31B21EB5">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8</w:t>
            </w:r>
          </w:p>
        </w:tc>
        <w:tc>
          <w:tcPr>
            <w:tcW w:w="897" w:type="dxa"/>
            <w:vMerge w:val="continue"/>
            <w:tcBorders>
              <w:top w:val="single" w:color="auto" w:sz="4" w:space="0"/>
              <w:left w:val="single" w:color="auto" w:sz="4" w:space="0"/>
              <w:bottom w:val="single" w:color="auto" w:sz="4" w:space="0"/>
              <w:right w:val="single" w:color="000000" w:sz="4" w:space="0"/>
            </w:tcBorders>
            <w:shd w:val="clear" w:color="auto" w:fill="auto"/>
            <w:vAlign w:val="center"/>
          </w:tcPr>
          <w:p w14:paraId="59B269CE">
            <w:pPr>
              <w:jc w:val="center"/>
              <w:rPr>
                <w:rFonts w:hint="eastAsia" w:ascii="仿宋_GB2312" w:hAnsi="仿宋_GB2312" w:eastAsia="仿宋_GB2312" w:cs="仿宋_GB2312"/>
                <w:i w:val="0"/>
                <w:iCs w:val="0"/>
                <w:color w:val="000000"/>
                <w:sz w:val="24"/>
                <w:szCs w:val="24"/>
                <w:u w:val="none"/>
              </w:rPr>
            </w:pPr>
          </w:p>
        </w:tc>
        <w:tc>
          <w:tcPr>
            <w:tcW w:w="1193" w:type="dxa"/>
            <w:vMerge w:val="continue"/>
            <w:tcBorders>
              <w:top w:val="single" w:color="auto" w:sz="4" w:space="0"/>
              <w:left w:val="single" w:color="000000" w:sz="4" w:space="0"/>
              <w:bottom w:val="single" w:color="auto" w:sz="4" w:space="0"/>
              <w:right w:val="single" w:color="auto" w:sz="4" w:space="0"/>
            </w:tcBorders>
            <w:shd w:val="clear" w:color="auto" w:fill="auto"/>
            <w:vAlign w:val="center"/>
          </w:tcPr>
          <w:p w14:paraId="1A20E94A">
            <w:pPr>
              <w:jc w:val="center"/>
              <w:rPr>
                <w:rFonts w:hint="eastAsia" w:ascii="仿宋_GB2312" w:hAnsi="仿宋_GB2312" w:eastAsia="仿宋_GB2312" w:cs="仿宋_GB2312"/>
                <w:i w:val="0"/>
                <w:iCs w:val="0"/>
                <w:color w:val="000000"/>
                <w:sz w:val="24"/>
                <w:szCs w:val="24"/>
                <w:u w:val="none"/>
              </w:rPr>
            </w:pPr>
          </w:p>
        </w:tc>
        <w:tc>
          <w:tcPr>
            <w:tcW w:w="1413" w:type="dxa"/>
            <w:tcBorders>
              <w:top w:val="single" w:color="000000" w:sz="4" w:space="0"/>
              <w:left w:val="single" w:color="auto" w:sz="4" w:space="0"/>
              <w:bottom w:val="single" w:color="auto" w:sz="4" w:space="0"/>
              <w:right w:val="single" w:color="000000" w:sz="4" w:space="0"/>
            </w:tcBorders>
            <w:shd w:val="clear" w:color="auto" w:fill="auto"/>
            <w:vAlign w:val="center"/>
          </w:tcPr>
          <w:p w14:paraId="51F02528">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B102预算执行率（4分）</w:t>
            </w:r>
          </w:p>
        </w:tc>
        <w:tc>
          <w:tcPr>
            <w:tcW w:w="2891" w:type="dxa"/>
            <w:tcBorders>
              <w:top w:val="single" w:color="000000" w:sz="4" w:space="0"/>
              <w:left w:val="single" w:color="000000" w:sz="4" w:space="0"/>
              <w:bottom w:val="single" w:color="auto" w:sz="4" w:space="0"/>
              <w:right w:val="single" w:color="000000" w:sz="4" w:space="0"/>
            </w:tcBorders>
            <w:shd w:val="clear" w:color="auto" w:fill="auto"/>
            <w:vAlign w:val="center"/>
          </w:tcPr>
          <w:p w14:paraId="4D36B8E2">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项目预算资金是否按照计划执行，用以反映或考核项目预算执行情况。</w:t>
            </w:r>
          </w:p>
        </w:tc>
        <w:tc>
          <w:tcPr>
            <w:tcW w:w="5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1E2140">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预算执行率=（实际支出资金/预算可执行资金）×100%。</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评分标准：指标得分=预算执行率×权重分</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D53DC">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4.00 </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0FACF">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0.00 </w:t>
            </w:r>
          </w:p>
        </w:tc>
      </w:tr>
      <w:tr w14:paraId="39D901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00" w:hRule="atLeast"/>
          <w:jc w:val="center"/>
        </w:trPr>
        <w:tc>
          <w:tcPr>
            <w:tcW w:w="676" w:type="dxa"/>
            <w:tcBorders>
              <w:top w:val="single" w:color="000000" w:sz="4" w:space="0"/>
              <w:left w:val="single" w:color="000000" w:sz="4" w:space="0"/>
              <w:bottom w:val="single" w:color="000000" w:sz="4" w:space="0"/>
              <w:right w:val="single" w:color="auto" w:sz="4" w:space="0"/>
            </w:tcBorders>
            <w:shd w:val="clear" w:color="auto" w:fill="auto"/>
            <w:vAlign w:val="center"/>
          </w:tcPr>
          <w:p w14:paraId="1688952F">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9</w:t>
            </w:r>
          </w:p>
        </w:tc>
        <w:tc>
          <w:tcPr>
            <w:tcW w:w="89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90EBBD7">
            <w:pPr>
              <w:jc w:val="center"/>
              <w:rPr>
                <w:rFonts w:hint="eastAsia" w:ascii="仿宋_GB2312" w:hAnsi="仿宋_GB2312" w:eastAsia="仿宋_GB2312" w:cs="仿宋_GB2312"/>
                <w:i w:val="0"/>
                <w:iCs w:val="0"/>
                <w:color w:val="000000"/>
                <w:sz w:val="24"/>
                <w:szCs w:val="24"/>
                <w:u w:val="none"/>
              </w:rPr>
            </w:pPr>
          </w:p>
        </w:tc>
        <w:tc>
          <w:tcPr>
            <w:tcW w:w="1193" w:type="dxa"/>
            <w:vMerge w:val="restart"/>
            <w:tcBorders>
              <w:top w:val="single" w:color="auto" w:sz="4" w:space="0"/>
              <w:left w:val="single" w:color="auto" w:sz="4" w:space="0"/>
              <w:bottom w:val="single" w:color="auto" w:sz="4" w:space="0"/>
              <w:right w:val="single" w:color="000000" w:sz="4" w:space="0"/>
            </w:tcBorders>
            <w:shd w:val="clear" w:color="auto" w:fill="auto"/>
            <w:vAlign w:val="center"/>
          </w:tcPr>
          <w:p w14:paraId="0E025A35">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B2组织实施</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（14分）</w:t>
            </w:r>
          </w:p>
        </w:tc>
        <w:tc>
          <w:tcPr>
            <w:tcW w:w="1413" w:type="dxa"/>
            <w:tcBorders>
              <w:top w:val="single" w:color="auto" w:sz="4" w:space="0"/>
              <w:left w:val="single" w:color="000000" w:sz="4" w:space="0"/>
              <w:bottom w:val="single" w:color="000000" w:sz="4" w:space="0"/>
              <w:right w:val="single" w:color="000000" w:sz="4" w:space="0"/>
            </w:tcBorders>
            <w:shd w:val="clear" w:color="auto" w:fill="auto"/>
            <w:vAlign w:val="center"/>
          </w:tcPr>
          <w:p w14:paraId="10AE213D">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B201管理制度健全性（4分）</w:t>
            </w:r>
          </w:p>
        </w:tc>
        <w:tc>
          <w:tcPr>
            <w:tcW w:w="2891" w:type="dxa"/>
            <w:tcBorders>
              <w:top w:val="single" w:color="auto" w:sz="4" w:space="0"/>
              <w:left w:val="single" w:color="000000" w:sz="4" w:space="0"/>
              <w:bottom w:val="single" w:color="000000" w:sz="4" w:space="0"/>
              <w:right w:val="single" w:color="auto" w:sz="4" w:space="0"/>
            </w:tcBorders>
            <w:shd w:val="clear" w:color="auto" w:fill="auto"/>
            <w:vAlign w:val="center"/>
          </w:tcPr>
          <w:p w14:paraId="5767D477">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项目实施单位的财务和业务管理制度是否健全，用以反映和考核财务和业务管理制度对项目顺利实施的保障情况。</w:t>
            </w:r>
          </w:p>
        </w:tc>
        <w:tc>
          <w:tcPr>
            <w:tcW w:w="5953" w:type="dxa"/>
            <w:tcBorders>
              <w:top w:val="single" w:color="000000" w:sz="4" w:space="0"/>
              <w:left w:val="single" w:color="auto" w:sz="4" w:space="0"/>
              <w:bottom w:val="single" w:color="000000" w:sz="4" w:space="0"/>
              <w:right w:val="single" w:color="000000" w:sz="4" w:space="0"/>
            </w:tcBorders>
            <w:shd w:val="clear" w:color="auto" w:fill="auto"/>
            <w:vAlign w:val="center"/>
          </w:tcPr>
          <w:p w14:paraId="42F0B565">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①是否已制定或具有相应的业务管理制度（2分）；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②业务管理制度是否合法、合规、完整（2分）。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评分标准：符合上述两点要求的，则按各项分值计算得分；不符合则按照各项分值扣分，扣完为止。</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3F8A4">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4.00 </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10A8C">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4.00 </w:t>
            </w:r>
          </w:p>
        </w:tc>
      </w:tr>
      <w:tr w14:paraId="36BEBD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72" w:hRule="atLeast"/>
          <w:jc w:val="center"/>
        </w:trPr>
        <w:tc>
          <w:tcPr>
            <w:tcW w:w="676" w:type="dxa"/>
            <w:tcBorders>
              <w:top w:val="single" w:color="000000" w:sz="4" w:space="0"/>
              <w:left w:val="single" w:color="000000" w:sz="4" w:space="0"/>
              <w:bottom w:val="single" w:color="000000" w:sz="4" w:space="0"/>
              <w:right w:val="single" w:color="auto" w:sz="4" w:space="0"/>
            </w:tcBorders>
            <w:shd w:val="clear" w:color="auto" w:fill="auto"/>
            <w:vAlign w:val="center"/>
          </w:tcPr>
          <w:p w14:paraId="7DCA81DB">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10</w:t>
            </w:r>
          </w:p>
        </w:tc>
        <w:tc>
          <w:tcPr>
            <w:tcW w:w="89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A9CCE94">
            <w:pPr>
              <w:jc w:val="center"/>
              <w:rPr>
                <w:rFonts w:hint="eastAsia" w:ascii="仿宋_GB2312" w:hAnsi="仿宋_GB2312" w:eastAsia="仿宋_GB2312" w:cs="仿宋_GB2312"/>
                <w:i w:val="0"/>
                <w:iCs w:val="0"/>
                <w:color w:val="000000"/>
                <w:sz w:val="24"/>
                <w:szCs w:val="24"/>
                <w:u w:val="none"/>
              </w:rPr>
            </w:pPr>
          </w:p>
        </w:tc>
        <w:tc>
          <w:tcPr>
            <w:tcW w:w="1193" w:type="dxa"/>
            <w:vMerge w:val="continue"/>
            <w:tcBorders>
              <w:top w:val="single" w:color="auto" w:sz="4" w:space="0"/>
              <w:left w:val="single" w:color="auto" w:sz="4" w:space="0"/>
              <w:bottom w:val="single" w:color="auto" w:sz="4" w:space="0"/>
              <w:right w:val="single" w:color="000000" w:sz="4" w:space="0"/>
            </w:tcBorders>
            <w:shd w:val="clear" w:color="auto" w:fill="auto"/>
            <w:vAlign w:val="center"/>
          </w:tcPr>
          <w:p w14:paraId="1DC3B6B8">
            <w:pPr>
              <w:jc w:val="center"/>
              <w:rPr>
                <w:rFonts w:hint="eastAsia" w:ascii="仿宋_GB2312" w:hAnsi="仿宋_GB2312" w:eastAsia="仿宋_GB2312" w:cs="仿宋_GB2312"/>
                <w:i w:val="0"/>
                <w:iCs w:val="0"/>
                <w:color w:val="000000"/>
                <w:sz w:val="24"/>
                <w:szCs w:val="24"/>
                <w:u w:val="none"/>
              </w:rPr>
            </w:pPr>
          </w:p>
        </w:tc>
        <w:tc>
          <w:tcPr>
            <w:tcW w:w="1413" w:type="dxa"/>
            <w:tcBorders>
              <w:top w:val="single" w:color="000000" w:sz="4" w:space="0"/>
              <w:left w:val="single" w:color="000000" w:sz="4" w:space="0"/>
              <w:bottom w:val="single" w:color="auto" w:sz="4" w:space="0"/>
              <w:right w:val="single" w:color="000000" w:sz="4" w:space="0"/>
            </w:tcBorders>
            <w:shd w:val="clear" w:color="auto" w:fill="auto"/>
            <w:vAlign w:val="center"/>
          </w:tcPr>
          <w:p w14:paraId="59C2D5E3">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B202制度执行有效性（4分）</w:t>
            </w:r>
          </w:p>
        </w:tc>
        <w:tc>
          <w:tcPr>
            <w:tcW w:w="2891" w:type="dxa"/>
            <w:tcBorders>
              <w:top w:val="single" w:color="000000" w:sz="4" w:space="0"/>
              <w:left w:val="single" w:color="000000" w:sz="4" w:space="0"/>
              <w:bottom w:val="single" w:color="auto" w:sz="4" w:space="0"/>
              <w:right w:val="single" w:color="auto" w:sz="4" w:space="0"/>
            </w:tcBorders>
            <w:shd w:val="clear" w:color="auto" w:fill="auto"/>
            <w:vAlign w:val="center"/>
          </w:tcPr>
          <w:p w14:paraId="2075CB60">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项目实施是否符合相关管理规定，用以反映和考核方案审批审查、项目建设实施、日常监督检查、考核评估等相关管理制度的有效执行情况。</w:t>
            </w:r>
          </w:p>
        </w:tc>
        <w:tc>
          <w:tcPr>
            <w:tcW w:w="5953" w:type="dxa"/>
            <w:tcBorders>
              <w:top w:val="single" w:color="000000" w:sz="4" w:space="0"/>
              <w:left w:val="single" w:color="auto" w:sz="4" w:space="0"/>
              <w:bottom w:val="single" w:color="auto" w:sz="4" w:space="0"/>
              <w:right w:val="single" w:color="000000" w:sz="4" w:space="0"/>
            </w:tcBorders>
            <w:shd w:val="clear" w:color="auto" w:fill="auto"/>
            <w:vAlign w:val="center"/>
          </w:tcPr>
          <w:p w14:paraId="07BB5A15">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①是否遵守相关法律法规和相关管理规定进行项目建设管理，工程进度控制到位，验收规范，公示制度执行到位（1分）；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②招投标程序符合有关规定，政府采购流程规范，集体决策资料齐全完整（1分）；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③各项合同签订手续完整且符合相关规定（1分）；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④项目变更及变更手续是否完备（1分）。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评分标准：上述评价要点，发现一处不符合扣1分，扣完为止。</w:t>
            </w:r>
          </w:p>
        </w:tc>
        <w:tc>
          <w:tcPr>
            <w:tcW w:w="1020" w:type="dxa"/>
            <w:tcBorders>
              <w:top w:val="single" w:color="000000" w:sz="4" w:space="0"/>
              <w:left w:val="single" w:color="000000" w:sz="4" w:space="0"/>
              <w:bottom w:val="single" w:color="auto" w:sz="4" w:space="0"/>
              <w:right w:val="single" w:color="000000" w:sz="4" w:space="0"/>
            </w:tcBorders>
            <w:shd w:val="clear" w:color="auto" w:fill="auto"/>
            <w:vAlign w:val="center"/>
          </w:tcPr>
          <w:p w14:paraId="3180713F">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4.00 </w:t>
            </w:r>
          </w:p>
        </w:tc>
        <w:tc>
          <w:tcPr>
            <w:tcW w:w="1020" w:type="dxa"/>
            <w:tcBorders>
              <w:top w:val="single" w:color="000000" w:sz="4" w:space="0"/>
              <w:left w:val="single" w:color="000000" w:sz="4" w:space="0"/>
              <w:bottom w:val="single" w:color="auto" w:sz="4" w:space="0"/>
              <w:right w:val="single" w:color="000000" w:sz="4" w:space="0"/>
            </w:tcBorders>
            <w:shd w:val="clear" w:color="auto" w:fill="auto"/>
            <w:vAlign w:val="center"/>
          </w:tcPr>
          <w:p w14:paraId="14AE1C03">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2.00 </w:t>
            </w:r>
          </w:p>
        </w:tc>
      </w:tr>
      <w:tr w14:paraId="6C77E6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01" w:hRule="atLeast"/>
          <w:jc w:val="center"/>
        </w:trPr>
        <w:tc>
          <w:tcPr>
            <w:tcW w:w="676" w:type="dxa"/>
            <w:tcBorders>
              <w:top w:val="single" w:color="000000" w:sz="4" w:space="0"/>
              <w:left w:val="single" w:color="000000" w:sz="4" w:space="0"/>
              <w:bottom w:val="single" w:color="000000" w:sz="4" w:space="0"/>
              <w:right w:val="single" w:color="auto" w:sz="4" w:space="0"/>
            </w:tcBorders>
            <w:shd w:val="clear" w:color="auto" w:fill="auto"/>
            <w:vAlign w:val="center"/>
          </w:tcPr>
          <w:p w14:paraId="1C63E8E9">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11</w:t>
            </w:r>
          </w:p>
        </w:tc>
        <w:tc>
          <w:tcPr>
            <w:tcW w:w="89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E76CEC9">
            <w:pPr>
              <w:jc w:val="center"/>
              <w:rPr>
                <w:rFonts w:hint="eastAsia" w:ascii="仿宋_GB2312" w:hAnsi="仿宋_GB2312" w:eastAsia="仿宋_GB2312" w:cs="仿宋_GB2312"/>
                <w:i w:val="0"/>
                <w:iCs w:val="0"/>
                <w:color w:val="000000"/>
                <w:sz w:val="24"/>
                <w:szCs w:val="24"/>
                <w:u w:val="none"/>
              </w:rPr>
            </w:pPr>
          </w:p>
        </w:tc>
        <w:tc>
          <w:tcPr>
            <w:tcW w:w="1193" w:type="dxa"/>
            <w:vMerge w:val="continue"/>
            <w:tcBorders>
              <w:top w:val="single" w:color="auto" w:sz="4" w:space="0"/>
              <w:left w:val="single" w:color="auto" w:sz="4" w:space="0"/>
              <w:bottom w:val="single" w:color="auto" w:sz="4" w:space="0"/>
              <w:right w:val="single" w:color="000000" w:sz="4" w:space="0"/>
            </w:tcBorders>
            <w:shd w:val="clear" w:color="auto" w:fill="auto"/>
            <w:vAlign w:val="center"/>
          </w:tcPr>
          <w:p w14:paraId="2A4226C9">
            <w:pPr>
              <w:jc w:val="center"/>
              <w:rPr>
                <w:rFonts w:hint="eastAsia" w:ascii="仿宋_GB2312" w:hAnsi="仿宋_GB2312" w:eastAsia="仿宋_GB2312" w:cs="仿宋_GB2312"/>
                <w:i w:val="0"/>
                <w:iCs w:val="0"/>
                <w:color w:val="000000"/>
                <w:sz w:val="24"/>
                <w:szCs w:val="24"/>
                <w:u w:val="none"/>
              </w:rPr>
            </w:pPr>
          </w:p>
        </w:tc>
        <w:tc>
          <w:tcPr>
            <w:tcW w:w="1413" w:type="dxa"/>
            <w:tcBorders>
              <w:top w:val="single" w:color="auto" w:sz="4" w:space="0"/>
              <w:left w:val="single" w:color="000000" w:sz="4" w:space="0"/>
              <w:bottom w:val="single" w:color="000000" w:sz="4" w:space="0"/>
              <w:right w:val="single" w:color="auto" w:sz="4" w:space="0"/>
            </w:tcBorders>
            <w:shd w:val="clear" w:color="auto" w:fill="auto"/>
            <w:vAlign w:val="center"/>
          </w:tcPr>
          <w:p w14:paraId="5F3FCDA4">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B203项目运行监控全面性（6分）</w:t>
            </w:r>
          </w:p>
        </w:tc>
        <w:tc>
          <w:tcPr>
            <w:tcW w:w="2891" w:type="dxa"/>
            <w:tcBorders>
              <w:top w:val="single" w:color="auto" w:sz="4" w:space="0"/>
              <w:left w:val="single" w:color="auto" w:sz="4" w:space="0"/>
              <w:bottom w:val="single" w:color="auto" w:sz="4" w:space="0"/>
              <w:right w:val="single" w:color="000000" w:sz="4" w:space="0"/>
            </w:tcBorders>
            <w:shd w:val="clear" w:color="auto" w:fill="auto"/>
            <w:vAlign w:val="center"/>
          </w:tcPr>
          <w:p w14:paraId="7FAEAB6B">
            <w:pPr>
              <w:keepNext w:val="0"/>
              <w:keepLines w:val="0"/>
              <w:widowControl/>
              <w:suppressLineNumbers w:val="0"/>
              <w:jc w:val="both"/>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评价实施单位在项目实施过程中的监督管理履职情况。</w:t>
            </w:r>
          </w:p>
        </w:tc>
        <w:tc>
          <w:tcPr>
            <w:tcW w:w="5953" w:type="dxa"/>
            <w:tcBorders>
              <w:top w:val="single" w:color="auto" w:sz="4" w:space="0"/>
              <w:left w:val="single" w:color="000000" w:sz="4" w:space="0"/>
              <w:bottom w:val="single" w:color="auto" w:sz="4" w:space="0"/>
              <w:right w:val="single" w:color="000000" w:sz="4" w:space="0"/>
            </w:tcBorders>
            <w:shd w:val="clear" w:color="auto" w:fill="auto"/>
            <w:vAlign w:val="center"/>
          </w:tcPr>
          <w:p w14:paraId="75E37B62">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①设计方案阶段监管机制构建：考核石狮市农业农村局是否在设计方案编制前明确资金监管与质量管控书面细则，及是否建立联合专业人员的方案审核机制并留存记录（2分）；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②设计方案问题整改与优化：考核对设计方案审查问题是否及时提整改意见并留存通知书，及设计单位是否完成整改且经复核通过（2分）；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③招投标阶段过程监管实施：考核是否对招投标全流程监督并留存记录，及是否开展自查且报告完整、问题整改到位，未监督或自查不规范酌情扣分（2分）。</w:t>
            </w:r>
          </w:p>
        </w:tc>
        <w:tc>
          <w:tcPr>
            <w:tcW w:w="1020" w:type="dxa"/>
            <w:tcBorders>
              <w:top w:val="single" w:color="auto" w:sz="4" w:space="0"/>
              <w:left w:val="single" w:color="000000" w:sz="4" w:space="0"/>
              <w:bottom w:val="single" w:color="auto" w:sz="4" w:space="0"/>
              <w:right w:val="single" w:color="000000" w:sz="4" w:space="0"/>
            </w:tcBorders>
            <w:shd w:val="clear" w:color="auto" w:fill="auto"/>
            <w:vAlign w:val="center"/>
          </w:tcPr>
          <w:p w14:paraId="66DA4ACE">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6.00 </w:t>
            </w:r>
          </w:p>
        </w:tc>
        <w:tc>
          <w:tcPr>
            <w:tcW w:w="1020" w:type="dxa"/>
            <w:tcBorders>
              <w:top w:val="single" w:color="auto" w:sz="4" w:space="0"/>
              <w:left w:val="single" w:color="000000" w:sz="4" w:space="0"/>
              <w:bottom w:val="single" w:color="auto" w:sz="4" w:space="0"/>
              <w:right w:val="single" w:color="auto" w:sz="4" w:space="0"/>
            </w:tcBorders>
            <w:shd w:val="clear" w:color="auto" w:fill="auto"/>
            <w:vAlign w:val="center"/>
          </w:tcPr>
          <w:p w14:paraId="0A6975EC">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4.00 </w:t>
            </w:r>
          </w:p>
        </w:tc>
      </w:tr>
      <w:tr w14:paraId="73A203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73" w:hRule="atLeast"/>
          <w:jc w:val="center"/>
        </w:trPr>
        <w:tc>
          <w:tcPr>
            <w:tcW w:w="6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DDC66">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12</w:t>
            </w:r>
          </w:p>
        </w:tc>
        <w:tc>
          <w:tcPr>
            <w:tcW w:w="897" w:type="dxa"/>
            <w:vMerge w:val="restart"/>
            <w:tcBorders>
              <w:top w:val="single" w:color="auto" w:sz="4" w:space="0"/>
              <w:left w:val="single" w:color="000000" w:sz="4" w:space="0"/>
              <w:bottom w:val="single" w:color="auto" w:sz="4" w:space="0"/>
              <w:right w:val="single" w:color="000000" w:sz="4" w:space="0"/>
            </w:tcBorders>
            <w:shd w:val="clear" w:color="auto" w:fill="auto"/>
            <w:vAlign w:val="center"/>
          </w:tcPr>
          <w:p w14:paraId="73C8BE9B">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C产出指标</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（39分）</w:t>
            </w:r>
          </w:p>
        </w:tc>
        <w:tc>
          <w:tcPr>
            <w:tcW w:w="1193" w:type="dxa"/>
            <w:vMerge w:val="restart"/>
            <w:tcBorders>
              <w:top w:val="single" w:color="auto" w:sz="4" w:space="0"/>
              <w:left w:val="single" w:color="000000" w:sz="4" w:space="0"/>
              <w:bottom w:val="single" w:color="auto" w:sz="4" w:space="0"/>
              <w:right w:val="single" w:color="000000" w:sz="4" w:space="0"/>
            </w:tcBorders>
            <w:shd w:val="clear" w:color="auto" w:fill="auto"/>
            <w:vAlign w:val="center"/>
          </w:tcPr>
          <w:p w14:paraId="545B88DC">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C1产出数量</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（18分）</w:t>
            </w:r>
          </w:p>
        </w:tc>
        <w:tc>
          <w:tcPr>
            <w:tcW w:w="1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85C7AA">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C101设计文件编制完成情况（8分）</w:t>
            </w:r>
          </w:p>
        </w:tc>
        <w:tc>
          <w:tcPr>
            <w:tcW w:w="2891" w:type="dxa"/>
            <w:tcBorders>
              <w:top w:val="single" w:color="auto" w:sz="4" w:space="0"/>
              <w:left w:val="single" w:color="000000" w:sz="4" w:space="0"/>
              <w:bottom w:val="single" w:color="000000" w:sz="4" w:space="0"/>
              <w:right w:val="single" w:color="000000" w:sz="4" w:space="0"/>
            </w:tcBorders>
            <w:shd w:val="clear" w:color="auto" w:fill="auto"/>
            <w:vAlign w:val="center"/>
          </w:tcPr>
          <w:p w14:paraId="700F3BC3">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考核项目目前阶段的产出完成情况（聚焦设计成果的全面性）</w:t>
            </w:r>
          </w:p>
        </w:tc>
        <w:tc>
          <w:tcPr>
            <w:tcW w:w="5953" w:type="dxa"/>
            <w:tcBorders>
              <w:top w:val="single" w:color="auto" w:sz="4" w:space="0"/>
              <w:left w:val="single" w:color="000000" w:sz="4" w:space="0"/>
              <w:bottom w:val="single" w:color="000000" w:sz="4" w:space="0"/>
              <w:right w:val="single" w:color="000000" w:sz="4" w:space="0"/>
            </w:tcBorders>
            <w:shd w:val="clear" w:color="auto" w:fill="auto"/>
            <w:vAlign w:val="center"/>
          </w:tcPr>
          <w:p w14:paraId="761470B6">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①设计方案涉及的正文章节完整性（2分）；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②专业图纸合规性、附件资料完备性、概算与备案文件规范性（2分）；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③专家评审通过率（2分）；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④设计方案的响应与调整及时性（2分）。</w:t>
            </w:r>
          </w:p>
        </w:tc>
        <w:tc>
          <w:tcPr>
            <w:tcW w:w="1020" w:type="dxa"/>
            <w:tcBorders>
              <w:top w:val="single" w:color="auto" w:sz="4" w:space="0"/>
              <w:left w:val="single" w:color="000000" w:sz="4" w:space="0"/>
              <w:bottom w:val="nil"/>
              <w:right w:val="single" w:color="000000" w:sz="4" w:space="0"/>
            </w:tcBorders>
            <w:shd w:val="clear" w:color="auto" w:fill="auto"/>
            <w:vAlign w:val="center"/>
          </w:tcPr>
          <w:p w14:paraId="4CC83FAB">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8.00 </w:t>
            </w:r>
          </w:p>
        </w:tc>
        <w:tc>
          <w:tcPr>
            <w:tcW w:w="1020" w:type="dxa"/>
            <w:tcBorders>
              <w:top w:val="single" w:color="auto" w:sz="4" w:space="0"/>
              <w:left w:val="single" w:color="000000" w:sz="4" w:space="0"/>
              <w:bottom w:val="nil"/>
              <w:right w:val="single" w:color="000000" w:sz="4" w:space="0"/>
            </w:tcBorders>
            <w:shd w:val="clear" w:color="auto" w:fill="auto"/>
            <w:vAlign w:val="center"/>
          </w:tcPr>
          <w:p w14:paraId="6F953964">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6.00 </w:t>
            </w:r>
          </w:p>
        </w:tc>
      </w:tr>
      <w:tr w14:paraId="0C9B02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96" w:hRule="atLeast"/>
          <w:jc w:val="center"/>
        </w:trPr>
        <w:tc>
          <w:tcPr>
            <w:tcW w:w="6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7DC05">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13</w:t>
            </w:r>
          </w:p>
        </w:tc>
        <w:tc>
          <w:tcPr>
            <w:tcW w:w="897"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14:paraId="57CA66A6">
            <w:pPr>
              <w:jc w:val="center"/>
              <w:rPr>
                <w:rFonts w:hint="eastAsia" w:ascii="仿宋_GB2312" w:hAnsi="仿宋_GB2312" w:eastAsia="仿宋_GB2312" w:cs="仿宋_GB2312"/>
                <w:i w:val="0"/>
                <w:iCs w:val="0"/>
                <w:color w:val="000000"/>
                <w:sz w:val="24"/>
                <w:szCs w:val="24"/>
                <w:u w:val="none"/>
              </w:rPr>
            </w:pPr>
          </w:p>
        </w:tc>
        <w:tc>
          <w:tcPr>
            <w:tcW w:w="1193"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14:paraId="289AB659">
            <w:pPr>
              <w:jc w:val="center"/>
              <w:rPr>
                <w:rFonts w:hint="eastAsia" w:ascii="仿宋_GB2312" w:hAnsi="仿宋_GB2312" w:eastAsia="仿宋_GB2312" w:cs="仿宋_GB2312"/>
                <w:i w:val="0"/>
                <w:iCs w:val="0"/>
                <w:color w:val="000000"/>
                <w:sz w:val="24"/>
                <w:szCs w:val="24"/>
                <w:u w:val="none"/>
              </w:rPr>
            </w:pPr>
          </w:p>
        </w:tc>
        <w:tc>
          <w:tcPr>
            <w:tcW w:w="1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B0B4F">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C102灌排化、机械化、田园化、数字化工程进度（10分）</w:t>
            </w:r>
          </w:p>
        </w:tc>
        <w:tc>
          <w:tcPr>
            <w:tcW w:w="28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97EC0">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衡量高标准农田建设工程各分项的阶段性计划完成情况</w:t>
            </w:r>
          </w:p>
        </w:tc>
        <w:tc>
          <w:tcPr>
            <w:tcW w:w="5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D5DD9">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1）灌排化：①新建泵站1座；②改建灌排渠6条，总长1752m；③加固排水沟4条，总长2188m；④渠系建筑物配套量水尺6把、放水口70个、涵洞4座、渠过路涵8座；（2）机械化：①改建田间道3条，总长1442m；②配套错车道2处，新建下田坡道8处；（3）田园化：①补充完善环高标农田核心区彩色沥青道路4173m；②形成环高标农田核心区“520”田园景观休闲健身步道；（4）数字化：①高标准空间数据建模、高标准农田数字化综合管理平台(PC端)、基于AIGC的高标准农田数字化、高标准农田数字化综合管理平台(移动端)；②智能型视频气象站（带LED屏幕+摄像头）1套、土壤墒情站20套、智慧太阳能监控系统（苗情监测+安全监测）23套、水质监测传感器1套，虫情监测系统1套、风吸式杀虫灯30套、水肥一体首部系统1套等。</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评价标准：根据项目实施计划情况，对应实际完成工程进度，每少完成一部分计划内容，扣2分，扣完为止。</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AF63C">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10.00 </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5E16A">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0.00 </w:t>
            </w:r>
          </w:p>
        </w:tc>
      </w:tr>
      <w:tr w14:paraId="5C47B9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20" w:hRule="atLeast"/>
          <w:jc w:val="center"/>
        </w:trPr>
        <w:tc>
          <w:tcPr>
            <w:tcW w:w="6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C110B">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14</w:t>
            </w:r>
          </w:p>
        </w:tc>
        <w:tc>
          <w:tcPr>
            <w:tcW w:w="897"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14:paraId="2B498FF3">
            <w:pPr>
              <w:jc w:val="center"/>
              <w:rPr>
                <w:rFonts w:hint="eastAsia" w:ascii="仿宋_GB2312" w:hAnsi="仿宋_GB2312" w:eastAsia="仿宋_GB2312" w:cs="仿宋_GB2312"/>
                <w:i w:val="0"/>
                <w:iCs w:val="0"/>
                <w:color w:val="000000"/>
                <w:sz w:val="24"/>
                <w:szCs w:val="24"/>
                <w:u w:val="none"/>
              </w:rPr>
            </w:pPr>
          </w:p>
        </w:tc>
        <w:tc>
          <w:tcPr>
            <w:tcW w:w="1193" w:type="dxa"/>
            <w:vMerge w:val="restart"/>
            <w:tcBorders>
              <w:top w:val="single" w:color="auto" w:sz="4" w:space="0"/>
              <w:left w:val="single" w:color="000000" w:sz="4" w:space="0"/>
              <w:bottom w:val="single" w:color="auto" w:sz="4" w:space="0"/>
              <w:right w:val="single" w:color="000000" w:sz="4" w:space="0"/>
            </w:tcBorders>
            <w:shd w:val="clear" w:color="auto" w:fill="auto"/>
            <w:vAlign w:val="center"/>
          </w:tcPr>
          <w:p w14:paraId="72F59751">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C2产出质量</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（12分）</w:t>
            </w:r>
          </w:p>
        </w:tc>
        <w:tc>
          <w:tcPr>
            <w:tcW w:w="1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82F33">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C201“五化”特征设计覆盖率（6分）</w:t>
            </w:r>
          </w:p>
        </w:tc>
        <w:tc>
          <w:tcPr>
            <w:tcW w:w="28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DE49F">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聚焦“灌排化、机械化、生态化、田园化、数字化”五大核心特征，评价设计方案的内容覆盖情况</w:t>
            </w:r>
          </w:p>
        </w:tc>
        <w:tc>
          <w:tcPr>
            <w:tcW w:w="5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D4132">
            <w:pPr>
              <w:keepNext w:val="0"/>
              <w:keepLines w:val="0"/>
              <w:widowControl/>
              <w:suppressLineNumbers w:val="0"/>
              <w:jc w:val="both"/>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①“五化”核心建设内容的设计覆盖完整性（2分）；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②“五化”技术参数与标准的匹配覆盖（2分）；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③“五化”与项目区需求的针对性覆盖（2分）。</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C61AEA">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6.00 </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85325">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6.00 </w:t>
            </w:r>
          </w:p>
        </w:tc>
      </w:tr>
      <w:tr w14:paraId="2971D8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80" w:hRule="atLeast"/>
          <w:jc w:val="center"/>
        </w:trPr>
        <w:tc>
          <w:tcPr>
            <w:tcW w:w="6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5AEBC">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15</w:t>
            </w:r>
          </w:p>
        </w:tc>
        <w:tc>
          <w:tcPr>
            <w:tcW w:w="897"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14:paraId="25433A3E">
            <w:pPr>
              <w:jc w:val="center"/>
              <w:rPr>
                <w:rFonts w:hint="eastAsia" w:ascii="仿宋_GB2312" w:hAnsi="仿宋_GB2312" w:eastAsia="仿宋_GB2312" w:cs="仿宋_GB2312"/>
                <w:i w:val="0"/>
                <w:iCs w:val="0"/>
                <w:color w:val="000000"/>
                <w:sz w:val="24"/>
                <w:szCs w:val="24"/>
                <w:u w:val="none"/>
              </w:rPr>
            </w:pPr>
          </w:p>
        </w:tc>
        <w:tc>
          <w:tcPr>
            <w:tcW w:w="1193"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14:paraId="0D2949B0">
            <w:pPr>
              <w:jc w:val="center"/>
              <w:rPr>
                <w:rFonts w:hint="eastAsia" w:ascii="仿宋_GB2312" w:hAnsi="仿宋_GB2312" w:eastAsia="仿宋_GB2312" w:cs="仿宋_GB2312"/>
                <w:i w:val="0"/>
                <w:iCs w:val="0"/>
                <w:color w:val="000000"/>
                <w:sz w:val="24"/>
                <w:szCs w:val="24"/>
                <w:u w:val="none"/>
              </w:rPr>
            </w:pPr>
          </w:p>
        </w:tc>
        <w:tc>
          <w:tcPr>
            <w:tcW w:w="1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A0530">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C202招标服务保障达标率（2分）</w:t>
            </w:r>
          </w:p>
        </w:tc>
        <w:tc>
          <w:tcPr>
            <w:tcW w:w="28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66C40">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招标文件编制是否符合“五化”技术要求、招标公告发布是否合规</w:t>
            </w:r>
          </w:p>
        </w:tc>
        <w:tc>
          <w:tcPr>
            <w:tcW w:w="5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F6AF3">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招标服务保障达标率=（合规完成的招标准备工作项数/招标阶段应完成总工作项数）×100%</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评分标准：达到100%得满分，否则不得分。</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06C69">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2.00 </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793CE">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2.00 </w:t>
            </w:r>
          </w:p>
        </w:tc>
      </w:tr>
      <w:tr w14:paraId="1A0ABA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00" w:hRule="atLeast"/>
          <w:jc w:val="center"/>
        </w:trPr>
        <w:tc>
          <w:tcPr>
            <w:tcW w:w="6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97AB5">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16</w:t>
            </w:r>
          </w:p>
        </w:tc>
        <w:tc>
          <w:tcPr>
            <w:tcW w:w="897"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14:paraId="18BEE817">
            <w:pPr>
              <w:jc w:val="center"/>
              <w:rPr>
                <w:rFonts w:hint="eastAsia" w:ascii="仿宋_GB2312" w:hAnsi="仿宋_GB2312" w:eastAsia="仿宋_GB2312" w:cs="仿宋_GB2312"/>
                <w:i w:val="0"/>
                <w:iCs w:val="0"/>
                <w:color w:val="000000"/>
                <w:sz w:val="24"/>
                <w:szCs w:val="24"/>
                <w:u w:val="none"/>
              </w:rPr>
            </w:pPr>
          </w:p>
        </w:tc>
        <w:tc>
          <w:tcPr>
            <w:tcW w:w="1193"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14:paraId="05D1617F">
            <w:pPr>
              <w:jc w:val="center"/>
              <w:rPr>
                <w:rFonts w:hint="eastAsia" w:ascii="仿宋_GB2312" w:hAnsi="仿宋_GB2312" w:eastAsia="仿宋_GB2312" w:cs="仿宋_GB2312"/>
                <w:i w:val="0"/>
                <w:iCs w:val="0"/>
                <w:color w:val="000000"/>
                <w:sz w:val="24"/>
                <w:szCs w:val="24"/>
                <w:u w:val="none"/>
              </w:rPr>
            </w:pPr>
          </w:p>
        </w:tc>
        <w:tc>
          <w:tcPr>
            <w:tcW w:w="1413" w:type="dxa"/>
            <w:tcBorders>
              <w:top w:val="single" w:color="000000" w:sz="4" w:space="0"/>
              <w:left w:val="single" w:color="000000" w:sz="4" w:space="0"/>
              <w:bottom w:val="single" w:color="auto" w:sz="4" w:space="0"/>
              <w:right w:val="single" w:color="000000" w:sz="4" w:space="0"/>
            </w:tcBorders>
            <w:shd w:val="clear" w:color="auto" w:fill="auto"/>
            <w:vAlign w:val="center"/>
          </w:tcPr>
          <w:p w14:paraId="11CC7829">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C203政策契合达标率（4分）</w:t>
            </w:r>
          </w:p>
        </w:tc>
        <w:tc>
          <w:tcPr>
            <w:tcW w:w="28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6538C">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考核设计方案与《福建省高标准农田提档升级建设指南》（闽农建函〔2022〕890 号）核心条款的符合性</w:t>
            </w:r>
          </w:p>
        </w:tc>
        <w:tc>
          <w:tcPr>
            <w:tcW w:w="5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98D60">
            <w:pPr>
              <w:keepNext w:val="0"/>
              <w:keepLines w:val="0"/>
              <w:widowControl/>
              <w:suppressLineNumbers w:val="0"/>
              <w:jc w:val="both"/>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①完全覆盖“灌排化”政策核心要素，且单项建设标准均达标（1分）；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②完全覆盖“机械化”政策核心要素，且单项建设标准均达标（1分）；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③完全覆盖“田园化”政策核心要素，且单项建设标准均达标（1分）；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④完全覆盖“数字化”政策核心要素，且单项建设标准均达标（1分）。</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07B04">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4.00 </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52C22">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4.00 </w:t>
            </w:r>
          </w:p>
        </w:tc>
      </w:tr>
      <w:tr w14:paraId="60C041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25" w:hRule="atLeast"/>
          <w:jc w:val="center"/>
        </w:trPr>
        <w:tc>
          <w:tcPr>
            <w:tcW w:w="6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E9074">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17</w:t>
            </w:r>
          </w:p>
        </w:tc>
        <w:tc>
          <w:tcPr>
            <w:tcW w:w="897" w:type="dxa"/>
            <w:vMerge w:val="continue"/>
            <w:tcBorders>
              <w:top w:val="single" w:color="auto" w:sz="4" w:space="0"/>
              <w:left w:val="single" w:color="000000" w:sz="4" w:space="0"/>
              <w:bottom w:val="single" w:color="000000" w:sz="4" w:space="0"/>
              <w:right w:val="single" w:color="auto" w:sz="4" w:space="0"/>
            </w:tcBorders>
            <w:shd w:val="clear" w:color="auto" w:fill="auto"/>
            <w:vAlign w:val="center"/>
          </w:tcPr>
          <w:p w14:paraId="5F76053F">
            <w:pPr>
              <w:jc w:val="center"/>
              <w:rPr>
                <w:rFonts w:hint="eastAsia" w:ascii="仿宋_GB2312" w:hAnsi="仿宋_GB2312" w:eastAsia="仿宋_GB2312" w:cs="仿宋_GB2312"/>
                <w:i w:val="0"/>
                <w:iCs w:val="0"/>
                <w:color w:val="000000"/>
                <w:sz w:val="24"/>
                <w:szCs w:val="24"/>
                <w:u w:val="none"/>
              </w:rPr>
            </w:pPr>
          </w:p>
        </w:tc>
        <w:tc>
          <w:tcPr>
            <w:tcW w:w="1193" w:type="dxa"/>
            <w:tcBorders>
              <w:top w:val="single" w:color="auto" w:sz="4" w:space="0"/>
              <w:left w:val="single" w:color="auto" w:sz="4" w:space="0"/>
              <w:bottom w:val="single" w:color="auto" w:sz="4" w:space="0"/>
              <w:right w:val="single" w:color="000000" w:sz="4" w:space="0"/>
            </w:tcBorders>
            <w:shd w:val="clear" w:color="auto" w:fill="auto"/>
            <w:vAlign w:val="center"/>
          </w:tcPr>
          <w:p w14:paraId="54163B7A">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C3产出时效</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（6分）</w:t>
            </w:r>
          </w:p>
        </w:tc>
        <w:tc>
          <w:tcPr>
            <w:tcW w:w="1413" w:type="dxa"/>
            <w:tcBorders>
              <w:top w:val="single" w:color="auto" w:sz="4" w:space="0"/>
              <w:left w:val="single" w:color="000000" w:sz="4" w:space="0"/>
              <w:bottom w:val="single" w:color="auto" w:sz="4" w:space="0"/>
              <w:right w:val="single" w:color="auto" w:sz="4" w:space="0"/>
            </w:tcBorders>
            <w:shd w:val="clear" w:color="auto" w:fill="auto"/>
            <w:vAlign w:val="center"/>
          </w:tcPr>
          <w:p w14:paraId="11403965">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C301设计周期达标率</w:t>
            </w:r>
          </w:p>
        </w:tc>
        <w:tc>
          <w:tcPr>
            <w:tcW w:w="2891" w:type="dxa"/>
            <w:tcBorders>
              <w:top w:val="single" w:color="000000" w:sz="4" w:space="0"/>
              <w:left w:val="single" w:color="auto" w:sz="4" w:space="0"/>
              <w:bottom w:val="single" w:color="000000" w:sz="4" w:space="0"/>
              <w:right w:val="single" w:color="000000" w:sz="4" w:space="0"/>
            </w:tcBorders>
            <w:shd w:val="clear" w:color="auto" w:fill="auto"/>
            <w:vAlign w:val="center"/>
          </w:tcPr>
          <w:p w14:paraId="2D55B43A">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设计是否按时完成，避免延误招标启动</w:t>
            </w:r>
          </w:p>
        </w:tc>
        <w:tc>
          <w:tcPr>
            <w:tcW w:w="5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F1888">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设计周期达标率=（计划设计周期/实际设计周期）×100%（若实际周期≤计划则达标）。</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评分标准：设计周期达标率≧1，得满分，否则不得分。</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20C9D">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6.00 </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529FE">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0.00 </w:t>
            </w:r>
          </w:p>
        </w:tc>
      </w:tr>
      <w:tr w14:paraId="3D1DA7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25" w:hRule="atLeast"/>
          <w:jc w:val="center"/>
        </w:trPr>
        <w:tc>
          <w:tcPr>
            <w:tcW w:w="6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140F5">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18</w:t>
            </w:r>
          </w:p>
        </w:tc>
        <w:tc>
          <w:tcPr>
            <w:tcW w:w="8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4D5969">
            <w:pPr>
              <w:jc w:val="center"/>
              <w:rPr>
                <w:rFonts w:hint="eastAsia" w:ascii="仿宋_GB2312" w:hAnsi="仿宋_GB2312" w:eastAsia="仿宋_GB2312" w:cs="仿宋_GB2312"/>
                <w:i w:val="0"/>
                <w:iCs w:val="0"/>
                <w:color w:val="000000"/>
                <w:sz w:val="24"/>
                <w:szCs w:val="24"/>
                <w:u w:val="none"/>
              </w:rPr>
            </w:pPr>
          </w:p>
        </w:tc>
        <w:tc>
          <w:tcPr>
            <w:tcW w:w="1193" w:type="dxa"/>
            <w:tcBorders>
              <w:top w:val="single" w:color="auto" w:sz="4" w:space="0"/>
              <w:left w:val="single" w:color="000000" w:sz="4" w:space="0"/>
              <w:bottom w:val="single" w:color="000000" w:sz="4" w:space="0"/>
              <w:right w:val="single" w:color="000000" w:sz="4" w:space="0"/>
            </w:tcBorders>
            <w:shd w:val="clear" w:color="auto" w:fill="auto"/>
            <w:vAlign w:val="center"/>
          </w:tcPr>
          <w:p w14:paraId="632CC547">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C4产出成本</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（3分）</w:t>
            </w:r>
          </w:p>
        </w:tc>
        <w:tc>
          <w:tcPr>
            <w:tcW w:w="1413" w:type="dxa"/>
            <w:tcBorders>
              <w:top w:val="single" w:color="auto" w:sz="4" w:space="0"/>
              <w:left w:val="single" w:color="000000" w:sz="4" w:space="0"/>
              <w:bottom w:val="single" w:color="000000" w:sz="4" w:space="0"/>
              <w:right w:val="single" w:color="000000" w:sz="4" w:space="0"/>
            </w:tcBorders>
            <w:shd w:val="clear" w:color="auto" w:fill="auto"/>
            <w:vAlign w:val="center"/>
          </w:tcPr>
          <w:p w14:paraId="763CFC4A">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C401项目阶段性投资控制率</w:t>
            </w:r>
          </w:p>
        </w:tc>
        <w:tc>
          <w:tcPr>
            <w:tcW w:w="28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48BF5">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概算与批复偏差率</w:t>
            </w:r>
          </w:p>
        </w:tc>
        <w:tc>
          <w:tcPr>
            <w:tcW w:w="5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33EB2">
            <w:pPr>
              <w:keepNext w:val="0"/>
              <w:keepLines w:val="0"/>
              <w:widowControl/>
              <w:suppressLineNumbers w:val="0"/>
              <w:jc w:val="both"/>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设计概算总投资（1846.36万元）与项目批复概算的偏差幅度，反映资金测算合规性。</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项目阶段性投资控制率=（实际概算-批复概算）/批复概算×100%</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项目阶段性投资控制率≤0，得满分；项目阶段性投资控制率&gt;0，不得分。</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97592">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3.00 </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DB3A2">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3.00 </w:t>
            </w:r>
          </w:p>
        </w:tc>
      </w:tr>
      <w:tr w14:paraId="548467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0" w:hRule="atLeast"/>
          <w:jc w:val="center"/>
        </w:trPr>
        <w:tc>
          <w:tcPr>
            <w:tcW w:w="6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0B9E2">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19</w:t>
            </w:r>
          </w:p>
        </w:tc>
        <w:tc>
          <w:tcPr>
            <w:tcW w:w="89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A95229">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D效益指标</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（23分）</w:t>
            </w:r>
          </w:p>
        </w:tc>
        <w:tc>
          <w:tcPr>
            <w:tcW w:w="1193" w:type="dxa"/>
            <w:tcBorders>
              <w:top w:val="single" w:color="000000" w:sz="4" w:space="0"/>
              <w:left w:val="single" w:color="000000" w:sz="4" w:space="0"/>
              <w:bottom w:val="nil"/>
              <w:right w:val="single" w:color="000000" w:sz="4" w:space="0"/>
            </w:tcBorders>
            <w:shd w:val="clear" w:color="auto" w:fill="auto"/>
            <w:vAlign w:val="center"/>
          </w:tcPr>
          <w:p w14:paraId="2D401502">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D1社会效益</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（6分）</w:t>
            </w:r>
          </w:p>
        </w:tc>
        <w:tc>
          <w:tcPr>
            <w:tcW w:w="1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497BA">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D101“五化”集成可复制性</w:t>
            </w:r>
          </w:p>
        </w:tc>
        <w:tc>
          <w:tcPr>
            <w:tcW w:w="28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B9F51">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考核项目“灌排化+机械化+田园化+数字化”集成模式是否可推广、是否需特殊条件</w:t>
            </w:r>
          </w:p>
        </w:tc>
        <w:tc>
          <w:tcPr>
            <w:tcW w:w="5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0DCD6C">
            <w:pPr>
              <w:keepNext w:val="0"/>
              <w:keepLines w:val="0"/>
              <w:widowControl/>
              <w:suppressLineNumbers w:val="0"/>
              <w:jc w:val="both"/>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①技术适配性：“五化”集成技术是否普适、无特殊条件依赖（2分）；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②成本可控性：“五化”集成成本是否符合省级高标准农田平均投入水平，无超额支出（2分）；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③场景兼容性：“五化”集成模式是否适配不同种植结构、土地规模，无单一场景依赖（2分）。</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38F66">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6.00 </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920CA">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6.00 </w:t>
            </w:r>
          </w:p>
        </w:tc>
      </w:tr>
      <w:tr w14:paraId="0D10F7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5" w:hRule="atLeast"/>
          <w:jc w:val="center"/>
        </w:trPr>
        <w:tc>
          <w:tcPr>
            <w:tcW w:w="6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491D1">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20</w:t>
            </w:r>
          </w:p>
        </w:tc>
        <w:tc>
          <w:tcPr>
            <w:tcW w:w="8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74D086">
            <w:pPr>
              <w:jc w:val="center"/>
              <w:rPr>
                <w:rFonts w:hint="eastAsia" w:ascii="仿宋_GB2312" w:hAnsi="仿宋_GB2312" w:eastAsia="仿宋_GB2312" w:cs="仿宋_GB2312"/>
                <w:i w:val="0"/>
                <w:iCs w:val="0"/>
                <w:color w:val="000000"/>
                <w:sz w:val="24"/>
                <w:szCs w:val="24"/>
                <w:u w:val="none"/>
              </w:rPr>
            </w:pPr>
          </w:p>
        </w:tc>
        <w:tc>
          <w:tcPr>
            <w:tcW w:w="119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692B45">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D2经济效益</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（8分）</w:t>
            </w:r>
          </w:p>
        </w:tc>
        <w:tc>
          <w:tcPr>
            <w:tcW w:w="1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67F3D">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D201土地利用效率</w:t>
            </w:r>
          </w:p>
        </w:tc>
        <w:tc>
          <w:tcPr>
            <w:tcW w:w="28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09AD7">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设计方案中田间基础设施（道路、渠道）占地率与 “≤8%” 标准的契合程度</w:t>
            </w:r>
          </w:p>
        </w:tc>
        <w:tc>
          <w:tcPr>
            <w:tcW w:w="5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0FDA7">
            <w:pPr>
              <w:keepNext w:val="0"/>
              <w:keepLines w:val="0"/>
              <w:widowControl/>
              <w:suppressLineNumbers w:val="0"/>
              <w:jc w:val="both"/>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①耕地保护效率：“建设不占用耕地、新增/提升耕地质量”是否达标（1分）；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②基础设施占地效率：“灌排、道路、数字化等设施占地”是否集约，无浪费（1分）；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③土地复合利用效率：“耕地生产功能与生态、景观、休闲功能”是否融合，提升土地综合价值（1分）。</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B2AF9F">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3.00 </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F5BC9">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3.00 </w:t>
            </w:r>
          </w:p>
        </w:tc>
      </w:tr>
      <w:tr w14:paraId="2370F8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6D536">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21</w:t>
            </w:r>
          </w:p>
        </w:tc>
        <w:tc>
          <w:tcPr>
            <w:tcW w:w="8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166E95">
            <w:pPr>
              <w:jc w:val="center"/>
              <w:rPr>
                <w:rFonts w:hint="eastAsia" w:ascii="仿宋_GB2312" w:hAnsi="仿宋_GB2312" w:eastAsia="仿宋_GB2312" w:cs="仿宋_GB2312"/>
                <w:i w:val="0"/>
                <w:iCs w:val="0"/>
                <w:color w:val="000000"/>
                <w:sz w:val="24"/>
                <w:szCs w:val="24"/>
                <w:u w:val="none"/>
              </w:rPr>
            </w:pPr>
          </w:p>
        </w:tc>
        <w:tc>
          <w:tcPr>
            <w:tcW w:w="119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5A1E8C">
            <w:pPr>
              <w:jc w:val="center"/>
              <w:rPr>
                <w:rFonts w:hint="eastAsia" w:ascii="仿宋_GB2312" w:hAnsi="仿宋_GB2312" w:eastAsia="仿宋_GB2312" w:cs="仿宋_GB2312"/>
                <w:i w:val="0"/>
                <w:iCs w:val="0"/>
                <w:color w:val="000000"/>
                <w:sz w:val="24"/>
                <w:szCs w:val="24"/>
                <w:u w:val="none"/>
              </w:rPr>
            </w:pPr>
          </w:p>
        </w:tc>
        <w:tc>
          <w:tcPr>
            <w:tcW w:w="1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BDEDE">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D202乡村振兴契合度</w:t>
            </w:r>
          </w:p>
        </w:tc>
        <w:tc>
          <w:tcPr>
            <w:tcW w:w="28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8114D">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设计方案与石狮市 “田园景观 + 休闲步道”（520 步道）、农民增收（户均年增 3830 元）目标的契合程度</w:t>
            </w:r>
          </w:p>
        </w:tc>
        <w:tc>
          <w:tcPr>
            <w:tcW w:w="5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ABCF6">
            <w:pPr>
              <w:keepNext w:val="0"/>
              <w:keepLines w:val="0"/>
              <w:widowControl/>
              <w:suppressLineNumbers w:val="0"/>
              <w:jc w:val="both"/>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①产业振兴与农民增收契合度：“项目对农业产业升级、农民收入提升的支撑作用”（1分）；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②生态宜居与景观提升契合度：“项目对农村生态环境、田园景观的改善作用”（1分）；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③治理有效与管护衔接契合度：“项目后期管护机制与乡村治理体系的融合性”（1分）。</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58783">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3.00 </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95042">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3.00 </w:t>
            </w:r>
          </w:p>
        </w:tc>
      </w:tr>
      <w:tr w14:paraId="2213F8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00" w:hRule="atLeast"/>
          <w:jc w:val="center"/>
        </w:trPr>
        <w:tc>
          <w:tcPr>
            <w:tcW w:w="6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CF3AB">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22</w:t>
            </w:r>
          </w:p>
        </w:tc>
        <w:tc>
          <w:tcPr>
            <w:tcW w:w="8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EB0672">
            <w:pPr>
              <w:jc w:val="center"/>
              <w:rPr>
                <w:rFonts w:hint="eastAsia" w:ascii="仿宋_GB2312" w:hAnsi="仿宋_GB2312" w:eastAsia="仿宋_GB2312" w:cs="仿宋_GB2312"/>
                <w:i w:val="0"/>
                <w:iCs w:val="0"/>
                <w:color w:val="000000"/>
                <w:sz w:val="24"/>
                <w:szCs w:val="24"/>
                <w:u w:val="none"/>
              </w:rPr>
            </w:pPr>
          </w:p>
        </w:tc>
        <w:tc>
          <w:tcPr>
            <w:tcW w:w="11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5A5C2">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D3生态效益（6分）</w:t>
            </w:r>
          </w:p>
        </w:tc>
        <w:tc>
          <w:tcPr>
            <w:tcW w:w="1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5E05A">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D301耕地质量提升保障度</w:t>
            </w:r>
          </w:p>
        </w:tc>
        <w:tc>
          <w:tcPr>
            <w:tcW w:w="28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1FE00">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设计方案对“耕地质量等别提升 ”的技术措施保障程度</w:t>
            </w:r>
          </w:p>
        </w:tc>
        <w:tc>
          <w:tcPr>
            <w:tcW w:w="5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C63C7">
            <w:pPr>
              <w:keepNext w:val="0"/>
              <w:keepLines w:val="0"/>
              <w:widowControl/>
              <w:suppressLineNumbers w:val="0"/>
              <w:jc w:val="both"/>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目标匹配度：耕地质量提升目标与省级标准、项目区需求是否一致（2分）；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②技术保障力：土壤改良、培肥、灌排优化等技术措施是否能支撑质量提升目标（2分）；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③监测完备性：耕地质量监测措施是否能跟踪提升效果、支撑后续优化（2分）。</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B809F">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6.00 </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A39A1">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6.00 </w:t>
            </w:r>
          </w:p>
        </w:tc>
      </w:tr>
      <w:tr w14:paraId="63D013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00" w:hRule="atLeast"/>
          <w:jc w:val="center"/>
        </w:trPr>
        <w:tc>
          <w:tcPr>
            <w:tcW w:w="6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37DDE">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23</w:t>
            </w:r>
          </w:p>
        </w:tc>
        <w:tc>
          <w:tcPr>
            <w:tcW w:w="8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883E1C">
            <w:pPr>
              <w:jc w:val="center"/>
              <w:rPr>
                <w:rFonts w:hint="eastAsia" w:ascii="仿宋_GB2312" w:hAnsi="仿宋_GB2312" w:eastAsia="仿宋_GB2312" w:cs="仿宋_GB2312"/>
                <w:i w:val="0"/>
                <w:iCs w:val="0"/>
                <w:color w:val="000000"/>
                <w:sz w:val="24"/>
                <w:szCs w:val="24"/>
                <w:u w:val="none"/>
              </w:rPr>
            </w:pPr>
          </w:p>
        </w:tc>
        <w:tc>
          <w:tcPr>
            <w:tcW w:w="1193" w:type="dxa"/>
            <w:tcBorders>
              <w:top w:val="single" w:color="000000" w:sz="4" w:space="0"/>
              <w:left w:val="single" w:color="000000" w:sz="4" w:space="0"/>
              <w:bottom w:val="nil"/>
              <w:right w:val="single" w:color="000000" w:sz="4" w:space="0"/>
            </w:tcBorders>
            <w:shd w:val="clear" w:color="auto" w:fill="auto"/>
            <w:vAlign w:val="center"/>
          </w:tcPr>
          <w:p w14:paraId="0CC4B29F">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D4可持续发展效益</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（3分）</w:t>
            </w:r>
          </w:p>
        </w:tc>
        <w:tc>
          <w:tcPr>
            <w:tcW w:w="1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DAB63">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D401后期管护机制设计完备率</w:t>
            </w:r>
          </w:p>
        </w:tc>
        <w:tc>
          <w:tcPr>
            <w:tcW w:w="28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D5730">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考核项目后期运营的可持续性</w:t>
            </w:r>
          </w:p>
        </w:tc>
        <w:tc>
          <w:tcPr>
            <w:tcW w:w="5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CF31E">
            <w:pPr>
              <w:keepNext w:val="0"/>
              <w:keepLines w:val="0"/>
              <w:widowControl/>
              <w:suppressLineNumbers w:val="0"/>
              <w:jc w:val="both"/>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①管护主体与职责完备性：“谁来管、管什么”是否明确，无责任真空（1分）；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②管护资金与渠道完备性：“钱从哪来、怎么用”是否明确，无资金缺口（1分）；</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③管护流程与监督完备性：“怎么管、怎么监督”是否规范，有闭环机制（1分）。</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EB35F">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3.00 </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3AA15">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3.00 </w:t>
            </w:r>
          </w:p>
        </w:tc>
      </w:tr>
      <w:tr w14:paraId="4E00AA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60" w:hRule="atLeast"/>
          <w:jc w:val="center"/>
        </w:trPr>
        <w:tc>
          <w:tcPr>
            <w:tcW w:w="6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629B3">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24</w:t>
            </w:r>
          </w:p>
        </w:tc>
        <w:tc>
          <w:tcPr>
            <w:tcW w:w="8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2224BC">
            <w:pPr>
              <w:jc w:val="center"/>
              <w:rPr>
                <w:rFonts w:hint="eastAsia" w:ascii="仿宋_GB2312" w:hAnsi="仿宋_GB2312" w:eastAsia="仿宋_GB2312" w:cs="仿宋_GB2312"/>
                <w:i w:val="0"/>
                <w:iCs w:val="0"/>
                <w:color w:val="000000"/>
                <w:sz w:val="24"/>
                <w:szCs w:val="24"/>
                <w:u w:val="none"/>
              </w:rPr>
            </w:pPr>
          </w:p>
        </w:tc>
        <w:tc>
          <w:tcPr>
            <w:tcW w:w="11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8ECAB">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D5满意度</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（2分）</w:t>
            </w:r>
          </w:p>
        </w:tc>
        <w:tc>
          <w:tcPr>
            <w:tcW w:w="1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8B78D">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D501调研沟通满意度</w:t>
            </w:r>
          </w:p>
        </w:tc>
        <w:tc>
          <w:tcPr>
            <w:tcW w:w="28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C21F6">
            <w:pPr>
              <w:keepNext w:val="0"/>
              <w:keepLines w:val="0"/>
              <w:widowControl/>
              <w:suppressLineNumbers w:val="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考察项目需求是否被倾听、方案是否清晰、意见是否被重视的情况。</w:t>
            </w:r>
          </w:p>
        </w:tc>
        <w:tc>
          <w:tcPr>
            <w:tcW w:w="5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C0231">
            <w:pPr>
              <w:keepNext w:val="0"/>
              <w:keepLines w:val="0"/>
              <w:widowControl/>
              <w:suppressLineNumbers w:val="0"/>
              <w:jc w:val="both"/>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村民对前期调研人员（设计单位、镇政府）的沟通态度、响应及时性的满意度（如“调研人员是否耐心倾听您的意见”“您提出的疑问是否被及时解答”）根据满意度调查统计分值。</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评分标准：满意度达到90%，得满分；满意度低于90%，每降低1%，扣权重分5%。</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EAEB8">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2.00 </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E6432">
            <w:pPr>
              <w:keepNext w:val="0"/>
              <w:keepLines w:val="0"/>
              <w:widowControl/>
              <w:suppressLineNumbers w:val="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2.00 </w:t>
            </w:r>
          </w:p>
        </w:tc>
      </w:tr>
      <w:tr w14:paraId="392EAA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8" w:hRule="atLeast"/>
          <w:jc w:val="center"/>
        </w:trPr>
        <w:tc>
          <w:tcPr>
            <w:tcW w:w="13023"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B4FCE2F">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b/>
                <w:bCs/>
                <w:i w:val="0"/>
                <w:iCs w:val="0"/>
                <w:color w:val="000000"/>
                <w:kern w:val="0"/>
                <w:sz w:val="24"/>
                <w:szCs w:val="24"/>
                <w:u w:val="none"/>
                <w:lang w:val="en-US" w:eastAsia="zh-CN" w:bidi="ar"/>
              </w:rPr>
              <w:t>合计</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7F906">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b/>
                <w:bCs/>
                <w:i w:val="0"/>
                <w:iCs w:val="0"/>
                <w:color w:val="000000"/>
                <w:kern w:val="0"/>
                <w:sz w:val="24"/>
                <w:szCs w:val="24"/>
                <w:u w:val="none"/>
                <w:lang w:val="en-US" w:eastAsia="zh-CN" w:bidi="ar"/>
              </w:rPr>
              <w:t xml:space="preserve">100.00 </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2EB32">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b/>
                <w:bCs/>
                <w:i w:val="0"/>
                <w:iCs w:val="0"/>
                <w:color w:val="000000"/>
                <w:kern w:val="0"/>
                <w:sz w:val="24"/>
                <w:szCs w:val="24"/>
                <w:u w:val="none"/>
                <w:lang w:val="en-US" w:eastAsia="zh-CN" w:bidi="ar"/>
              </w:rPr>
              <w:t xml:space="preserve">73.00 </w:t>
            </w:r>
          </w:p>
        </w:tc>
      </w:tr>
    </w:tbl>
    <w:p w14:paraId="3D89E996">
      <w:pPr>
        <w:rPr>
          <w:rFonts w:hint="eastAsia"/>
          <w:lang w:val="en-US" w:eastAsia="zh-CN"/>
        </w:rPr>
        <w:sectPr>
          <w:headerReference r:id="rId15" w:type="default"/>
          <w:headerReference r:id="rId16" w:type="even"/>
          <w:pgSz w:w="16838" w:h="11906" w:orient="landscape"/>
          <w:pgMar w:top="1587" w:right="1417" w:bottom="1474" w:left="1417"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6A6F0CCD">
      <w:pPr>
        <w:keepNext w:val="0"/>
        <w:keepLines w:val="0"/>
        <w:pageBreakBefore w:val="0"/>
        <w:widowControl w:val="0"/>
        <w:kinsoku/>
        <w:wordWrap/>
        <w:overflowPunct/>
        <w:topLinePunct w:val="0"/>
        <w:autoSpaceDE/>
        <w:autoSpaceDN/>
        <w:bidi w:val="0"/>
        <w:adjustRightInd/>
        <w:snapToGrid/>
        <w:textAlignment w:val="auto"/>
        <w:outlineLvl w:val="1"/>
        <w:rPr>
          <w:rFonts w:hint="eastAsia" w:ascii="仿宋_GB2312" w:hAnsi="仿宋_GB2312" w:eastAsia="仿宋_GB2312" w:cs="仿宋_GB2312"/>
          <w:b/>
          <w:bCs/>
          <w:color w:val="auto"/>
          <w:kern w:val="2"/>
          <w:sz w:val="32"/>
          <w:szCs w:val="32"/>
          <w:lang w:val="en-US" w:eastAsia="zh-CN" w:bidi="ar-SA"/>
        </w:rPr>
      </w:pPr>
      <w:bookmarkStart w:id="217" w:name="_Toc28385"/>
      <w:r>
        <w:rPr>
          <w:rFonts w:hint="eastAsia" w:ascii="仿宋_GB2312" w:hAnsi="仿宋_GB2312" w:eastAsia="仿宋_GB2312" w:cs="仿宋_GB2312"/>
          <w:b/>
          <w:bCs/>
          <w:color w:val="auto"/>
          <w:kern w:val="2"/>
          <w:sz w:val="32"/>
          <w:szCs w:val="32"/>
          <w:lang w:val="en-US" w:eastAsia="zh-CN" w:bidi="ar-SA"/>
        </w:rPr>
        <w:t>附件2 问卷调查</w:t>
      </w:r>
      <w:bookmarkEnd w:id="217"/>
    </w:p>
    <w:p w14:paraId="154AB2F6">
      <w:pPr>
        <w:rPr>
          <w:rFonts w:hint="eastAsia" w:ascii="仿宋_GB2312" w:hAnsi="仿宋_GB2312" w:eastAsia="仿宋_GB2312" w:cs="仿宋_GB2312"/>
          <w:sz w:val="32"/>
          <w:szCs w:val="32"/>
        </w:rPr>
      </w:pPr>
      <w:r>
        <w:rPr>
          <w:rFonts w:hint="eastAsia" w:ascii="仿宋_GB2312" w:hAnsi="仿宋_GB2312" w:eastAsia="仿宋_GB2312" w:cs="仿宋_GB2312"/>
          <w:b w:val="0"/>
          <w:color w:val="000000"/>
          <w:sz w:val="32"/>
          <w:szCs w:val="32"/>
        </w:rPr>
        <w:t xml:space="preserve">1.您是否参与过该项目前期设计调研沟通活动（如座谈会、实地走访调研等）?   </w:t>
      </w:r>
      <w:r>
        <w:rPr>
          <w:rFonts w:hint="eastAsia" w:ascii="仿宋_GB2312" w:hAnsi="仿宋_GB2312" w:eastAsia="仿宋_GB2312" w:cs="仿宋_GB2312"/>
          <w:b w:val="0"/>
          <w:color w:val="0066FF"/>
          <w:sz w:val="32"/>
          <w:szCs w:val="32"/>
        </w:rPr>
        <w:t>[单选题]</w:t>
      </w:r>
    </w:p>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4582"/>
        <w:gridCol w:w="1091"/>
        <w:gridCol w:w="3388"/>
      </w:tblGrid>
      <w:tr w14:paraId="52BD454E">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7132471E">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选项</w:t>
            </w:r>
          </w:p>
        </w:tc>
        <w:tc>
          <w:tcPr>
            <w:tcW w:w="1000" w:type="dxa"/>
            <w:shd w:val="clear" w:color="auto" w:fill="F5F5F5"/>
            <w:vAlign w:val="center"/>
          </w:tcPr>
          <w:p w14:paraId="2946596B">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小计</w:t>
            </w:r>
          </w:p>
        </w:tc>
        <w:tc>
          <w:tcPr>
            <w:tcW w:w="3106" w:type="dxa"/>
            <w:shd w:val="clear" w:color="auto" w:fill="F5F5F5"/>
            <w:vAlign w:val="center"/>
          </w:tcPr>
          <w:p w14:paraId="4A8938B2">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比例</w:t>
            </w:r>
          </w:p>
        </w:tc>
      </w:tr>
      <w:tr w14:paraId="62E42ED9">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2330142A">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A. 多次参与</w:t>
            </w:r>
          </w:p>
        </w:tc>
        <w:tc>
          <w:tcPr>
            <w:tcW w:w="1000" w:type="dxa"/>
            <w:shd w:val="clear" w:color="auto" w:fill="FFFFFF"/>
            <w:vAlign w:val="center"/>
          </w:tcPr>
          <w:p w14:paraId="0724BCC0">
            <w:pPr>
              <w:jc w:val="center"/>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12</w:t>
            </w:r>
          </w:p>
        </w:tc>
        <w:tc>
          <w:tcPr>
            <w:tcW w:w="3106" w:type="dxa"/>
            <w:shd w:val="clear" w:color="auto" w:fill="FFFFFF"/>
            <w:vAlign w:val="center"/>
          </w:tcPr>
          <w:p w14:paraId="6A0C5258">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285750" cy="1143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22"/>
                          <a:stretch>
                            <a:fillRect/>
                          </a:stretch>
                        </pic:blipFill>
                        <pic:spPr>
                          <a:xfrm>
                            <a:off x="0" y="0"/>
                            <a:ext cx="285790" cy="114316"/>
                          </a:xfrm>
                          <a:prstGeom prst="rect">
                            <a:avLst/>
                          </a:prstGeom>
                        </pic:spPr>
                      </pic:pic>
                    </a:graphicData>
                  </a:graphic>
                </wp:inline>
              </w:drawing>
            </w:r>
            <w:r>
              <w:rPr>
                <w:rFonts w:hint="eastAsia" w:ascii="仿宋_GB2312" w:hAnsi="仿宋_GB2312" w:eastAsia="仿宋_GB2312" w:cs="仿宋_GB2312"/>
                <w:sz w:val="32"/>
                <w:szCs w:val="32"/>
              </w:rPr>
              <w:drawing>
                <wp:inline distT="0" distB="0" distL="114300" distR="114300">
                  <wp:extent cx="1066800" cy="114300"/>
                  <wp:effectExtent l="0" t="0" r="0" b="0"/>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23"/>
                          <a:stretch>
                            <a:fillRect/>
                          </a:stretch>
                        </pic:blipFill>
                        <pic:spPr>
                          <a:xfrm>
                            <a:off x="0" y="0"/>
                            <a:ext cx="1066949" cy="114316"/>
                          </a:xfrm>
                          <a:prstGeom prst="rect">
                            <a:avLst/>
                          </a:prstGeom>
                        </pic:spPr>
                      </pic:pic>
                    </a:graphicData>
                  </a:graphic>
                </wp:inline>
              </w:drawing>
            </w:r>
            <w:r>
              <w:rPr>
                <w:rFonts w:hint="eastAsia" w:ascii="仿宋_GB2312" w:hAnsi="仿宋_GB2312" w:eastAsia="仿宋_GB2312" w:cs="仿宋_GB2312"/>
                <w:sz w:val="32"/>
                <w:szCs w:val="32"/>
              </w:rPr>
              <w:t>21.43%</w:t>
            </w:r>
          </w:p>
        </w:tc>
      </w:tr>
      <w:tr w14:paraId="5948439E">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73154766">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B. 参与过 1-2 次</w:t>
            </w:r>
          </w:p>
        </w:tc>
        <w:tc>
          <w:tcPr>
            <w:tcW w:w="1000" w:type="dxa"/>
            <w:shd w:val="clear" w:color="auto" w:fill="FAFAFA"/>
            <w:vAlign w:val="center"/>
          </w:tcPr>
          <w:p w14:paraId="79BE5FFD">
            <w:pPr>
              <w:jc w:val="center"/>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28</w:t>
            </w:r>
          </w:p>
        </w:tc>
        <w:tc>
          <w:tcPr>
            <w:tcW w:w="3106" w:type="dxa"/>
            <w:shd w:val="clear" w:color="auto" w:fill="FAFAFA"/>
            <w:vAlign w:val="center"/>
          </w:tcPr>
          <w:p w14:paraId="386320F8">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676275" cy="114300"/>
                  <wp:effectExtent l="0" t="0" r="9525" b="0"/>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24"/>
                          <a:stretch>
                            <a:fillRect/>
                          </a:stretch>
                        </pic:blipFill>
                        <pic:spPr>
                          <a:xfrm>
                            <a:off x="0" y="0"/>
                            <a:ext cx="676369" cy="114316"/>
                          </a:xfrm>
                          <a:prstGeom prst="rect">
                            <a:avLst/>
                          </a:prstGeom>
                        </pic:spPr>
                      </pic:pic>
                    </a:graphicData>
                  </a:graphic>
                </wp:inline>
              </w:drawing>
            </w:r>
            <w:r>
              <w:rPr>
                <w:rFonts w:hint="eastAsia" w:ascii="仿宋_GB2312" w:hAnsi="仿宋_GB2312" w:eastAsia="仿宋_GB2312" w:cs="仿宋_GB2312"/>
                <w:sz w:val="32"/>
                <w:szCs w:val="32"/>
              </w:rPr>
              <w:drawing>
                <wp:inline distT="0" distB="0" distL="114300" distR="114300">
                  <wp:extent cx="676275" cy="114300"/>
                  <wp:effectExtent l="0" t="0" r="9525" b="0"/>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pic:cNvPicPr>
                        </pic:nvPicPr>
                        <pic:blipFill>
                          <a:blip r:embed="rId25"/>
                          <a:stretch>
                            <a:fillRect/>
                          </a:stretch>
                        </pic:blipFill>
                        <pic:spPr>
                          <a:xfrm>
                            <a:off x="0" y="0"/>
                            <a:ext cx="676369" cy="114316"/>
                          </a:xfrm>
                          <a:prstGeom prst="rect">
                            <a:avLst/>
                          </a:prstGeom>
                        </pic:spPr>
                      </pic:pic>
                    </a:graphicData>
                  </a:graphic>
                </wp:inline>
              </w:drawing>
            </w:r>
            <w:r>
              <w:rPr>
                <w:rFonts w:hint="eastAsia" w:ascii="仿宋_GB2312" w:hAnsi="仿宋_GB2312" w:eastAsia="仿宋_GB2312" w:cs="仿宋_GB2312"/>
                <w:sz w:val="32"/>
                <w:szCs w:val="32"/>
              </w:rPr>
              <w:t>50%</w:t>
            </w:r>
          </w:p>
        </w:tc>
      </w:tr>
      <w:tr w14:paraId="2DE2997B">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1751A5E1">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C. 未参与但知晓活动</w:t>
            </w:r>
          </w:p>
        </w:tc>
        <w:tc>
          <w:tcPr>
            <w:tcW w:w="1000" w:type="dxa"/>
            <w:shd w:val="clear" w:color="auto" w:fill="FFFFFF"/>
            <w:vAlign w:val="center"/>
          </w:tcPr>
          <w:p w14:paraId="7E1C7550">
            <w:pPr>
              <w:jc w:val="center"/>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14</w:t>
            </w:r>
          </w:p>
        </w:tc>
        <w:tc>
          <w:tcPr>
            <w:tcW w:w="3106" w:type="dxa"/>
            <w:shd w:val="clear" w:color="auto" w:fill="FFFFFF"/>
            <w:vAlign w:val="center"/>
          </w:tcPr>
          <w:p w14:paraId="074D8170">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333375" cy="114300"/>
                  <wp:effectExtent l="0" t="0" r="9525" b="0"/>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26"/>
                          <a:stretch>
                            <a:fillRect/>
                          </a:stretch>
                        </pic:blipFill>
                        <pic:spPr>
                          <a:xfrm>
                            <a:off x="0" y="0"/>
                            <a:ext cx="333422" cy="114316"/>
                          </a:xfrm>
                          <a:prstGeom prst="rect">
                            <a:avLst/>
                          </a:prstGeom>
                        </pic:spPr>
                      </pic:pic>
                    </a:graphicData>
                  </a:graphic>
                </wp:inline>
              </w:drawing>
            </w:r>
            <w:r>
              <w:rPr>
                <w:rFonts w:hint="eastAsia" w:ascii="仿宋_GB2312" w:hAnsi="仿宋_GB2312" w:eastAsia="仿宋_GB2312" w:cs="仿宋_GB2312"/>
                <w:sz w:val="32"/>
                <w:szCs w:val="32"/>
              </w:rPr>
              <w:drawing>
                <wp:inline distT="0" distB="0" distL="114300" distR="114300">
                  <wp:extent cx="1019175" cy="114300"/>
                  <wp:effectExtent l="0" t="0" r="9525" b="0"/>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27"/>
                          <a:stretch>
                            <a:fillRect/>
                          </a:stretch>
                        </pic:blipFill>
                        <pic:spPr>
                          <a:xfrm>
                            <a:off x="0" y="0"/>
                            <a:ext cx="1019317" cy="114316"/>
                          </a:xfrm>
                          <a:prstGeom prst="rect">
                            <a:avLst/>
                          </a:prstGeom>
                        </pic:spPr>
                      </pic:pic>
                    </a:graphicData>
                  </a:graphic>
                </wp:inline>
              </w:drawing>
            </w:r>
            <w:r>
              <w:rPr>
                <w:rFonts w:hint="eastAsia" w:ascii="仿宋_GB2312" w:hAnsi="仿宋_GB2312" w:eastAsia="仿宋_GB2312" w:cs="仿宋_GB2312"/>
                <w:sz w:val="32"/>
                <w:szCs w:val="32"/>
              </w:rPr>
              <w:t>25%</w:t>
            </w:r>
          </w:p>
        </w:tc>
      </w:tr>
      <w:tr w14:paraId="2AC47219">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435A6A95">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D. 未参与且不知晓活动</w:t>
            </w:r>
          </w:p>
        </w:tc>
        <w:tc>
          <w:tcPr>
            <w:tcW w:w="1000" w:type="dxa"/>
            <w:shd w:val="clear" w:color="auto" w:fill="FAFAFA"/>
            <w:vAlign w:val="center"/>
          </w:tcPr>
          <w:p w14:paraId="03F80B71">
            <w:pPr>
              <w:jc w:val="center"/>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2</w:t>
            </w:r>
          </w:p>
        </w:tc>
        <w:tc>
          <w:tcPr>
            <w:tcW w:w="3106" w:type="dxa"/>
            <w:shd w:val="clear" w:color="auto" w:fill="FAFAFA"/>
            <w:vAlign w:val="center"/>
          </w:tcPr>
          <w:p w14:paraId="4AB8E82F">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47625" cy="114300"/>
                  <wp:effectExtent l="0" t="0" r="9525"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28"/>
                          <a:stretch>
                            <a:fillRect/>
                          </a:stretch>
                        </pic:blipFill>
                        <pic:spPr>
                          <a:xfrm>
                            <a:off x="0" y="0"/>
                            <a:ext cx="47632" cy="114316"/>
                          </a:xfrm>
                          <a:prstGeom prst="rect">
                            <a:avLst/>
                          </a:prstGeom>
                        </pic:spPr>
                      </pic:pic>
                    </a:graphicData>
                  </a:graphic>
                </wp:inline>
              </w:drawing>
            </w:r>
            <w:r>
              <w:rPr>
                <w:rFonts w:hint="eastAsia" w:ascii="仿宋_GB2312" w:hAnsi="仿宋_GB2312" w:eastAsia="仿宋_GB2312" w:cs="仿宋_GB2312"/>
                <w:sz w:val="32"/>
                <w:szCs w:val="32"/>
              </w:rPr>
              <w:drawing>
                <wp:inline distT="0" distB="0" distL="114300" distR="114300">
                  <wp:extent cx="1304925" cy="114300"/>
                  <wp:effectExtent l="0" t="0" r="9525" b="0"/>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29"/>
                          <a:stretch>
                            <a:fillRect/>
                          </a:stretch>
                        </pic:blipFill>
                        <pic:spPr>
                          <a:xfrm>
                            <a:off x="0" y="0"/>
                            <a:ext cx="1305107" cy="114316"/>
                          </a:xfrm>
                          <a:prstGeom prst="rect">
                            <a:avLst/>
                          </a:prstGeom>
                        </pic:spPr>
                      </pic:pic>
                    </a:graphicData>
                  </a:graphic>
                </wp:inline>
              </w:drawing>
            </w:r>
            <w:r>
              <w:rPr>
                <w:rFonts w:hint="eastAsia" w:ascii="仿宋_GB2312" w:hAnsi="仿宋_GB2312" w:eastAsia="仿宋_GB2312" w:cs="仿宋_GB2312"/>
                <w:sz w:val="32"/>
                <w:szCs w:val="32"/>
              </w:rPr>
              <w:t>3.57%</w:t>
            </w:r>
          </w:p>
        </w:tc>
      </w:tr>
      <w:tr w14:paraId="0E7C6482">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5FB242A9">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本题有效填写人次</w:t>
            </w:r>
          </w:p>
        </w:tc>
        <w:tc>
          <w:tcPr>
            <w:tcW w:w="1000" w:type="dxa"/>
            <w:shd w:val="clear" w:color="auto" w:fill="F5F5F5"/>
            <w:vAlign w:val="center"/>
          </w:tcPr>
          <w:p w14:paraId="5482B74F">
            <w:pPr>
              <w:jc w:val="center"/>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56</w:t>
            </w:r>
          </w:p>
        </w:tc>
        <w:tc>
          <w:tcPr>
            <w:tcW w:w="3106" w:type="dxa"/>
            <w:shd w:val="clear" w:color="auto" w:fill="F5F5F5"/>
            <w:vAlign w:val="center"/>
          </w:tcPr>
          <w:p w14:paraId="5E5163E8">
            <w:pPr>
              <w:jc w:val="left"/>
              <w:rPr>
                <w:rFonts w:hint="eastAsia" w:ascii="仿宋_GB2312" w:hAnsi="仿宋_GB2312" w:eastAsia="仿宋_GB2312" w:cs="仿宋_GB2312"/>
                <w:sz w:val="32"/>
                <w:szCs w:val="32"/>
              </w:rPr>
            </w:pPr>
          </w:p>
        </w:tc>
      </w:tr>
    </w:tbl>
    <w:p w14:paraId="2B8189BE">
      <w:pPr>
        <w:rPr>
          <w:rFonts w:hint="eastAsia" w:ascii="仿宋_GB2312" w:hAnsi="仿宋_GB2312" w:eastAsia="仿宋_GB2312" w:cs="仿宋_GB2312"/>
          <w:sz w:val="32"/>
          <w:szCs w:val="32"/>
        </w:rPr>
      </w:pPr>
    </w:p>
    <w:p w14:paraId="1241007B">
      <w:pPr>
        <w:rPr>
          <w:rFonts w:hint="eastAsia" w:ascii="仿宋_GB2312" w:hAnsi="仿宋_GB2312" w:eastAsia="仿宋_GB2312" w:cs="仿宋_GB2312"/>
          <w:sz w:val="32"/>
          <w:szCs w:val="32"/>
        </w:rPr>
      </w:pPr>
      <w:r>
        <w:rPr>
          <w:rFonts w:hint="eastAsia" w:ascii="仿宋_GB2312" w:hAnsi="仿宋_GB2312" w:eastAsia="仿宋_GB2312" w:cs="仿宋_GB2312"/>
          <w:b w:val="0"/>
          <w:color w:val="000000"/>
          <w:sz w:val="32"/>
          <w:szCs w:val="32"/>
        </w:rPr>
        <w:t xml:space="preserve">2.您认为项目前期设计调研内容是否全面覆盖您关心的问题（如农田灌溉、道路建设、土壤改良、生态保护、景观提升等 “五化” 相关方面）?   </w:t>
      </w:r>
      <w:r>
        <w:rPr>
          <w:rFonts w:hint="eastAsia" w:ascii="仿宋_GB2312" w:hAnsi="仿宋_GB2312" w:eastAsia="仿宋_GB2312" w:cs="仿宋_GB2312"/>
          <w:b w:val="0"/>
          <w:color w:val="0066FF"/>
          <w:sz w:val="32"/>
          <w:szCs w:val="32"/>
        </w:rPr>
        <w:t>[单选题]</w:t>
      </w:r>
    </w:p>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4582"/>
        <w:gridCol w:w="1091"/>
        <w:gridCol w:w="3388"/>
      </w:tblGrid>
      <w:tr w14:paraId="38482099">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03E637A6">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选项</w:t>
            </w:r>
          </w:p>
        </w:tc>
        <w:tc>
          <w:tcPr>
            <w:tcW w:w="1000" w:type="dxa"/>
            <w:shd w:val="clear" w:color="auto" w:fill="F5F5F5"/>
            <w:vAlign w:val="center"/>
          </w:tcPr>
          <w:p w14:paraId="049D9FEC">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小计</w:t>
            </w:r>
          </w:p>
        </w:tc>
        <w:tc>
          <w:tcPr>
            <w:tcW w:w="3106" w:type="dxa"/>
            <w:shd w:val="clear" w:color="auto" w:fill="F5F5F5"/>
            <w:vAlign w:val="center"/>
          </w:tcPr>
          <w:p w14:paraId="182993C3">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比例</w:t>
            </w:r>
          </w:p>
        </w:tc>
      </w:tr>
      <w:tr w14:paraId="169D34B4">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05D69013">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A. 非常全面</w:t>
            </w:r>
          </w:p>
        </w:tc>
        <w:tc>
          <w:tcPr>
            <w:tcW w:w="1000" w:type="dxa"/>
            <w:shd w:val="clear" w:color="auto" w:fill="FFFFFF"/>
            <w:vAlign w:val="center"/>
          </w:tcPr>
          <w:p w14:paraId="6434FBBB">
            <w:pPr>
              <w:jc w:val="center"/>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12</w:t>
            </w:r>
          </w:p>
        </w:tc>
        <w:tc>
          <w:tcPr>
            <w:tcW w:w="3106" w:type="dxa"/>
            <w:shd w:val="clear" w:color="auto" w:fill="FFFFFF"/>
            <w:vAlign w:val="center"/>
          </w:tcPr>
          <w:p w14:paraId="5A3CD190">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285750" cy="1143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22"/>
                          <a:stretch>
                            <a:fillRect/>
                          </a:stretch>
                        </pic:blipFill>
                        <pic:spPr>
                          <a:xfrm>
                            <a:off x="0" y="0"/>
                            <a:ext cx="285790" cy="114316"/>
                          </a:xfrm>
                          <a:prstGeom prst="rect">
                            <a:avLst/>
                          </a:prstGeom>
                        </pic:spPr>
                      </pic:pic>
                    </a:graphicData>
                  </a:graphic>
                </wp:inline>
              </w:drawing>
            </w:r>
            <w:r>
              <w:rPr>
                <w:rFonts w:hint="eastAsia" w:ascii="仿宋_GB2312" w:hAnsi="仿宋_GB2312" w:eastAsia="仿宋_GB2312" w:cs="仿宋_GB2312"/>
                <w:sz w:val="32"/>
                <w:szCs w:val="32"/>
              </w:rPr>
              <w:drawing>
                <wp:inline distT="0" distB="0" distL="114300" distR="114300">
                  <wp:extent cx="1066800" cy="114300"/>
                  <wp:effectExtent l="0" t="0" r="0" b="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23"/>
                          <a:stretch>
                            <a:fillRect/>
                          </a:stretch>
                        </pic:blipFill>
                        <pic:spPr>
                          <a:xfrm>
                            <a:off x="0" y="0"/>
                            <a:ext cx="1066949" cy="114316"/>
                          </a:xfrm>
                          <a:prstGeom prst="rect">
                            <a:avLst/>
                          </a:prstGeom>
                        </pic:spPr>
                      </pic:pic>
                    </a:graphicData>
                  </a:graphic>
                </wp:inline>
              </w:drawing>
            </w:r>
            <w:r>
              <w:rPr>
                <w:rFonts w:hint="eastAsia" w:ascii="仿宋_GB2312" w:hAnsi="仿宋_GB2312" w:eastAsia="仿宋_GB2312" w:cs="仿宋_GB2312"/>
                <w:sz w:val="32"/>
                <w:szCs w:val="32"/>
              </w:rPr>
              <w:t>21.43%</w:t>
            </w:r>
          </w:p>
        </w:tc>
      </w:tr>
      <w:tr w14:paraId="51ACCE6C">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06284EAD">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B. 比较全面</w:t>
            </w:r>
          </w:p>
        </w:tc>
        <w:tc>
          <w:tcPr>
            <w:tcW w:w="1000" w:type="dxa"/>
            <w:shd w:val="clear" w:color="auto" w:fill="FAFAFA"/>
            <w:vAlign w:val="center"/>
          </w:tcPr>
          <w:p w14:paraId="0ACD2189">
            <w:pPr>
              <w:jc w:val="center"/>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42</w:t>
            </w:r>
          </w:p>
        </w:tc>
        <w:tc>
          <w:tcPr>
            <w:tcW w:w="3106" w:type="dxa"/>
            <w:shd w:val="clear" w:color="auto" w:fill="FAFAFA"/>
            <w:vAlign w:val="center"/>
          </w:tcPr>
          <w:p w14:paraId="692465C9">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1009650" cy="1143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30"/>
                          <a:stretch>
                            <a:fillRect/>
                          </a:stretch>
                        </pic:blipFill>
                        <pic:spPr>
                          <a:xfrm>
                            <a:off x="0" y="0"/>
                            <a:ext cx="1009791" cy="114316"/>
                          </a:xfrm>
                          <a:prstGeom prst="rect">
                            <a:avLst/>
                          </a:prstGeom>
                        </pic:spPr>
                      </pic:pic>
                    </a:graphicData>
                  </a:graphic>
                </wp:inline>
              </w:drawing>
            </w:r>
            <w:r>
              <w:rPr>
                <w:rFonts w:hint="eastAsia" w:ascii="仿宋_GB2312" w:hAnsi="仿宋_GB2312" w:eastAsia="仿宋_GB2312" w:cs="仿宋_GB2312"/>
                <w:sz w:val="32"/>
                <w:szCs w:val="32"/>
              </w:rPr>
              <w:drawing>
                <wp:inline distT="0" distB="0" distL="114300" distR="114300">
                  <wp:extent cx="342900" cy="114300"/>
                  <wp:effectExtent l="0" t="0" r="0" b="0"/>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31"/>
                          <a:stretch>
                            <a:fillRect/>
                          </a:stretch>
                        </pic:blipFill>
                        <pic:spPr>
                          <a:xfrm>
                            <a:off x="0" y="0"/>
                            <a:ext cx="342948" cy="114316"/>
                          </a:xfrm>
                          <a:prstGeom prst="rect">
                            <a:avLst/>
                          </a:prstGeom>
                        </pic:spPr>
                      </pic:pic>
                    </a:graphicData>
                  </a:graphic>
                </wp:inline>
              </w:drawing>
            </w:r>
            <w:r>
              <w:rPr>
                <w:rFonts w:hint="eastAsia" w:ascii="仿宋_GB2312" w:hAnsi="仿宋_GB2312" w:eastAsia="仿宋_GB2312" w:cs="仿宋_GB2312"/>
                <w:sz w:val="32"/>
                <w:szCs w:val="32"/>
              </w:rPr>
              <w:t>75%</w:t>
            </w:r>
          </w:p>
        </w:tc>
      </w:tr>
      <w:tr w14:paraId="2C9E36B5">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594DECBB">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C. 一般</w:t>
            </w:r>
          </w:p>
        </w:tc>
        <w:tc>
          <w:tcPr>
            <w:tcW w:w="1000" w:type="dxa"/>
            <w:shd w:val="clear" w:color="auto" w:fill="FFFFFF"/>
            <w:vAlign w:val="center"/>
          </w:tcPr>
          <w:p w14:paraId="0A9DBEAD">
            <w:pPr>
              <w:jc w:val="center"/>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2</w:t>
            </w:r>
          </w:p>
        </w:tc>
        <w:tc>
          <w:tcPr>
            <w:tcW w:w="3106" w:type="dxa"/>
            <w:shd w:val="clear" w:color="auto" w:fill="FFFFFF"/>
            <w:vAlign w:val="center"/>
          </w:tcPr>
          <w:p w14:paraId="0D59C803">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47625" cy="114300"/>
                  <wp:effectExtent l="0" t="0" r="9525"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28"/>
                          <a:stretch>
                            <a:fillRect/>
                          </a:stretch>
                        </pic:blipFill>
                        <pic:spPr>
                          <a:xfrm>
                            <a:off x="0" y="0"/>
                            <a:ext cx="47632" cy="114316"/>
                          </a:xfrm>
                          <a:prstGeom prst="rect">
                            <a:avLst/>
                          </a:prstGeom>
                        </pic:spPr>
                      </pic:pic>
                    </a:graphicData>
                  </a:graphic>
                </wp:inline>
              </w:drawing>
            </w:r>
            <w:r>
              <w:rPr>
                <w:rFonts w:hint="eastAsia" w:ascii="仿宋_GB2312" w:hAnsi="仿宋_GB2312" w:eastAsia="仿宋_GB2312" w:cs="仿宋_GB2312"/>
                <w:sz w:val="32"/>
                <w:szCs w:val="32"/>
              </w:rPr>
              <w:drawing>
                <wp:inline distT="0" distB="0" distL="114300" distR="114300">
                  <wp:extent cx="1304925" cy="114300"/>
                  <wp:effectExtent l="0" t="0" r="9525"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29"/>
                          <a:stretch>
                            <a:fillRect/>
                          </a:stretch>
                        </pic:blipFill>
                        <pic:spPr>
                          <a:xfrm>
                            <a:off x="0" y="0"/>
                            <a:ext cx="1305107" cy="114316"/>
                          </a:xfrm>
                          <a:prstGeom prst="rect">
                            <a:avLst/>
                          </a:prstGeom>
                        </pic:spPr>
                      </pic:pic>
                    </a:graphicData>
                  </a:graphic>
                </wp:inline>
              </w:drawing>
            </w:r>
            <w:r>
              <w:rPr>
                <w:rFonts w:hint="eastAsia" w:ascii="仿宋_GB2312" w:hAnsi="仿宋_GB2312" w:eastAsia="仿宋_GB2312" w:cs="仿宋_GB2312"/>
                <w:sz w:val="32"/>
                <w:szCs w:val="32"/>
              </w:rPr>
              <w:t>3.57%</w:t>
            </w:r>
          </w:p>
        </w:tc>
      </w:tr>
      <w:tr w14:paraId="3D6FB401">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1689C388">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D. 不够全面</w:t>
            </w:r>
          </w:p>
        </w:tc>
        <w:tc>
          <w:tcPr>
            <w:tcW w:w="1000" w:type="dxa"/>
            <w:shd w:val="clear" w:color="auto" w:fill="FAFAFA"/>
            <w:vAlign w:val="center"/>
          </w:tcPr>
          <w:p w14:paraId="4792F7FB">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0</w:t>
            </w:r>
          </w:p>
        </w:tc>
        <w:tc>
          <w:tcPr>
            <w:tcW w:w="3106" w:type="dxa"/>
            <w:shd w:val="clear" w:color="auto" w:fill="FAFAFA"/>
            <w:vAlign w:val="center"/>
          </w:tcPr>
          <w:p w14:paraId="18015A0D">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1352550" cy="1143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32"/>
                          <a:stretch>
                            <a:fillRect/>
                          </a:stretch>
                        </pic:blipFill>
                        <pic:spPr>
                          <a:xfrm>
                            <a:off x="0" y="0"/>
                            <a:ext cx="1352739" cy="114316"/>
                          </a:xfrm>
                          <a:prstGeom prst="rect">
                            <a:avLst/>
                          </a:prstGeom>
                        </pic:spPr>
                      </pic:pic>
                    </a:graphicData>
                  </a:graphic>
                </wp:inline>
              </w:drawing>
            </w:r>
            <w:r>
              <w:rPr>
                <w:rFonts w:hint="eastAsia" w:ascii="仿宋_GB2312" w:hAnsi="仿宋_GB2312" w:eastAsia="仿宋_GB2312" w:cs="仿宋_GB2312"/>
                <w:sz w:val="32"/>
                <w:szCs w:val="32"/>
              </w:rPr>
              <w:t>0%</w:t>
            </w:r>
          </w:p>
        </w:tc>
      </w:tr>
      <w:tr w14:paraId="1B3FBB8F">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54A0FE69">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E. 非常不全面</w:t>
            </w:r>
          </w:p>
        </w:tc>
        <w:tc>
          <w:tcPr>
            <w:tcW w:w="1000" w:type="dxa"/>
            <w:shd w:val="clear" w:color="auto" w:fill="FFFFFF"/>
            <w:vAlign w:val="center"/>
          </w:tcPr>
          <w:p w14:paraId="7F625EC3">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0</w:t>
            </w:r>
          </w:p>
        </w:tc>
        <w:tc>
          <w:tcPr>
            <w:tcW w:w="3106" w:type="dxa"/>
            <w:shd w:val="clear" w:color="auto" w:fill="FFFFFF"/>
            <w:vAlign w:val="center"/>
          </w:tcPr>
          <w:p w14:paraId="47C74412">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1352550" cy="114300"/>
                  <wp:effectExtent l="0" t="0" r="0" b="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32"/>
                          <a:stretch>
                            <a:fillRect/>
                          </a:stretch>
                        </pic:blipFill>
                        <pic:spPr>
                          <a:xfrm>
                            <a:off x="0" y="0"/>
                            <a:ext cx="1352739" cy="114316"/>
                          </a:xfrm>
                          <a:prstGeom prst="rect">
                            <a:avLst/>
                          </a:prstGeom>
                        </pic:spPr>
                      </pic:pic>
                    </a:graphicData>
                  </a:graphic>
                </wp:inline>
              </w:drawing>
            </w:r>
            <w:r>
              <w:rPr>
                <w:rFonts w:hint="eastAsia" w:ascii="仿宋_GB2312" w:hAnsi="仿宋_GB2312" w:eastAsia="仿宋_GB2312" w:cs="仿宋_GB2312"/>
                <w:sz w:val="32"/>
                <w:szCs w:val="32"/>
              </w:rPr>
              <w:t>0%</w:t>
            </w:r>
          </w:p>
        </w:tc>
      </w:tr>
      <w:tr w14:paraId="3C22CC9A">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77F1AD2F">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本题有效填写人次</w:t>
            </w:r>
          </w:p>
        </w:tc>
        <w:tc>
          <w:tcPr>
            <w:tcW w:w="1000" w:type="dxa"/>
            <w:shd w:val="clear" w:color="auto" w:fill="F5F5F5"/>
            <w:vAlign w:val="center"/>
          </w:tcPr>
          <w:p w14:paraId="407B50D8">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56</w:t>
            </w:r>
          </w:p>
        </w:tc>
        <w:tc>
          <w:tcPr>
            <w:tcW w:w="3106" w:type="dxa"/>
            <w:shd w:val="clear" w:color="auto" w:fill="F5F5F5"/>
            <w:vAlign w:val="center"/>
          </w:tcPr>
          <w:p w14:paraId="74CE49D1">
            <w:pPr>
              <w:jc w:val="left"/>
              <w:rPr>
                <w:rFonts w:hint="eastAsia" w:ascii="仿宋_GB2312" w:hAnsi="仿宋_GB2312" w:eastAsia="仿宋_GB2312" w:cs="仿宋_GB2312"/>
                <w:sz w:val="32"/>
                <w:szCs w:val="32"/>
              </w:rPr>
            </w:pPr>
          </w:p>
        </w:tc>
      </w:tr>
    </w:tbl>
    <w:p w14:paraId="57348FD2">
      <w:pPr>
        <w:rPr>
          <w:rFonts w:hint="eastAsia" w:ascii="仿宋_GB2312" w:hAnsi="仿宋_GB2312" w:eastAsia="仿宋_GB2312" w:cs="仿宋_GB2312"/>
          <w:sz w:val="32"/>
          <w:szCs w:val="32"/>
        </w:rPr>
      </w:pPr>
    </w:p>
    <w:p w14:paraId="747E8F6F">
      <w:pPr>
        <w:rPr>
          <w:rFonts w:hint="eastAsia" w:ascii="仿宋_GB2312" w:hAnsi="仿宋_GB2312" w:eastAsia="仿宋_GB2312" w:cs="仿宋_GB2312"/>
          <w:sz w:val="32"/>
          <w:szCs w:val="32"/>
        </w:rPr>
      </w:pPr>
      <w:r>
        <w:rPr>
          <w:rFonts w:hint="eastAsia" w:ascii="仿宋_GB2312" w:hAnsi="仿宋_GB2312" w:eastAsia="仿宋_GB2312" w:cs="仿宋_GB2312"/>
          <w:b w:val="0"/>
          <w:color w:val="000000"/>
          <w:sz w:val="32"/>
          <w:szCs w:val="32"/>
        </w:rPr>
        <w:t xml:space="preserve">3.您认为调研沟通工作人员的专业素养（如对项目政策、“五化” 内容的讲解清晰度、对群众疑问的解答能力等）如何?   </w:t>
      </w:r>
      <w:r>
        <w:rPr>
          <w:rFonts w:hint="eastAsia" w:ascii="仿宋_GB2312" w:hAnsi="仿宋_GB2312" w:eastAsia="仿宋_GB2312" w:cs="仿宋_GB2312"/>
          <w:b w:val="0"/>
          <w:color w:val="0066FF"/>
          <w:sz w:val="32"/>
          <w:szCs w:val="32"/>
        </w:rPr>
        <w:t>[单选题]</w:t>
      </w:r>
    </w:p>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4582"/>
        <w:gridCol w:w="1091"/>
        <w:gridCol w:w="3388"/>
      </w:tblGrid>
      <w:tr w14:paraId="7B0A84FD">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19D916AD">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选项</w:t>
            </w:r>
          </w:p>
        </w:tc>
        <w:tc>
          <w:tcPr>
            <w:tcW w:w="1000" w:type="dxa"/>
            <w:shd w:val="clear" w:color="auto" w:fill="F5F5F5"/>
            <w:vAlign w:val="center"/>
          </w:tcPr>
          <w:p w14:paraId="2E18612C">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小计</w:t>
            </w:r>
          </w:p>
        </w:tc>
        <w:tc>
          <w:tcPr>
            <w:tcW w:w="3106" w:type="dxa"/>
            <w:shd w:val="clear" w:color="auto" w:fill="F5F5F5"/>
            <w:vAlign w:val="center"/>
          </w:tcPr>
          <w:p w14:paraId="605AE59E">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比例</w:t>
            </w:r>
          </w:p>
        </w:tc>
      </w:tr>
      <w:tr w14:paraId="3D327291">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667B4333">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A. 非常高</w:t>
            </w:r>
          </w:p>
        </w:tc>
        <w:tc>
          <w:tcPr>
            <w:tcW w:w="1000" w:type="dxa"/>
            <w:shd w:val="clear" w:color="auto" w:fill="FFFFFF"/>
            <w:vAlign w:val="center"/>
          </w:tcPr>
          <w:p w14:paraId="17022093">
            <w:pPr>
              <w:jc w:val="center"/>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20</w:t>
            </w:r>
          </w:p>
        </w:tc>
        <w:tc>
          <w:tcPr>
            <w:tcW w:w="3106" w:type="dxa"/>
            <w:shd w:val="clear" w:color="auto" w:fill="FFFFFF"/>
            <w:vAlign w:val="center"/>
          </w:tcPr>
          <w:p w14:paraId="54FB931A">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476250" cy="1143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33"/>
                          <a:stretch>
                            <a:fillRect/>
                          </a:stretch>
                        </pic:blipFill>
                        <pic:spPr>
                          <a:xfrm>
                            <a:off x="0" y="0"/>
                            <a:ext cx="476316" cy="114316"/>
                          </a:xfrm>
                          <a:prstGeom prst="rect">
                            <a:avLst/>
                          </a:prstGeom>
                        </pic:spPr>
                      </pic:pic>
                    </a:graphicData>
                  </a:graphic>
                </wp:inline>
              </w:drawing>
            </w:r>
            <w:r>
              <w:rPr>
                <w:rFonts w:hint="eastAsia" w:ascii="仿宋_GB2312" w:hAnsi="仿宋_GB2312" w:eastAsia="仿宋_GB2312" w:cs="仿宋_GB2312"/>
                <w:sz w:val="32"/>
                <w:szCs w:val="32"/>
              </w:rPr>
              <w:drawing>
                <wp:inline distT="0" distB="0" distL="114300" distR="114300">
                  <wp:extent cx="876300" cy="114300"/>
                  <wp:effectExtent l="0" t="0" r="0" b="0"/>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34"/>
                          <a:stretch>
                            <a:fillRect/>
                          </a:stretch>
                        </pic:blipFill>
                        <pic:spPr>
                          <a:xfrm>
                            <a:off x="0" y="0"/>
                            <a:ext cx="876422" cy="114316"/>
                          </a:xfrm>
                          <a:prstGeom prst="rect">
                            <a:avLst/>
                          </a:prstGeom>
                        </pic:spPr>
                      </pic:pic>
                    </a:graphicData>
                  </a:graphic>
                </wp:inline>
              </w:drawing>
            </w:r>
            <w:r>
              <w:rPr>
                <w:rFonts w:hint="eastAsia" w:ascii="仿宋_GB2312" w:hAnsi="仿宋_GB2312" w:eastAsia="仿宋_GB2312" w:cs="仿宋_GB2312"/>
                <w:sz w:val="32"/>
                <w:szCs w:val="32"/>
              </w:rPr>
              <w:t>35.71%</w:t>
            </w:r>
          </w:p>
        </w:tc>
      </w:tr>
      <w:tr w14:paraId="535C952B">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5F827F6B">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B. 较高</w:t>
            </w:r>
          </w:p>
        </w:tc>
        <w:tc>
          <w:tcPr>
            <w:tcW w:w="1000" w:type="dxa"/>
            <w:shd w:val="clear" w:color="auto" w:fill="FAFAFA"/>
            <w:vAlign w:val="center"/>
          </w:tcPr>
          <w:p w14:paraId="321824D8">
            <w:pPr>
              <w:jc w:val="center"/>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36</w:t>
            </w:r>
          </w:p>
        </w:tc>
        <w:tc>
          <w:tcPr>
            <w:tcW w:w="3106" w:type="dxa"/>
            <w:shd w:val="clear" w:color="auto" w:fill="FAFAFA"/>
            <w:vAlign w:val="center"/>
          </w:tcPr>
          <w:p w14:paraId="5440B48C">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866775" cy="114300"/>
                  <wp:effectExtent l="0" t="0" r="9525"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35"/>
                          <a:stretch>
                            <a:fillRect/>
                          </a:stretch>
                        </pic:blipFill>
                        <pic:spPr>
                          <a:xfrm>
                            <a:off x="0" y="0"/>
                            <a:ext cx="866896" cy="114316"/>
                          </a:xfrm>
                          <a:prstGeom prst="rect">
                            <a:avLst/>
                          </a:prstGeom>
                        </pic:spPr>
                      </pic:pic>
                    </a:graphicData>
                  </a:graphic>
                </wp:inline>
              </w:drawing>
            </w:r>
            <w:r>
              <w:rPr>
                <w:rFonts w:hint="eastAsia" w:ascii="仿宋_GB2312" w:hAnsi="仿宋_GB2312" w:eastAsia="仿宋_GB2312" w:cs="仿宋_GB2312"/>
                <w:sz w:val="32"/>
                <w:szCs w:val="32"/>
              </w:rPr>
              <w:drawing>
                <wp:inline distT="0" distB="0" distL="114300" distR="114300">
                  <wp:extent cx="485775" cy="114300"/>
                  <wp:effectExtent l="0" t="0" r="9525" b="0"/>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36"/>
                          <a:stretch>
                            <a:fillRect/>
                          </a:stretch>
                        </pic:blipFill>
                        <pic:spPr>
                          <a:xfrm>
                            <a:off x="0" y="0"/>
                            <a:ext cx="485843" cy="114316"/>
                          </a:xfrm>
                          <a:prstGeom prst="rect">
                            <a:avLst/>
                          </a:prstGeom>
                        </pic:spPr>
                      </pic:pic>
                    </a:graphicData>
                  </a:graphic>
                </wp:inline>
              </w:drawing>
            </w:r>
            <w:r>
              <w:rPr>
                <w:rFonts w:hint="eastAsia" w:ascii="仿宋_GB2312" w:hAnsi="仿宋_GB2312" w:eastAsia="仿宋_GB2312" w:cs="仿宋_GB2312"/>
                <w:sz w:val="32"/>
                <w:szCs w:val="32"/>
              </w:rPr>
              <w:t>64.29%</w:t>
            </w:r>
          </w:p>
        </w:tc>
      </w:tr>
      <w:tr w14:paraId="4C60C5F8">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42501641">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C. 一般</w:t>
            </w:r>
          </w:p>
        </w:tc>
        <w:tc>
          <w:tcPr>
            <w:tcW w:w="1000" w:type="dxa"/>
            <w:shd w:val="clear" w:color="auto" w:fill="FFFFFF"/>
            <w:vAlign w:val="center"/>
          </w:tcPr>
          <w:p w14:paraId="66ED8552">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0</w:t>
            </w:r>
          </w:p>
        </w:tc>
        <w:tc>
          <w:tcPr>
            <w:tcW w:w="3106" w:type="dxa"/>
            <w:shd w:val="clear" w:color="auto" w:fill="FFFFFF"/>
            <w:vAlign w:val="center"/>
          </w:tcPr>
          <w:p w14:paraId="10E42804">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1352550" cy="1143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32"/>
                          <a:stretch>
                            <a:fillRect/>
                          </a:stretch>
                        </pic:blipFill>
                        <pic:spPr>
                          <a:xfrm>
                            <a:off x="0" y="0"/>
                            <a:ext cx="1352739" cy="114316"/>
                          </a:xfrm>
                          <a:prstGeom prst="rect">
                            <a:avLst/>
                          </a:prstGeom>
                        </pic:spPr>
                      </pic:pic>
                    </a:graphicData>
                  </a:graphic>
                </wp:inline>
              </w:drawing>
            </w:r>
            <w:r>
              <w:rPr>
                <w:rFonts w:hint="eastAsia" w:ascii="仿宋_GB2312" w:hAnsi="仿宋_GB2312" w:eastAsia="仿宋_GB2312" w:cs="仿宋_GB2312"/>
                <w:sz w:val="32"/>
                <w:szCs w:val="32"/>
              </w:rPr>
              <w:t>0%</w:t>
            </w:r>
          </w:p>
        </w:tc>
      </w:tr>
      <w:tr w14:paraId="75C6C129">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38545D3F">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D. 较低</w:t>
            </w:r>
          </w:p>
        </w:tc>
        <w:tc>
          <w:tcPr>
            <w:tcW w:w="1000" w:type="dxa"/>
            <w:shd w:val="clear" w:color="auto" w:fill="FAFAFA"/>
            <w:vAlign w:val="center"/>
          </w:tcPr>
          <w:p w14:paraId="44B5E2C1">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0</w:t>
            </w:r>
          </w:p>
        </w:tc>
        <w:tc>
          <w:tcPr>
            <w:tcW w:w="3106" w:type="dxa"/>
            <w:shd w:val="clear" w:color="auto" w:fill="FAFAFA"/>
            <w:vAlign w:val="center"/>
          </w:tcPr>
          <w:p w14:paraId="3D33B536">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1352550" cy="114300"/>
                  <wp:effectExtent l="0" t="0" r="0" b="0"/>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32"/>
                          <a:stretch>
                            <a:fillRect/>
                          </a:stretch>
                        </pic:blipFill>
                        <pic:spPr>
                          <a:xfrm>
                            <a:off x="0" y="0"/>
                            <a:ext cx="1352739" cy="114316"/>
                          </a:xfrm>
                          <a:prstGeom prst="rect">
                            <a:avLst/>
                          </a:prstGeom>
                        </pic:spPr>
                      </pic:pic>
                    </a:graphicData>
                  </a:graphic>
                </wp:inline>
              </w:drawing>
            </w:r>
            <w:r>
              <w:rPr>
                <w:rFonts w:hint="eastAsia" w:ascii="仿宋_GB2312" w:hAnsi="仿宋_GB2312" w:eastAsia="仿宋_GB2312" w:cs="仿宋_GB2312"/>
                <w:sz w:val="32"/>
                <w:szCs w:val="32"/>
              </w:rPr>
              <w:t>0%</w:t>
            </w:r>
          </w:p>
        </w:tc>
      </w:tr>
      <w:tr w14:paraId="5A598ADD">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3E7BB95F">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本题有效填写人次</w:t>
            </w:r>
          </w:p>
        </w:tc>
        <w:tc>
          <w:tcPr>
            <w:tcW w:w="1000" w:type="dxa"/>
            <w:shd w:val="clear" w:color="auto" w:fill="F5F5F5"/>
            <w:vAlign w:val="center"/>
          </w:tcPr>
          <w:p w14:paraId="6D28005D">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56</w:t>
            </w:r>
          </w:p>
        </w:tc>
        <w:tc>
          <w:tcPr>
            <w:tcW w:w="3106" w:type="dxa"/>
            <w:shd w:val="clear" w:color="auto" w:fill="F5F5F5"/>
            <w:vAlign w:val="center"/>
          </w:tcPr>
          <w:p w14:paraId="46AB7070">
            <w:pPr>
              <w:jc w:val="left"/>
              <w:rPr>
                <w:rFonts w:hint="eastAsia" w:ascii="仿宋_GB2312" w:hAnsi="仿宋_GB2312" w:eastAsia="仿宋_GB2312" w:cs="仿宋_GB2312"/>
                <w:sz w:val="32"/>
                <w:szCs w:val="32"/>
              </w:rPr>
            </w:pPr>
          </w:p>
        </w:tc>
      </w:tr>
    </w:tbl>
    <w:p w14:paraId="440CBE6B">
      <w:pPr>
        <w:rPr>
          <w:rFonts w:hint="eastAsia" w:ascii="仿宋_GB2312" w:hAnsi="仿宋_GB2312" w:eastAsia="仿宋_GB2312" w:cs="仿宋_GB2312"/>
          <w:sz w:val="32"/>
          <w:szCs w:val="32"/>
        </w:rPr>
      </w:pPr>
    </w:p>
    <w:p w14:paraId="7FEDA15F">
      <w:pPr>
        <w:rPr>
          <w:rFonts w:hint="eastAsia" w:ascii="仿宋_GB2312" w:hAnsi="仿宋_GB2312" w:eastAsia="仿宋_GB2312" w:cs="仿宋_GB2312"/>
          <w:sz w:val="32"/>
          <w:szCs w:val="32"/>
        </w:rPr>
      </w:pPr>
      <w:r>
        <w:rPr>
          <w:rFonts w:hint="eastAsia" w:ascii="仿宋_GB2312" w:hAnsi="仿宋_GB2312" w:eastAsia="仿宋_GB2312" w:cs="仿宋_GB2312"/>
          <w:b w:val="0"/>
          <w:color w:val="000000"/>
          <w:sz w:val="32"/>
          <w:szCs w:val="32"/>
        </w:rPr>
        <w:t xml:space="preserve">4.您认为调研沟通工作人员的服务态度（如耐心程度、是否认真倾听您的意见等）如何?   </w:t>
      </w:r>
      <w:r>
        <w:rPr>
          <w:rFonts w:hint="eastAsia" w:ascii="仿宋_GB2312" w:hAnsi="仿宋_GB2312" w:eastAsia="仿宋_GB2312" w:cs="仿宋_GB2312"/>
          <w:b w:val="0"/>
          <w:color w:val="0066FF"/>
          <w:sz w:val="32"/>
          <w:szCs w:val="32"/>
        </w:rPr>
        <w:t>[单选题]</w:t>
      </w:r>
    </w:p>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4582"/>
        <w:gridCol w:w="1091"/>
        <w:gridCol w:w="3388"/>
      </w:tblGrid>
      <w:tr w14:paraId="1AFAE545">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41575261">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选项</w:t>
            </w:r>
          </w:p>
        </w:tc>
        <w:tc>
          <w:tcPr>
            <w:tcW w:w="1000" w:type="dxa"/>
            <w:shd w:val="clear" w:color="auto" w:fill="F5F5F5"/>
            <w:vAlign w:val="center"/>
          </w:tcPr>
          <w:p w14:paraId="568C2EA6">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小计</w:t>
            </w:r>
          </w:p>
        </w:tc>
        <w:tc>
          <w:tcPr>
            <w:tcW w:w="3106" w:type="dxa"/>
            <w:shd w:val="clear" w:color="auto" w:fill="F5F5F5"/>
            <w:vAlign w:val="center"/>
          </w:tcPr>
          <w:p w14:paraId="5979F1C0">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比例</w:t>
            </w:r>
          </w:p>
        </w:tc>
      </w:tr>
      <w:tr w14:paraId="76ADCA87">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5B2BFDEE">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A. 好</w:t>
            </w:r>
          </w:p>
        </w:tc>
        <w:tc>
          <w:tcPr>
            <w:tcW w:w="1000" w:type="dxa"/>
            <w:shd w:val="clear" w:color="auto" w:fill="FFFFFF"/>
            <w:vAlign w:val="center"/>
          </w:tcPr>
          <w:p w14:paraId="5147026F">
            <w:pPr>
              <w:jc w:val="center"/>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54</w:t>
            </w:r>
          </w:p>
        </w:tc>
        <w:tc>
          <w:tcPr>
            <w:tcW w:w="3106" w:type="dxa"/>
            <w:shd w:val="clear" w:color="auto" w:fill="FFFFFF"/>
            <w:vAlign w:val="center"/>
          </w:tcPr>
          <w:p w14:paraId="40982952">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1295400" cy="1143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37"/>
                          <a:stretch>
                            <a:fillRect/>
                          </a:stretch>
                        </pic:blipFill>
                        <pic:spPr>
                          <a:xfrm>
                            <a:off x="0" y="0"/>
                            <a:ext cx="1295581" cy="114316"/>
                          </a:xfrm>
                          <a:prstGeom prst="rect">
                            <a:avLst/>
                          </a:prstGeom>
                        </pic:spPr>
                      </pic:pic>
                    </a:graphicData>
                  </a:graphic>
                </wp:inline>
              </w:drawing>
            </w:r>
            <w:r>
              <w:rPr>
                <w:rFonts w:hint="eastAsia" w:ascii="仿宋_GB2312" w:hAnsi="仿宋_GB2312" w:eastAsia="仿宋_GB2312" w:cs="仿宋_GB2312"/>
                <w:sz w:val="32"/>
                <w:szCs w:val="32"/>
              </w:rPr>
              <w:drawing>
                <wp:inline distT="0" distB="0" distL="114300" distR="114300">
                  <wp:extent cx="57150" cy="114300"/>
                  <wp:effectExtent l="0" t="0" r="0" b="0"/>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38"/>
                          <a:stretch>
                            <a:fillRect/>
                          </a:stretch>
                        </pic:blipFill>
                        <pic:spPr>
                          <a:xfrm>
                            <a:off x="0" y="0"/>
                            <a:ext cx="57158" cy="114316"/>
                          </a:xfrm>
                          <a:prstGeom prst="rect">
                            <a:avLst/>
                          </a:prstGeom>
                        </pic:spPr>
                      </pic:pic>
                    </a:graphicData>
                  </a:graphic>
                </wp:inline>
              </w:drawing>
            </w:r>
            <w:r>
              <w:rPr>
                <w:rFonts w:hint="eastAsia" w:ascii="仿宋_GB2312" w:hAnsi="仿宋_GB2312" w:eastAsia="仿宋_GB2312" w:cs="仿宋_GB2312"/>
                <w:sz w:val="32"/>
                <w:szCs w:val="32"/>
              </w:rPr>
              <w:t>96.43%</w:t>
            </w:r>
          </w:p>
        </w:tc>
      </w:tr>
      <w:tr w14:paraId="51DA5180">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14B1B0DD">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B. 一般</w:t>
            </w:r>
          </w:p>
        </w:tc>
        <w:tc>
          <w:tcPr>
            <w:tcW w:w="1000" w:type="dxa"/>
            <w:shd w:val="clear" w:color="auto" w:fill="FAFAFA"/>
            <w:vAlign w:val="center"/>
          </w:tcPr>
          <w:p w14:paraId="5EE425D0">
            <w:pPr>
              <w:jc w:val="center"/>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2</w:t>
            </w:r>
          </w:p>
        </w:tc>
        <w:tc>
          <w:tcPr>
            <w:tcW w:w="3106" w:type="dxa"/>
            <w:shd w:val="clear" w:color="auto" w:fill="FAFAFA"/>
            <w:vAlign w:val="center"/>
          </w:tcPr>
          <w:p w14:paraId="670C673E">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47625" cy="114300"/>
                  <wp:effectExtent l="0" t="0" r="9525"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28"/>
                          <a:stretch>
                            <a:fillRect/>
                          </a:stretch>
                        </pic:blipFill>
                        <pic:spPr>
                          <a:xfrm>
                            <a:off x="0" y="0"/>
                            <a:ext cx="47632" cy="114316"/>
                          </a:xfrm>
                          <a:prstGeom prst="rect">
                            <a:avLst/>
                          </a:prstGeom>
                        </pic:spPr>
                      </pic:pic>
                    </a:graphicData>
                  </a:graphic>
                </wp:inline>
              </w:drawing>
            </w:r>
            <w:r>
              <w:rPr>
                <w:rFonts w:hint="eastAsia" w:ascii="仿宋_GB2312" w:hAnsi="仿宋_GB2312" w:eastAsia="仿宋_GB2312" w:cs="仿宋_GB2312"/>
                <w:sz w:val="32"/>
                <w:szCs w:val="32"/>
              </w:rPr>
              <w:drawing>
                <wp:inline distT="0" distB="0" distL="114300" distR="114300">
                  <wp:extent cx="1304925" cy="114300"/>
                  <wp:effectExtent l="0" t="0" r="9525" b="0"/>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29"/>
                          <a:stretch>
                            <a:fillRect/>
                          </a:stretch>
                        </pic:blipFill>
                        <pic:spPr>
                          <a:xfrm>
                            <a:off x="0" y="0"/>
                            <a:ext cx="1305107" cy="114316"/>
                          </a:xfrm>
                          <a:prstGeom prst="rect">
                            <a:avLst/>
                          </a:prstGeom>
                        </pic:spPr>
                      </pic:pic>
                    </a:graphicData>
                  </a:graphic>
                </wp:inline>
              </w:drawing>
            </w:r>
            <w:r>
              <w:rPr>
                <w:rFonts w:hint="eastAsia" w:ascii="仿宋_GB2312" w:hAnsi="仿宋_GB2312" w:eastAsia="仿宋_GB2312" w:cs="仿宋_GB2312"/>
                <w:sz w:val="32"/>
                <w:szCs w:val="32"/>
              </w:rPr>
              <w:t>3.57%</w:t>
            </w:r>
          </w:p>
        </w:tc>
      </w:tr>
      <w:tr w14:paraId="17F4B3BB">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2F32BC59">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C. 不好</w:t>
            </w:r>
          </w:p>
        </w:tc>
        <w:tc>
          <w:tcPr>
            <w:tcW w:w="1000" w:type="dxa"/>
            <w:shd w:val="clear" w:color="auto" w:fill="FFFFFF"/>
            <w:vAlign w:val="center"/>
          </w:tcPr>
          <w:p w14:paraId="394A10B4">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0</w:t>
            </w:r>
          </w:p>
        </w:tc>
        <w:tc>
          <w:tcPr>
            <w:tcW w:w="3106" w:type="dxa"/>
            <w:shd w:val="clear" w:color="auto" w:fill="FFFFFF"/>
            <w:vAlign w:val="center"/>
          </w:tcPr>
          <w:p w14:paraId="503FBCD9">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1352550" cy="1143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32"/>
                          <a:stretch>
                            <a:fillRect/>
                          </a:stretch>
                        </pic:blipFill>
                        <pic:spPr>
                          <a:xfrm>
                            <a:off x="0" y="0"/>
                            <a:ext cx="1352739" cy="114316"/>
                          </a:xfrm>
                          <a:prstGeom prst="rect">
                            <a:avLst/>
                          </a:prstGeom>
                        </pic:spPr>
                      </pic:pic>
                    </a:graphicData>
                  </a:graphic>
                </wp:inline>
              </w:drawing>
            </w:r>
            <w:r>
              <w:rPr>
                <w:rFonts w:hint="eastAsia" w:ascii="仿宋_GB2312" w:hAnsi="仿宋_GB2312" w:eastAsia="仿宋_GB2312" w:cs="仿宋_GB2312"/>
                <w:sz w:val="32"/>
                <w:szCs w:val="32"/>
              </w:rPr>
              <w:t>0%</w:t>
            </w:r>
          </w:p>
        </w:tc>
      </w:tr>
      <w:tr w14:paraId="352BCE9D">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4D2DC9ED">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本题有效填写人次</w:t>
            </w:r>
          </w:p>
        </w:tc>
        <w:tc>
          <w:tcPr>
            <w:tcW w:w="1000" w:type="dxa"/>
            <w:shd w:val="clear" w:color="auto" w:fill="F5F5F5"/>
            <w:vAlign w:val="center"/>
          </w:tcPr>
          <w:p w14:paraId="769E816C">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56</w:t>
            </w:r>
          </w:p>
        </w:tc>
        <w:tc>
          <w:tcPr>
            <w:tcW w:w="3106" w:type="dxa"/>
            <w:shd w:val="clear" w:color="auto" w:fill="F5F5F5"/>
            <w:vAlign w:val="center"/>
          </w:tcPr>
          <w:p w14:paraId="1ACA4E25">
            <w:pPr>
              <w:jc w:val="left"/>
              <w:rPr>
                <w:rFonts w:hint="eastAsia" w:ascii="仿宋_GB2312" w:hAnsi="仿宋_GB2312" w:eastAsia="仿宋_GB2312" w:cs="仿宋_GB2312"/>
                <w:sz w:val="32"/>
                <w:szCs w:val="32"/>
              </w:rPr>
            </w:pPr>
          </w:p>
        </w:tc>
      </w:tr>
    </w:tbl>
    <w:p w14:paraId="3B159466">
      <w:pPr>
        <w:rPr>
          <w:rFonts w:hint="eastAsia" w:ascii="仿宋_GB2312" w:hAnsi="仿宋_GB2312" w:eastAsia="仿宋_GB2312" w:cs="仿宋_GB2312"/>
          <w:sz w:val="32"/>
          <w:szCs w:val="32"/>
        </w:rPr>
      </w:pPr>
    </w:p>
    <w:p w14:paraId="12C5434F">
      <w:pPr>
        <w:rPr>
          <w:rFonts w:hint="eastAsia" w:ascii="仿宋_GB2312" w:hAnsi="仿宋_GB2312" w:eastAsia="仿宋_GB2312" w:cs="仿宋_GB2312"/>
          <w:sz w:val="32"/>
          <w:szCs w:val="32"/>
        </w:rPr>
      </w:pPr>
      <w:r>
        <w:rPr>
          <w:rFonts w:hint="eastAsia" w:ascii="仿宋_GB2312" w:hAnsi="仿宋_GB2312" w:eastAsia="仿宋_GB2312" w:cs="仿宋_GB2312"/>
          <w:b w:val="0"/>
          <w:color w:val="000000"/>
          <w:sz w:val="32"/>
          <w:szCs w:val="32"/>
        </w:rPr>
        <w:t xml:space="preserve">5.在调研沟通过程中，您是否有机会充分表达自己对项目前期设计的意见和需求?   </w:t>
      </w:r>
      <w:r>
        <w:rPr>
          <w:rFonts w:hint="eastAsia" w:ascii="仿宋_GB2312" w:hAnsi="仿宋_GB2312" w:eastAsia="仿宋_GB2312" w:cs="仿宋_GB2312"/>
          <w:b w:val="0"/>
          <w:color w:val="0066FF"/>
          <w:sz w:val="32"/>
          <w:szCs w:val="32"/>
        </w:rPr>
        <w:t>[单选题]</w:t>
      </w:r>
    </w:p>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4582"/>
        <w:gridCol w:w="1091"/>
        <w:gridCol w:w="3388"/>
      </w:tblGrid>
      <w:tr w14:paraId="7ECE1EA3">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20478FCE">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选项</w:t>
            </w:r>
          </w:p>
        </w:tc>
        <w:tc>
          <w:tcPr>
            <w:tcW w:w="1000" w:type="dxa"/>
            <w:shd w:val="clear" w:color="auto" w:fill="F5F5F5"/>
            <w:vAlign w:val="center"/>
          </w:tcPr>
          <w:p w14:paraId="1F1489FB">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小计</w:t>
            </w:r>
          </w:p>
        </w:tc>
        <w:tc>
          <w:tcPr>
            <w:tcW w:w="3106" w:type="dxa"/>
            <w:shd w:val="clear" w:color="auto" w:fill="F5F5F5"/>
            <w:vAlign w:val="center"/>
          </w:tcPr>
          <w:p w14:paraId="16A9B282">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比例</w:t>
            </w:r>
          </w:p>
        </w:tc>
      </w:tr>
      <w:tr w14:paraId="00468579">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7B26F9C9">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A. 有</w:t>
            </w:r>
          </w:p>
        </w:tc>
        <w:tc>
          <w:tcPr>
            <w:tcW w:w="1000" w:type="dxa"/>
            <w:shd w:val="clear" w:color="auto" w:fill="FFFFFF"/>
            <w:vAlign w:val="center"/>
          </w:tcPr>
          <w:p w14:paraId="4A54660E">
            <w:pPr>
              <w:jc w:val="center"/>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56</w:t>
            </w:r>
          </w:p>
        </w:tc>
        <w:tc>
          <w:tcPr>
            <w:tcW w:w="3106" w:type="dxa"/>
            <w:shd w:val="clear" w:color="auto" w:fill="FFFFFF"/>
            <w:vAlign w:val="center"/>
          </w:tcPr>
          <w:p w14:paraId="710D8944">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1352550" cy="114300"/>
                  <wp:effectExtent l="0" t="0" r="0" b="0"/>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39"/>
                          <a:stretch>
                            <a:fillRect/>
                          </a:stretch>
                        </pic:blipFill>
                        <pic:spPr>
                          <a:xfrm>
                            <a:off x="0" y="0"/>
                            <a:ext cx="1352739" cy="114316"/>
                          </a:xfrm>
                          <a:prstGeom prst="rect">
                            <a:avLst/>
                          </a:prstGeom>
                        </pic:spPr>
                      </pic:pic>
                    </a:graphicData>
                  </a:graphic>
                </wp:inline>
              </w:drawing>
            </w:r>
            <w:r>
              <w:rPr>
                <w:rFonts w:hint="eastAsia" w:ascii="仿宋_GB2312" w:hAnsi="仿宋_GB2312" w:eastAsia="仿宋_GB2312" w:cs="仿宋_GB2312"/>
                <w:sz w:val="32"/>
                <w:szCs w:val="32"/>
              </w:rPr>
              <w:t>100%</w:t>
            </w:r>
          </w:p>
        </w:tc>
      </w:tr>
      <w:tr w14:paraId="4AB302FA">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4D087663">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B. 没有</w:t>
            </w:r>
          </w:p>
        </w:tc>
        <w:tc>
          <w:tcPr>
            <w:tcW w:w="1000" w:type="dxa"/>
            <w:shd w:val="clear" w:color="auto" w:fill="FAFAFA"/>
            <w:vAlign w:val="center"/>
          </w:tcPr>
          <w:p w14:paraId="21896CAB">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0</w:t>
            </w:r>
          </w:p>
        </w:tc>
        <w:tc>
          <w:tcPr>
            <w:tcW w:w="3106" w:type="dxa"/>
            <w:shd w:val="clear" w:color="auto" w:fill="FAFAFA"/>
            <w:vAlign w:val="center"/>
          </w:tcPr>
          <w:p w14:paraId="04182F05">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1352550" cy="1143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32"/>
                          <a:stretch>
                            <a:fillRect/>
                          </a:stretch>
                        </pic:blipFill>
                        <pic:spPr>
                          <a:xfrm>
                            <a:off x="0" y="0"/>
                            <a:ext cx="1352739" cy="114316"/>
                          </a:xfrm>
                          <a:prstGeom prst="rect">
                            <a:avLst/>
                          </a:prstGeom>
                        </pic:spPr>
                      </pic:pic>
                    </a:graphicData>
                  </a:graphic>
                </wp:inline>
              </w:drawing>
            </w:r>
            <w:r>
              <w:rPr>
                <w:rFonts w:hint="eastAsia" w:ascii="仿宋_GB2312" w:hAnsi="仿宋_GB2312" w:eastAsia="仿宋_GB2312" w:cs="仿宋_GB2312"/>
                <w:sz w:val="32"/>
                <w:szCs w:val="32"/>
              </w:rPr>
              <w:t>0%</w:t>
            </w:r>
          </w:p>
        </w:tc>
      </w:tr>
      <w:tr w14:paraId="5FC1F334">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3115722D">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本题有效填写人次</w:t>
            </w:r>
          </w:p>
        </w:tc>
        <w:tc>
          <w:tcPr>
            <w:tcW w:w="1000" w:type="dxa"/>
            <w:shd w:val="clear" w:color="auto" w:fill="F5F5F5"/>
            <w:vAlign w:val="center"/>
          </w:tcPr>
          <w:p w14:paraId="3BFC7B46">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56</w:t>
            </w:r>
          </w:p>
        </w:tc>
        <w:tc>
          <w:tcPr>
            <w:tcW w:w="3106" w:type="dxa"/>
            <w:shd w:val="clear" w:color="auto" w:fill="F5F5F5"/>
            <w:vAlign w:val="center"/>
          </w:tcPr>
          <w:p w14:paraId="7FF7D71C">
            <w:pPr>
              <w:jc w:val="left"/>
              <w:rPr>
                <w:rFonts w:hint="eastAsia" w:ascii="仿宋_GB2312" w:hAnsi="仿宋_GB2312" w:eastAsia="仿宋_GB2312" w:cs="仿宋_GB2312"/>
                <w:sz w:val="32"/>
                <w:szCs w:val="32"/>
              </w:rPr>
            </w:pPr>
          </w:p>
        </w:tc>
      </w:tr>
    </w:tbl>
    <w:p w14:paraId="57DCF34D">
      <w:pPr>
        <w:rPr>
          <w:rFonts w:hint="eastAsia" w:ascii="仿宋_GB2312" w:hAnsi="仿宋_GB2312" w:eastAsia="仿宋_GB2312" w:cs="仿宋_GB2312"/>
          <w:sz w:val="32"/>
          <w:szCs w:val="32"/>
        </w:rPr>
      </w:pPr>
    </w:p>
    <w:p w14:paraId="0B41C252">
      <w:pPr>
        <w:rPr>
          <w:rFonts w:hint="eastAsia" w:ascii="仿宋_GB2312" w:hAnsi="仿宋_GB2312" w:eastAsia="仿宋_GB2312" w:cs="仿宋_GB2312"/>
          <w:sz w:val="32"/>
          <w:szCs w:val="32"/>
        </w:rPr>
      </w:pPr>
      <w:r>
        <w:rPr>
          <w:rFonts w:hint="eastAsia" w:ascii="仿宋_GB2312" w:hAnsi="仿宋_GB2312" w:eastAsia="仿宋_GB2312" w:cs="仿宋_GB2312"/>
          <w:b w:val="0"/>
          <w:color w:val="000000"/>
          <w:sz w:val="32"/>
          <w:szCs w:val="32"/>
        </w:rPr>
        <w:t xml:space="preserve">6.您提出的意见和需求是否得到调研沟通工作人员的重视和反馈?   </w:t>
      </w:r>
      <w:r>
        <w:rPr>
          <w:rFonts w:hint="eastAsia" w:ascii="仿宋_GB2312" w:hAnsi="仿宋_GB2312" w:eastAsia="仿宋_GB2312" w:cs="仿宋_GB2312"/>
          <w:b w:val="0"/>
          <w:color w:val="0066FF"/>
          <w:sz w:val="32"/>
          <w:szCs w:val="32"/>
        </w:rPr>
        <w:t>[单选题]</w:t>
      </w:r>
    </w:p>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4582"/>
        <w:gridCol w:w="1091"/>
        <w:gridCol w:w="3388"/>
      </w:tblGrid>
      <w:tr w14:paraId="71E63C76">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5166C977">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选项</w:t>
            </w:r>
          </w:p>
        </w:tc>
        <w:tc>
          <w:tcPr>
            <w:tcW w:w="1000" w:type="dxa"/>
            <w:shd w:val="clear" w:color="auto" w:fill="F5F5F5"/>
            <w:vAlign w:val="center"/>
          </w:tcPr>
          <w:p w14:paraId="7E566891">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小计</w:t>
            </w:r>
          </w:p>
        </w:tc>
        <w:tc>
          <w:tcPr>
            <w:tcW w:w="3106" w:type="dxa"/>
            <w:shd w:val="clear" w:color="auto" w:fill="F5F5F5"/>
            <w:vAlign w:val="center"/>
          </w:tcPr>
          <w:p w14:paraId="6231CE6F">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比例</w:t>
            </w:r>
          </w:p>
        </w:tc>
      </w:tr>
      <w:tr w14:paraId="0C892EC0">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6BF89D55">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A. 重视且有反馈</w:t>
            </w:r>
          </w:p>
        </w:tc>
        <w:tc>
          <w:tcPr>
            <w:tcW w:w="1000" w:type="dxa"/>
            <w:shd w:val="clear" w:color="auto" w:fill="FFFFFF"/>
            <w:vAlign w:val="center"/>
          </w:tcPr>
          <w:p w14:paraId="07506C4C">
            <w:pPr>
              <w:jc w:val="center"/>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50</w:t>
            </w:r>
          </w:p>
        </w:tc>
        <w:tc>
          <w:tcPr>
            <w:tcW w:w="3106" w:type="dxa"/>
            <w:shd w:val="clear" w:color="auto" w:fill="FFFFFF"/>
            <w:vAlign w:val="center"/>
          </w:tcPr>
          <w:p w14:paraId="4C003389">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1200150" cy="114300"/>
                  <wp:effectExtent l="0" t="0" r="0" b="0"/>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r:embed="rId40"/>
                          <a:stretch>
                            <a:fillRect/>
                          </a:stretch>
                        </pic:blipFill>
                        <pic:spPr>
                          <a:xfrm>
                            <a:off x="0" y="0"/>
                            <a:ext cx="1200318" cy="114316"/>
                          </a:xfrm>
                          <a:prstGeom prst="rect">
                            <a:avLst/>
                          </a:prstGeom>
                        </pic:spPr>
                      </pic:pic>
                    </a:graphicData>
                  </a:graphic>
                </wp:inline>
              </w:drawing>
            </w:r>
            <w:r>
              <w:rPr>
                <w:rFonts w:hint="eastAsia" w:ascii="仿宋_GB2312" w:hAnsi="仿宋_GB2312" w:eastAsia="仿宋_GB2312" w:cs="仿宋_GB2312"/>
                <w:sz w:val="32"/>
                <w:szCs w:val="32"/>
              </w:rPr>
              <w:drawing>
                <wp:inline distT="0" distB="0" distL="114300" distR="114300">
                  <wp:extent cx="152400" cy="1143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41"/>
                          <a:stretch>
                            <a:fillRect/>
                          </a:stretch>
                        </pic:blipFill>
                        <pic:spPr>
                          <a:xfrm>
                            <a:off x="0" y="0"/>
                            <a:ext cx="152421" cy="114316"/>
                          </a:xfrm>
                          <a:prstGeom prst="rect">
                            <a:avLst/>
                          </a:prstGeom>
                        </pic:spPr>
                      </pic:pic>
                    </a:graphicData>
                  </a:graphic>
                </wp:inline>
              </w:drawing>
            </w:r>
            <w:r>
              <w:rPr>
                <w:rFonts w:hint="eastAsia" w:ascii="仿宋_GB2312" w:hAnsi="仿宋_GB2312" w:eastAsia="仿宋_GB2312" w:cs="仿宋_GB2312"/>
                <w:sz w:val="32"/>
                <w:szCs w:val="32"/>
              </w:rPr>
              <w:t>89.29%</w:t>
            </w:r>
          </w:p>
        </w:tc>
      </w:tr>
      <w:tr w14:paraId="066208DB">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3BFA3727">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B. 一般</w:t>
            </w:r>
          </w:p>
        </w:tc>
        <w:tc>
          <w:tcPr>
            <w:tcW w:w="1000" w:type="dxa"/>
            <w:shd w:val="clear" w:color="auto" w:fill="FAFAFA"/>
            <w:vAlign w:val="center"/>
          </w:tcPr>
          <w:p w14:paraId="29FB29BB">
            <w:pPr>
              <w:jc w:val="center"/>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6</w:t>
            </w:r>
          </w:p>
        </w:tc>
        <w:tc>
          <w:tcPr>
            <w:tcW w:w="3106" w:type="dxa"/>
            <w:shd w:val="clear" w:color="auto" w:fill="FAFAFA"/>
            <w:vAlign w:val="center"/>
          </w:tcPr>
          <w:p w14:paraId="22588EEA">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142875" cy="114300"/>
                  <wp:effectExtent l="0" t="0" r="9525" b="0"/>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42"/>
                          <a:stretch>
                            <a:fillRect/>
                          </a:stretch>
                        </pic:blipFill>
                        <pic:spPr>
                          <a:xfrm>
                            <a:off x="0" y="0"/>
                            <a:ext cx="142895" cy="114316"/>
                          </a:xfrm>
                          <a:prstGeom prst="rect">
                            <a:avLst/>
                          </a:prstGeom>
                        </pic:spPr>
                      </pic:pic>
                    </a:graphicData>
                  </a:graphic>
                </wp:inline>
              </w:drawing>
            </w:r>
            <w:r>
              <w:rPr>
                <w:rFonts w:hint="eastAsia" w:ascii="仿宋_GB2312" w:hAnsi="仿宋_GB2312" w:eastAsia="仿宋_GB2312" w:cs="仿宋_GB2312"/>
                <w:sz w:val="32"/>
                <w:szCs w:val="32"/>
              </w:rPr>
              <w:drawing>
                <wp:inline distT="0" distB="0" distL="114300" distR="114300">
                  <wp:extent cx="1209675" cy="114300"/>
                  <wp:effectExtent l="0" t="0" r="9525"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43"/>
                          <a:stretch>
                            <a:fillRect/>
                          </a:stretch>
                        </pic:blipFill>
                        <pic:spPr>
                          <a:xfrm>
                            <a:off x="0" y="0"/>
                            <a:ext cx="1209844" cy="114316"/>
                          </a:xfrm>
                          <a:prstGeom prst="rect">
                            <a:avLst/>
                          </a:prstGeom>
                        </pic:spPr>
                      </pic:pic>
                    </a:graphicData>
                  </a:graphic>
                </wp:inline>
              </w:drawing>
            </w:r>
            <w:r>
              <w:rPr>
                <w:rFonts w:hint="eastAsia" w:ascii="仿宋_GB2312" w:hAnsi="仿宋_GB2312" w:eastAsia="仿宋_GB2312" w:cs="仿宋_GB2312"/>
                <w:sz w:val="32"/>
                <w:szCs w:val="32"/>
              </w:rPr>
              <w:t>10.71%</w:t>
            </w:r>
          </w:p>
        </w:tc>
      </w:tr>
      <w:tr w14:paraId="6E971F7E">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2F62CFD8">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C. 不够重视且反馈不及时</w:t>
            </w:r>
          </w:p>
        </w:tc>
        <w:tc>
          <w:tcPr>
            <w:tcW w:w="1000" w:type="dxa"/>
            <w:shd w:val="clear" w:color="auto" w:fill="FFFFFF"/>
            <w:vAlign w:val="center"/>
          </w:tcPr>
          <w:p w14:paraId="751DC681">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0</w:t>
            </w:r>
          </w:p>
        </w:tc>
        <w:tc>
          <w:tcPr>
            <w:tcW w:w="3106" w:type="dxa"/>
            <w:shd w:val="clear" w:color="auto" w:fill="FFFFFF"/>
            <w:vAlign w:val="center"/>
          </w:tcPr>
          <w:p w14:paraId="7EEA0F5F">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1352550" cy="114300"/>
                  <wp:effectExtent l="0" t="0" r="0" b="0"/>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32"/>
                          <a:stretch>
                            <a:fillRect/>
                          </a:stretch>
                        </pic:blipFill>
                        <pic:spPr>
                          <a:xfrm>
                            <a:off x="0" y="0"/>
                            <a:ext cx="1352739" cy="114316"/>
                          </a:xfrm>
                          <a:prstGeom prst="rect">
                            <a:avLst/>
                          </a:prstGeom>
                        </pic:spPr>
                      </pic:pic>
                    </a:graphicData>
                  </a:graphic>
                </wp:inline>
              </w:drawing>
            </w:r>
            <w:r>
              <w:rPr>
                <w:rFonts w:hint="eastAsia" w:ascii="仿宋_GB2312" w:hAnsi="仿宋_GB2312" w:eastAsia="仿宋_GB2312" w:cs="仿宋_GB2312"/>
                <w:sz w:val="32"/>
                <w:szCs w:val="32"/>
              </w:rPr>
              <w:t>0%</w:t>
            </w:r>
          </w:p>
        </w:tc>
      </w:tr>
      <w:tr w14:paraId="750874AB">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6595A2DD">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本题有效填写人次</w:t>
            </w:r>
          </w:p>
        </w:tc>
        <w:tc>
          <w:tcPr>
            <w:tcW w:w="1000" w:type="dxa"/>
            <w:shd w:val="clear" w:color="auto" w:fill="F5F5F5"/>
            <w:vAlign w:val="center"/>
          </w:tcPr>
          <w:p w14:paraId="3D1C03F8">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56</w:t>
            </w:r>
          </w:p>
        </w:tc>
        <w:tc>
          <w:tcPr>
            <w:tcW w:w="3106" w:type="dxa"/>
            <w:shd w:val="clear" w:color="auto" w:fill="F5F5F5"/>
            <w:vAlign w:val="center"/>
          </w:tcPr>
          <w:p w14:paraId="1B36B341">
            <w:pPr>
              <w:jc w:val="left"/>
              <w:rPr>
                <w:rFonts w:hint="eastAsia" w:ascii="仿宋_GB2312" w:hAnsi="仿宋_GB2312" w:eastAsia="仿宋_GB2312" w:cs="仿宋_GB2312"/>
                <w:sz w:val="32"/>
                <w:szCs w:val="32"/>
              </w:rPr>
            </w:pPr>
          </w:p>
        </w:tc>
      </w:tr>
    </w:tbl>
    <w:p w14:paraId="7002B82C">
      <w:pPr>
        <w:rPr>
          <w:rFonts w:hint="eastAsia" w:ascii="仿宋_GB2312" w:hAnsi="仿宋_GB2312" w:eastAsia="仿宋_GB2312" w:cs="仿宋_GB2312"/>
          <w:sz w:val="32"/>
          <w:szCs w:val="32"/>
        </w:rPr>
      </w:pPr>
    </w:p>
    <w:p w14:paraId="32E9AD26">
      <w:pPr>
        <w:rPr>
          <w:rFonts w:hint="eastAsia" w:ascii="仿宋_GB2312" w:hAnsi="仿宋_GB2312" w:eastAsia="仿宋_GB2312" w:cs="仿宋_GB2312"/>
          <w:sz w:val="32"/>
          <w:szCs w:val="32"/>
        </w:rPr>
      </w:pPr>
      <w:r>
        <w:rPr>
          <w:rFonts w:hint="eastAsia" w:ascii="仿宋_GB2312" w:hAnsi="仿宋_GB2312" w:eastAsia="仿宋_GB2312" w:cs="仿宋_GB2312"/>
          <w:b w:val="0"/>
          <w:color w:val="000000"/>
          <w:sz w:val="32"/>
          <w:szCs w:val="32"/>
        </w:rPr>
        <w:t xml:space="preserve">7.您对项目前期设计调研沟通的满意度如何?   </w:t>
      </w:r>
      <w:r>
        <w:rPr>
          <w:rFonts w:hint="eastAsia" w:ascii="仿宋_GB2312" w:hAnsi="仿宋_GB2312" w:eastAsia="仿宋_GB2312" w:cs="仿宋_GB2312"/>
          <w:b w:val="0"/>
          <w:color w:val="0066FF"/>
          <w:sz w:val="32"/>
          <w:szCs w:val="32"/>
        </w:rPr>
        <w:t>[单选题]</w:t>
      </w:r>
    </w:p>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4582"/>
        <w:gridCol w:w="1091"/>
        <w:gridCol w:w="3388"/>
      </w:tblGrid>
      <w:tr w14:paraId="51075B18">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17E7391C">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选项</w:t>
            </w:r>
          </w:p>
        </w:tc>
        <w:tc>
          <w:tcPr>
            <w:tcW w:w="1000" w:type="dxa"/>
            <w:shd w:val="clear" w:color="auto" w:fill="F5F5F5"/>
            <w:vAlign w:val="center"/>
          </w:tcPr>
          <w:p w14:paraId="53A86511">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小计</w:t>
            </w:r>
          </w:p>
        </w:tc>
        <w:tc>
          <w:tcPr>
            <w:tcW w:w="3106" w:type="dxa"/>
            <w:shd w:val="clear" w:color="auto" w:fill="F5F5F5"/>
            <w:vAlign w:val="center"/>
          </w:tcPr>
          <w:p w14:paraId="331F025B">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比例</w:t>
            </w:r>
          </w:p>
        </w:tc>
      </w:tr>
      <w:tr w14:paraId="6B43A25C">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4587BE04">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A. 满意</w:t>
            </w:r>
          </w:p>
        </w:tc>
        <w:tc>
          <w:tcPr>
            <w:tcW w:w="1000" w:type="dxa"/>
            <w:shd w:val="clear" w:color="auto" w:fill="FFFFFF"/>
            <w:vAlign w:val="center"/>
          </w:tcPr>
          <w:p w14:paraId="568319F7">
            <w:pPr>
              <w:jc w:val="center"/>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54</w:t>
            </w:r>
          </w:p>
        </w:tc>
        <w:tc>
          <w:tcPr>
            <w:tcW w:w="3106" w:type="dxa"/>
            <w:shd w:val="clear" w:color="auto" w:fill="FFFFFF"/>
            <w:vAlign w:val="center"/>
          </w:tcPr>
          <w:p w14:paraId="06D2DE09">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1295400" cy="1143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37"/>
                          <a:stretch>
                            <a:fillRect/>
                          </a:stretch>
                        </pic:blipFill>
                        <pic:spPr>
                          <a:xfrm>
                            <a:off x="0" y="0"/>
                            <a:ext cx="1295581" cy="114316"/>
                          </a:xfrm>
                          <a:prstGeom prst="rect">
                            <a:avLst/>
                          </a:prstGeom>
                        </pic:spPr>
                      </pic:pic>
                    </a:graphicData>
                  </a:graphic>
                </wp:inline>
              </w:drawing>
            </w:r>
            <w:r>
              <w:rPr>
                <w:rFonts w:hint="eastAsia" w:ascii="仿宋_GB2312" w:hAnsi="仿宋_GB2312" w:eastAsia="仿宋_GB2312" w:cs="仿宋_GB2312"/>
                <w:sz w:val="32"/>
                <w:szCs w:val="32"/>
              </w:rPr>
              <w:drawing>
                <wp:inline distT="0" distB="0" distL="114300" distR="114300">
                  <wp:extent cx="57150" cy="114300"/>
                  <wp:effectExtent l="0" t="0" r="0" b="0"/>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38"/>
                          <a:stretch>
                            <a:fillRect/>
                          </a:stretch>
                        </pic:blipFill>
                        <pic:spPr>
                          <a:xfrm>
                            <a:off x="0" y="0"/>
                            <a:ext cx="57158" cy="114316"/>
                          </a:xfrm>
                          <a:prstGeom prst="rect">
                            <a:avLst/>
                          </a:prstGeom>
                        </pic:spPr>
                      </pic:pic>
                    </a:graphicData>
                  </a:graphic>
                </wp:inline>
              </w:drawing>
            </w:r>
            <w:r>
              <w:rPr>
                <w:rFonts w:hint="eastAsia" w:ascii="仿宋_GB2312" w:hAnsi="仿宋_GB2312" w:eastAsia="仿宋_GB2312" w:cs="仿宋_GB2312"/>
                <w:sz w:val="32"/>
                <w:szCs w:val="32"/>
              </w:rPr>
              <w:t>96.43%</w:t>
            </w:r>
          </w:p>
        </w:tc>
      </w:tr>
      <w:tr w14:paraId="3A4BDE96">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AFAFA"/>
            <w:vAlign w:val="center"/>
          </w:tcPr>
          <w:p w14:paraId="016682DC">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B.一般</w:t>
            </w:r>
          </w:p>
        </w:tc>
        <w:tc>
          <w:tcPr>
            <w:tcW w:w="1000" w:type="dxa"/>
            <w:shd w:val="clear" w:color="auto" w:fill="FAFAFA"/>
            <w:vAlign w:val="center"/>
          </w:tcPr>
          <w:p w14:paraId="7AE84FC6">
            <w:pPr>
              <w:jc w:val="center"/>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2</w:t>
            </w:r>
          </w:p>
        </w:tc>
        <w:tc>
          <w:tcPr>
            <w:tcW w:w="3106" w:type="dxa"/>
            <w:shd w:val="clear" w:color="auto" w:fill="FAFAFA"/>
            <w:vAlign w:val="center"/>
          </w:tcPr>
          <w:p w14:paraId="391DFC3F">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47625" cy="114300"/>
                  <wp:effectExtent l="0" t="0" r="9525"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28"/>
                          <a:stretch>
                            <a:fillRect/>
                          </a:stretch>
                        </pic:blipFill>
                        <pic:spPr>
                          <a:xfrm>
                            <a:off x="0" y="0"/>
                            <a:ext cx="47632" cy="114316"/>
                          </a:xfrm>
                          <a:prstGeom prst="rect">
                            <a:avLst/>
                          </a:prstGeom>
                        </pic:spPr>
                      </pic:pic>
                    </a:graphicData>
                  </a:graphic>
                </wp:inline>
              </w:drawing>
            </w:r>
            <w:r>
              <w:rPr>
                <w:rFonts w:hint="eastAsia" w:ascii="仿宋_GB2312" w:hAnsi="仿宋_GB2312" w:eastAsia="仿宋_GB2312" w:cs="仿宋_GB2312"/>
                <w:sz w:val="32"/>
                <w:szCs w:val="32"/>
              </w:rPr>
              <w:drawing>
                <wp:inline distT="0" distB="0" distL="114300" distR="114300">
                  <wp:extent cx="1304925" cy="114300"/>
                  <wp:effectExtent l="0" t="0" r="9525" b="0"/>
                  <wp:docPr id="100038" name="图片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pic:cNvPicPr>
                            <a:picLocks noChangeAspect="1"/>
                          </pic:cNvPicPr>
                        </pic:nvPicPr>
                        <pic:blipFill>
                          <a:blip r:embed="rId29"/>
                          <a:stretch>
                            <a:fillRect/>
                          </a:stretch>
                        </pic:blipFill>
                        <pic:spPr>
                          <a:xfrm>
                            <a:off x="0" y="0"/>
                            <a:ext cx="1305107" cy="114316"/>
                          </a:xfrm>
                          <a:prstGeom prst="rect">
                            <a:avLst/>
                          </a:prstGeom>
                        </pic:spPr>
                      </pic:pic>
                    </a:graphicData>
                  </a:graphic>
                </wp:inline>
              </w:drawing>
            </w:r>
            <w:r>
              <w:rPr>
                <w:rFonts w:hint="eastAsia" w:ascii="仿宋_GB2312" w:hAnsi="仿宋_GB2312" w:eastAsia="仿宋_GB2312" w:cs="仿宋_GB2312"/>
                <w:sz w:val="32"/>
                <w:szCs w:val="32"/>
              </w:rPr>
              <w:t>3.57%</w:t>
            </w:r>
          </w:p>
        </w:tc>
      </w:tr>
      <w:tr w14:paraId="1FB73C80">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FFFFF"/>
            <w:vAlign w:val="center"/>
          </w:tcPr>
          <w:p w14:paraId="4E579D9C">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C. 不满意</w:t>
            </w:r>
          </w:p>
        </w:tc>
        <w:tc>
          <w:tcPr>
            <w:tcW w:w="1000" w:type="dxa"/>
            <w:shd w:val="clear" w:color="auto" w:fill="FFFFFF"/>
            <w:vAlign w:val="center"/>
          </w:tcPr>
          <w:p w14:paraId="601CF427">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0</w:t>
            </w:r>
          </w:p>
        </w:tc>
        <w:tc>
          <w:tcPr>
            <w:tcW w:w="3106" w:type="dxa"/>
            <w:shd w:val="clear" w:color="auto" w:fill="FFFFFF"/>
            <w:vAlign w:val="center"/>
          </w:tcPr>
          <w:p w14:paraId="4EDA2CA4">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1352550" cy="1143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32"/>
                          <a:stretch>
                            <a:fillRect/>
                          </a:stretch>
                        </pic:blipFill>
                        <pic:spPr>
                          <a:xfrm>
                            <a:off x="0" y="0"/>
                            <a:ext cx="1352739" cy="114316"/>
                          </a:xfrm>
                          <a:prstGeom prst="rect">
                            <a:avLst/>
                          </a:prstGeom>
                        </pic:spPr>
                      </pic:pic>
                    </a:graphicData>
                  </a:graphic>
                </wp:inline>
              </w:drawing>
            </w:r>
            <w:r>
              <w:rPr>
                <w:rFonts w:hint="eastAsia" w:ascii="仿宋_GB2312" w:hAnsi="仿宋_GB2312" w:eastAsia="仿宋_GB2312" w:cs="仿宋_GB2312"/>
                <w:sz w:val="32"/>
                <w:szCs w:val="32"/>
              </w:rPr>
              <w:t>0%</w:t>
            </w:r>
          </w:p>
        </w:tc>
      </w:tr>
      <w:tr w14:paraId="7EF26C1C">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tcW w:w="4200" w:type="dxa"/>
            <w:shd w:val="clear" w:color="auto" w:fill="F5F5F5"/>
            <w:vAlign w:val="center"/>
          </w:tcPr>
          <w:p w14:paraId="48445A5F">
            <w:pPr>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本题有效填写人次</w:t>
            </w:r>
          </w:p>
        </w:tc>
        <w:tc>
          <w:tcPr>
            <w:tcW w:w="1000" w:type="dxa"/>
            <w:shd w:val="clear" w:color="auto" w:fill="F5F5F5"/>
            <w:vAlign w:val="center"/>
          </w:tcPr>
          <w:p w14:paraId="490F2073">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56</w:t>
            </w:r>
          </w:p>
        </w:tc>
        <w:tc>
          <w:tcPr>
            <w:tcW w:w="3106" w:type="dxa"/>
            <w:shd w:val="clear" w:color="auto" w:fill="F5F5F5"/>
            <w:vAlign w:val="center"/>
          </w:tcPr>
          <w:p w14:paraId="7C251DB4">
            <w:pPr>
              <w:jc w:val="left"/>
              <w:rPr>
                <w:rFonts w:hint="eastAsia" w:ascii="仿宋_GB2312" w:hAnsi="仿宋_GB2312" w:eastAsia="仿宋_GB2312" w:cs="仿宋_GB2312"/>
                <w:sz w:val="32"/>
                <w:szCs w:val="32"/>
              </w:rPr>
            </w:pPr>
          </w:p>
        </w:tc>
      </w:tr>
    </w:tbl>
    <w:p w14:paraId="08BDE967"/>
    <w:p w14:paraId="5BCCA50A">
      <w:pPr>
        <w:keepNext w:val="0"/>
        <w:keepLines w:val="0"/>
        <w:pageBreakBefore w:val="0"/>
        <w:widowControl w:val="0"/>
        <w:kinsoku/>
        <w:wordWrap/>
        <w:overflowPunct/>
        <w:topLinePunct w:val="0"/>
        <w:autoSpaceDE/>
        <w:autoSpaceDN/>
        <w:bidi w:val="0"/>
        <w:adjustRightInd/>
        <w:snapToGrid/>
        <w:textAlignment w:val="auto"/>
        <w:outlineLvl w:val="1"/>
        <w:rPr>
          <w:rFonts w:hint="eastAsia" w:ascii="仿宋_GB2312" w:hAnsi="仿宋_GB2312" w:eastAsia="仿宋_GB2312" w:cs="仿宋_GB2312"/>
          <w:b/>
          <w:bCs/>
          <w:color w:val="auto"/>
          <w:kern w:val="2"/>
          <w:sz w:val="32"/>
          <w:szCs w:val="32"/>
          <w:lang w:val="en-US" w:eastAsia="zh-CN" w:bidi="ar-SA"/>
        </w:rPr>
        <w:sectPr>
          <w:headerReference r:id="rId17" w:type="default"/>
          <w:headerReference r:id="rId18" w:type="even"/>
          <w:pgSz w:w="11906" w:h="16838"/>
          <w:pgMar w:top="1417" w:right="1474" w:bottom="1417" w:left="1587"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066CE962">
      <w:pPr>
        <w:keepNext w:val="0"/>
        <w:keepLines w:val="0"/>
        <w:pageBreakBefore w:val="0"/>
        <w:widowControl w:val="0"/>
        <w:kinsoku/>
        <w:wordWrap/>
        <w:overflowPunct/>
        <w:topLinePunct w:val="0"/>
        <w:autoSpaceDE/>
        <w:autoSpaceDN/>
        <w:bidi w:val="0"/>
        <w:adjustRightInd/>
        <w:snapToGrid/>
        <w:textAlignment w:val="auto"/>
        <w:outlineLvl w:val="1"/>
        <w:rPr>
          <w:rFonts w:hint="default"/>
          <w:lang w:val="en-US" w:eastAsia="zh-CN"/>
        </w:rPr>
      </w:pPr>
      <w:bookmarkStart w:id="218" w:name="_Toc29764"/>
      <w:r>
        <w:rPr>
          <w:rFonts w:hint="eastAsia" w:ascii="仿宋_GB2312" w:hAnsi="仿宋_GB2312" w:eastAsia="仿宋_GB2312" w:cs="仿宋_GB2312"/>
          <w:b/>
          <w:bCs/>
          <w:color w:val="auto"/>
          <w:kern w:val="2"/>
          <w:sz w:val="32"/>
          <w:szCs w:val="32"/>
          <w:lang w:val="en-US" w:eastAsia="zh-CN" w:bidi="ar-SA"/>
        </w:rPr>
        <w:t>附件3 编制单位签章</w:t>
      </w:r>
      <w:bookmarkEnd w:id="218"/>
    </w:p>
    <w:p w14:paraId="7EA04B14">
      <w:pPr>
        <w:rPr>
          <w:rFonts w:hint="default"/>
          <w:lang w:val="en-US" w:eastAsia="zh-CN"/>
        </w:rPr>
      </w:pPr>
    </w:p>
    <w:tbl>
      <w:tblPr>
        <w:tblStyle w:val="1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73"/>
        <w:gridCol w:w="7449"/>
      </w:tblGrid>
      <w:tr w14:paraId="60783F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61" w:hRule="atLeast"/>
          <w:jc w:val="center"/>
        </w:trPr>
        <w:tc>
          <w:tcPr>
            <w:tcW w:w="1073" w:type="dxa"/>
            <w:vAlign w:val="center"/>
          </w:tcPr>
          <w:p w14:paraId="68B51607">
            <w:pPr>
              <w:widowControl w:val="0"/>
              <w:jc w:val="distribute"/>
              <w:rPr>
                <w:rFonts w:hint="eastAsia" w:ascii="黑体" w:hAnsi="黑体" w:eastAsia="黑体" w:cs="华文中宋"/>
                <w:color w:val="auto"/>
                <w:sz w:val="28"/>
                <w:szCs w:val="28"/>
              </w:rPr>
            </w:pPr>
            <w:r>
              <w:rPr>
                <w:rFonts w:hint="eastAsia" w:ascii="黑体" w:hAnsi="黑体" w:eastAsia="黑体" w:cs="华文中宋"/>
                <w:color w:val="auto"/>
                <w:sz w:val="28"/>
                <w:szCs w:val="28"/>
              </w:rPr>
              <w:t>项目</w:t>
            </w:r>
          </w:p>
          <w:p w14:paraId="2FBEEF63">
            <w:pPr>
              <w:widowControl w:val="0"/>
              <w:jc w:val="distribute"/>
              <w:rPr>
                <w:rFonts w:ascii="黑体" w:hAnsi="黑体" w:eastAsia="黑体" w:cs="华文中宋"/>
                <w:color w:val="auto"/>
                <w:sz w:val="28"/>
                <w:szCs w:val="28"/>
              </w:rPr>
            </w:pPr>
            <w:r>
              <w:rPr>
                <w:rFonts w:hint="eastAsia" w:ascii="黑体" w:hAnsi="黑体" w:eastAsia="黑体" w:cs="华文中宋"/>
                <w:color w:val="auto"/>
                <w:sz w:val="28"/>
                <w:szCs w:val="28"/>
              </w:rPr>
              <w:t>名称</w:t>
            </w:r>
          </w:p>
        </w:tc>
        <w:tc>
          <w:tcPr>
            <w:tcW w:w="7449" w:type="dxa"/>
            <w:vAlign w:val="center"/>
          </w:tcPr>
          <w:p w14:paraId="5F817620">
            <w:pPr>
              <w:widowControl w:val="0"/>
              <w:jc w:val="center"/>
              <w:rPr>
                <w:rFonts w:hint="default" w:ascii="仿宋" w:hAnsi="仿宋" w:eastAsia="仿宋" w:cs="华文中宋"/>
                <w:color w:val="auto"/>
                <w:sz w:val="30"/>
                <w:szCs w:val="30"/>
                <w:lang w:val="en-US" w:eastAsia="zh-CN"/>
              </w:rPr>
            </w:pPr>
            <w:r>
              <w:rPr>
                <w:rFonts w:hint="eastAsia" w:ascii="仿宋" w:hAnsi="仿宋" w:eastAsia="仿宋" w:cs="华文中宋"/>
                <w:color w:val="auto"/>
                <w:sz w:val="30"/>
                <w:szCs w:val="30"/>
                <w:lang w:eastAsia="zh-CN"/>
              </w:rPr>
              <w:t>石狮市高标准农田建设（一期）“五化”示范项目</w:t>
            </w:r>
            <w:r>
              <w:rPr>
                <w:rFonts w:hint="eastAsia" w:ascii="仿宋" w:hAnsi="仿宋" w:eastAsia="仿宋" w:cs="华文中宋"/>
                <w:color w:val="auto"/>
                <w:sz w:val="30"/>
                <w:szCs w:val="30"/>
                <w:lang w:val="en-US" w:eastAsia="zh-CN"/>
              </w:rPr>
              <w:t>事中绩效评价报告</w:t>
            </w:r>
          </w:p>
        </w:tc>
      </w:tr>
      <w:tr w14:paraId="5900F3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4" w:hRule="atLeast"/>
          <w:jc w:val="center"/>
        </w:trPr>
        <w:tc>
          <w:tcPr>
            <w:tcW w:w="1073" w:type="dxa"/>
            <w:vAlign w:val="center"/>
          </w:tcPr>
          <w:p w14:paraId="72844DA5">
            <w:pPr>
              <w:widowControl w:val="0"/>
              <w:spacing w:line="300" w:lineRule="exact"/>
              <w:jc w:val="distribute"/>
              <w:rPr>
                <w:rFonts w:hint="eastAsia" w:ascii="黑体" w:hAnsi="黑体" w:eastAsia="黑体" w:cs="华文中宋"/>
                <w:color w:val="auto"/>
                <w:sz w:val="28"/>
                <w:szCs w:val="28"/>
              </w:rPr>
            </w:pPr>
            <w:r>
              <w:rPr>
                <w:rFonts w:hint="eastAsia" w:ascii="黑体" w:hAnsi="黑体" w:eastAsia="黑体" w:cs="华文中宋"/>
                <w:color w:val="auto"/>
                <w:sz w:val="28"/>
                <w:szCs w:val="28"/>
              </w:rPr>
              <w:t>编制</w:t>
            </w:r>
          </w:p>
          <w:p w14:paraId="541C4609">
            <w:pPr>
              <w:widowControl w:val="0"/>
              <w:spacing w:line="300" w:lineRule="exact"/>
              <w:jc w:val="distribute"/>
              <w:rPr>
                <w:rFonts w:hint="eastAsia" w:ascii="黑体" w:hAnsi="黑体" w:eastAsia="黑体" w:cs="华文中宋"/>
                <w:color w:val="auto"/>
                <w:sz w:val="28"/>
                <w:szCs w:val="28"/>
              </w:rPr>
            </w:pPr>
            <w:r>
              <w:rPr>
                <w:rFonts w:hint="eastAsia" w:ascii="黑体" w:hAnsi="黑体" w:eastAsia="黑体" w:cs="华文中宋"/>
                <w:color w:val="auto"/>
                <w:sz w:val="28"/>
                <w:szCs w:val="28"/>
              </w:rPr>
              <w:t>单位</w:t>
            </w:r>
          </w:p>
          <w:p w14:paraId="37F6D77C">
            <w:pPr>
              <w:widowControl w:val="0"/>
              <w:jc w:val="distribute"/>
              <w:rPr>
                <w:rFonts w:ascii="黑体" w:hAnsi="黑体" w:eastAsia="黑体" w:cs="华文中宋"/>
                <w:color w:val="auto"/>
                <w:szCs w:val="21"/>
              </w:rPr>
            </w:pPr>
            <w:r>
              <w:rPr>
                <w:rFonts w:hint="eastAsia" w:ascii="黑体" w:hAnsi="黑体" w:eastAsia="黑体" w:cs="华文中宋"/>
                <w:color w:val="auto"/>
                <w:szCs w:val="21"/>
              </w:rPr>
              <w:t>（盖章）</w:t>
            </w:r>
          </w:p>
        </w:tc>
        <w:tc>
          <w:tcPr>
            <w:tcW w:w="7449" w:type="dxa"/>
            <w:tcBorders>
              <w:bottom w:val="single" w:color="auto" w:sz="4" w:space="0"/>
            </w:tcBorders>
            <w:vAlign w:val="center"/>
          </w:tcPr>
          <w:p w14:paraId="7A18457D">
            <w:pPr>
              <w:widowControl w:val="0"/>
              <w:jc w:val="center"/>
              <w:rPr>
                <w:rFonts w:ascii="仿宋_GB2312" w:hAnsi="华文中宋" w:eastAsia="仿宋_GB2312" w:cs="华文中宋"/>
                <w:color w:val="auto"/>
                <w:sz w:val="32"/>
                <w:szCs w:val="32"/>
              </w:rPr>
            </w:pPr>
          </w:p>
        </w:tc>
      </w:tr>
      <w:tr w14:paraId="3009AF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6" w:hRule="atLeast"/>
          <w:jc w:val="center"/>
        </w:trPr>
        <w:tc>
          <w:tcPr>
            <w:tcW w:w="1073" w:type="dxa"/>
            <w:vAlign w:val="center"/>
          </w:tcPr>
          <w:p w14:paraId="5E9212CB">
            <w:pPr>
              <w:widowControl w:val="0"/>
              <w:jc w:val="distribute"/>
              <w:rPr>
                <w:rFonts w:hint="eastAsia" w:ascii="黑体" w:hAnsi="黑体" w:eastAsia="黑体" w:cs="华文中宋"/>
                <w:color w:val="auto"/>
                <w:sz w:val="28"/>
                <w:szCs w:val="28"/>
              </w:rPr>
            </w:pPr>
            <w:r>
              <w:rPr>
                <w:rFonts w:hint="eastAsia" w:ascii="黑体" w:hAnsi="黑体" w:eastAsia="黑体" w:cs="华文中宋"/>
                <w:color w:val="auto"/>
                <w:sz w:val="28"/>
                <w:szCs w:val="28"/>
                <w:lang w:val="en-US" w:eastAsia="zh-CN"/>
              </w:rPr>
              <w:t>主评人</w:t>
            </w:r>
          </w:p>
          <w:p w14:paraId="523D236F">
            <w:pPr>
              <w:widowControl w:val="0"/>
              <w:jc w:val="distribute"/>
              <w:rPr>
                <w:rFonts w:ascii="黑体" w:hAnsi="黑体" w:eastAsia="黑体" w:cs="华文中宋"/>
                <w:color w:val="auto"/>
                <w:szCs w:val="21"/>
              </w:rPr>
            </w:pPr>
            <w:r>
              <w:rPr>
                <w:rFonts w:hint="eastAsia" w:ascii="黑体" w:hAnsi="黑体" w:eastAsia="黑体" w:cs="华文中宋"/>
                <w:color w:val="auto"/>
                <w:szCs w:val="21"/>
              </w:rPr>
              <w:t>（签章）</w:t>
            </w:r>
          </w:p>
        </w:tc>
        <w:tc>
          <w:tcPr>
            <w:tcW w:w="7449" w:type="dxa"/>
            <w:tcBorders>
              <w:top w:val="single" w:color="auto" w:sz="4" w:space="0"/>
              <w:bottom w:val="single" w:color="auto" w:sz="4" w:space="0"/>
            </w:tcBorders>
            <w:vAlign w:val="center"/>
          </w:tcPr>
          <w:p w14:paraId="02EE6F74">
            <w:pPr>
              <w:widowControl w:val="0"/>
              <w:jc w:val="center"/>
              <w:rPr>
                <w:rFonts w:ascii="仿宋_GB2312" w:hAnsi="华文中宋" w:eastAsia="仿宋_GB2312" w:cs="华文中宋"/>
                <w:color w:val="auto"/>
                <w:sz w:val="32"/>
                <w:szCs w:val="32"/>
              </w:rPr>
            </w:pPr>
          </w:p>
        </w:tc>
      </w:tr>
      <w:tr w14:paraId="36E58F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52" w:hRule="atLeast"/>
          <w:jc w:val="center"/>
        </w:trPr>
        <w:tc>
          <w:tcPr>
            <w:tcW w:w="1073" w:type="dxa"/>
            <w:vAlign w:val="center"/>
          </w:tcPr>
          <w:p w14:paraId="75049262">
            <w:pPr>
              <w:widowControl w:val="0"/>
              <w:spacing w:line="300" w:lineRule="exact"/>
              <w:jc w:val="distribute"/>
              <w:rPr>
                <w:rFonts w:hint="eastAsia" w:ascii="黑体" w:hAnsi="黑体" w:eastAsia="黑体" w:cs="华文中宋"/>
                <w:color w:val="auto"/>
                <w:sz w:val="28"/>
                <w:szCs w:val="28"/>
              </w:rPr>
            </w:pPr>
            <w:r>
              <w:rPr>
                <w:rFonts w:hint="eastAsia" w:ascii="黑体" w:hAnsi="黑体" w:eastAsia="黑体" w:cs="华文中宋"/>
                <w:color w:val="auto"/>
                <w:sz w:val="28"/>
                <w:szCs w:val="28"/>
              </w:rPr>
              <w:t>编制</w:t>
            </w:r>
          </w:p>
          <w:p w14:paraId="16326B45">
            <w:pPr>
              <w:widowControl w:val="0"/>
              <w:jc w:val="distribute"/>
              <w:rPr>
                <w:rFonts w:hint="eastAsia" w:ascii="黑体" w:hAnsi="黑体" w:eastAsia="黑体" w:cs="华文中宋"/>
                <w:color w:val="auto"/>
                <w:szCs w:val="21"/>
              </w:rPr>
            </w:pPr>
            <w:r>
              <w:rPr>
                <w:rFonts w:hint="eastAsia" w:ascii="黑体" w:hAnsi="黑体" w:eastAsia="黑体" w:cs="华文中宋"/>
                <w:color w:val="auto"/>
                <w:sz w:val="28"/>
                <w:szCs w:val="28"/>
                <w:lang w:val="en-US" w:eastAsia="zh-CN"/>
              </w:rPr>
              <w:t>人员</w:t>
            </w:r>
            <w:r>
              <w:rPr>
                <w:rFonts w:hint="eastAsia" w:ascii="黑体" w:hAnsi="黑体" w:eastAsia="黑体" w:cs="华文中宋"/>
                <w:color w:val="auto"/>
                <w:szCs w:val="21"/>
              </w:rPr>
              <w:t>（签章）</w:t>
            </w:r>
          </w:p>
        </w:tc>
        <w:tc>
          <w:tcPr>
            <w:tcW w:w="7449" w:type="dxa"/>
            <w:tcBorders>
              <w:top w:val="single" w:color="auto" w:sz="4" w:space="0"/>
              <w:bottom w:val="single" w:color="auto" w:sz="4" w:space="0"/>
            </w:tcBorders>
            <w:vAlign w:val="center"/>
          </w:tcPr>
          <w:p w14:paraId="5C073717">
            <w:pPr>
              <w:widowControl w:val="0"/>
              <w:jc w:val="center"/>
              <w:rPr>
                <w:rFonts w:ascii="仿宋_GB2312" w:hAnsi="华文中宋" w:eastAsia="仿宋_GB2312" w:cs="华文中宋"/>
                <w:color w:val="auto"/>
                <w:sz w:val="32"/>
                <w:szCs w:val="32"/>
              </w:rPr>
            </w:pPr>
          </w:p>
        </w:tc>
      </w:tr>
      <w:tr w14:paraId="5499DD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4" w:hRule="atLeast"/>
          <w:jc w:val="center"/>
        </w:trPr>
        <w:tc>
          <w:tcPr>
            <w:tcW w:w="1073" w:type="dxa"/>
            <w:vAlign w:val="center"/>
          </w:tcPr>
          <w:p w14:paraId="79B25BCB">
            <w:pPr>
              <w:widowControl w:val="0"/>
              <w:jc w:val="distribute"/>
              <w:rPr>
                <w:rFonts w:ascii="黑体" w:hAnsi="黑体" w:eastAsia="黑体" w:cs="华文中宋"/>
                <w:color w:val="auto"/>
                <w:sz w:val="28"/>
                <w:szCs w:val="28"/>
              </w:rPr>
            </w:pPr>
            <w:r>
              <w:rPr>
                <w:rFonts w:hint="eastAsia" w:ascii="黑体" w:hAnsi="黑体" w:eastAsia="黑体" w:cs="华文中宋"/>
                <w:color w:val="auto"/>
                <w:sz w:val="28"/>
                <w:szCs w:val="28"/>
              </w:rPr>
              <w:t>校对人</w:t>
            </w:r>
            <w:r>
              <w:rPr>
                <w:rFonts w:hint="eastAsia" w:ascii="黑体" w:hAnsi="黑体" w:eastAsia="黑体" w:cs="华文中宋"/>
                <w:color w:val="auto"/>
                <w:szCs w:val="21"/>
              </w:rPr>
              <w:t>（签章）</w:t>
            </w:r>
          </w:p>
        </w:tc>
        <w:tc>
          <w:tcPr>
            <w:tcW w:w="7449" w:type="dxa"/>
            <w:tcBorders>
              <w:top w:val="single" w:color="auto" w:sz="4" w:space="0"/>
              <w:bottom w:val="single" w:color="auto" w:sz="4" w:space="0"/>
            </w:tcBorders>
            <w:vAlign w:val="center"/>
          </w:tcPr>
          <w:p w14:paraId="6DF37832">
            <w:pPr>
              <w:widowControl w:val="0"/>
              <w:jc w:val="center"/>
              <w:rPr>
                <w:rFonts w:ascii="仿宋_GB2312" w:hAnsi="华文中宋" w:eastAsia="仿宋_GB2312" w:cs="华文中宋"/>
                <w:color w:val="auto"/>
                <w:sz w:val="32"/>
                <w:szCs w:val="32"/>
              </w:rPr>
            </w:pPr>
          </w:p>
        </w:tc>
      </w:tr>
      <w:tr w14:paraId="4FC4DD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4" w:hRule="atLeast"/>
          <w:jc w:val="center"/>
        </w:trPr>
        <w:tc>
          <w:tcPr>
            <w:tcW w:w="1073" w:type="dxa"/>
            <w:vAlign w:val="center"/>
          </w:tcPr>
          <w:p w14:paraId="456B7598">
            <w:pPr>
              <w:widowControl w:val="0"/>
              <w:jc w:val="distribute"/>
              <w:rPr>
                <w:rFonts w:ascii="黑体" w:hAnsi="黑体" w:eastAsia="黑体" w:cs="华文中宋"/>
                <w:color w:val="auto"/>
                <w:sz w:val="28"/>
                <w:szCs w:val="28"/>
              </w:rPr>
            </w:pPr>
            <w:r>
              <w:rPr>
                <w:rFonts w:hint="eastAsia" w:ascii="黑体" w:hAnsi="黑体" w:eastAsia="黑体" w:cs="华文中宋"/>
                <w:color w:val="auto"/>
                <w:sz w:val="28"/>
                <w:szCs w:val="28"/>
                <w:lang w:val="en-US" w:eastAsia="zh-CN"/>
              </w:rPr>
              <w:t>复核人</w:t>
            </w:r>
            <w:r>
              <w:rPr>
                <w:rFonts w:hint="eastAsia" w:ascii="黑体" w:hAnsi="黑体" w:eastAsia="黑体" w:cs="华文中宋"/>
                <w:color w:val="auto"/>
                <w:szCs w:val="21"/>
              </w:rPr>
              <w:t>（签章）</w:t>
            </w:r>
          </w:p>
        </w:tc>
        <w:tc>
          <w:tcPr>
            <w:tcW w:w="7449" w:type="dxa"/>
            <w:tcBorders>
              <w:top w:val="single" w:color="auto" w:sz="4" w:space="0"/>
              <w:bottom w:val="single" w:color="auto" w:sz="4" w:space="0"/>
            </w:tcBorders>
            <w:vAlign w:val="center"/>
          </w:tcPr>
          <w:p w14:paraId="47401A7A">
            <w:pPr>
              <w:widowControl w:val="0"/>
              <w:jc w:val="center"/>
              <w:rPr>
                <w:rFonts w:ascii="仿宋_GB2312" w:hAnsi="华文中宋" w:eastAsia="仿宋_GB2312" w:cs="华文中宋"/>
                <w:color w:val="auto"/>
                <w:sz w:val="32"/>
                <w:szCs w:val="32"/>
              </w:rPr>
            </w:pPr>
          </w:p>
        </w:tc>
      </w:tr>
      <w:tr w14:paraId="30E638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jc w:val="center"/>
        </w:trPr>
        <w:tc>
          <w:tcPr>
            <w:tcW w:w="1073" w:type="dxa"/>
            <w:vAlign w:val="center"/>
          </w:tcPr>
          <w:p w14:paraId="49235D32">
            <w:pPr>
              <w:widowControl w:val="0"/>
              <w:jc w:val="center"/>
              <w:rPr>
                <w:rFonts w:ascii="黑体" w:hAnsi="黑体" w:eastAsia="黑体" w:cs="华文中宋"/>
                <w:color w:val="auto"/>
                <w:sz w:val="32"/>
                <w:szCs w:val="32"/>
              </w:rPr>
            </w:pPr>
            <w:r>
              <w:rPr>
                <w:rFonts w:hint="eastAsia" w:ascii="黑体" w:hAnsi="黑体" w:eastAsia="黑体" w:cs="华文中宋"/>
                <w:color w:val="auto"/>
                <w:sz w:val="32"/>
                <w:szCs w:val="32"/>
              </w:rPr>
              <w:t>时间</w:t>
            </w:r>
          </w:p>
        </w:tc>
        <w:tc>
          <w:tcPr>
            <w:tcW w:w="7449" w:type="dxa"/>
            <w:tcBorders>
              <w:top w:val="single" w:color="auto" w:sz="4" w:space="0"/>
            </w:tcBorders>
            <w:vAlign w:val="center"/>
          </w:tcPr>
          <w:p w14:paraId="7C290491">
            <w:pPr>
              <w:widowControl w:val="0"/>
              <w:jc w:val="center"/>
              <w:rPr>
                <w:rFonts w:ascii="仿宋" w:hAnsi="仿宋" w:eastAsia="仿宋" w:cs="华文中宋"/>
                <w:color w:val="auto"/>
                <w:sz w:val="32"/>
                <w:szCs w:val="32"/>
              </w:rPr>
            </w:pPr>
            <w:r>
              <w:rPr>
                <w:rFonts w:hint="eastAsia" w:ascii="仿宋" w:hAnsi="仿宋" w:eastAsia="仿宋" w:cs="华文中宋"/>
                <w:color w:val="auto"/>
                <w:sz w:val="32"/>
                <w:szCs w:val="32"/>
              </w:rPr>
              <w:t>202</w:t>
            </w:r>
            <w:r>
              <w:rPr>
                <w:rFonts w:hint="eastAsia" w:ascii="仿宋" w:hAnsi="仿宋" w:eastAsia="仿宋" w:cs="华文中宋"/>
                <w:color w:val="auto"/>
                <w:sz w:val="32"/>
                <w:szCs w:val="32"/>
                <w:lang w:val="en-US" w:eastAsia="zh-CN"/>
              </w:rPr>
              <w:t>5</w:t>
            </w:r>
            <w:r>
              <w:rPr>
                <w:rFonts w:hint="eastAsia" w:ascii="仿宋" w:hAnsi="仿宋" w:eastAsia="仿宋" w:cs="华文中宋"/>
                <w:color w:val="auto"/>
                <w:sz w:val="32"/>
                <w:szCs w:val="32"/>
              </w:rPr>
              <w:t>年</w:t>
            </w:r>
            <w:r>
              <w:rPr>
                <w:rFonts w:hint="eastAsia" w:ascii="仿宋" w:hAnsi="仿宋" w:eastAsia="仿宋" w:cs="华文中宋"/>
                <w:color w:val="auto"/>
                <w:sz w:val="32"/>
                <w:szCs w:val="32"/>
                <w:lang w:val="en-US" w:eastAsia="zh-CN"/>
              </w:rPr>
              <w:t>8</w:t>
            </w:r>
            <w:r>
              <w:rPr>
                <w:rFonts w:hint="eastAsia" w:ascii="仿宋" w:hAnsi="仿宋" w:eastAsia="仿宋" w:cs="华文中宋"/>
                <w:color w:val="auto"/>
                <w:sz w:val="32"/>
                <w:szCs w:val="32"/>
              </w:rPr>
              <w:t>月</w:t>
            </w:r>
          </w:p>
        </w:tc>
      </w:tr>
    </w:tbl>
    <w:p w14:paraId="794EC3EF">
      <w:pPr>
        <w:rPr>
          <w:rFonts w:hint="default"/>
          <w:lang w:val="en-US" w:eastAsia="zh-CN"/>
        </w:rPr>
      </w:pPr>
    </w:p>
    <w:p w14:paraId="3D693E37">
      <w:pPr>
        <w:rPr>
          <w:rFonts w:hint="default"/>
          <w:lang w:val="en-US" w:eastAsia="zh-CN"/>
        </w:rPr>
        <w:sectPr>
          <w:pgSz w:w="11906" w:h="16838"/>
          <w:pgMar w:top="1417" w:right="1474" w:bottom="1417" w:left="1587"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0FDE50A7">
      <w:pPr>
        <w:keepNext w:val="0"/>
        <w:keepLines w:val="0"/>
        <w:pageBreakBefore w:val="0"/>
        <w:widowControl w:val="0"/>
        <w:kinsoku/>
        <w:wordWrap/>
        <w:overflowPunct/>
        <w:topLinePunct w:val="0"/>
        <w:autoSpaceDE/>
        <w:autoSpaceDN/>
        <w:bidi w:val="0"/>
        <w:adjustRightInd/>
        <w:snapToGrid/>
        <w:textAlignment w:val="auto"/>
        <w:outlineLvl w:val="1"/>
        <w:rPr>
          <w:rFonts w:hint="default" w:ascii="仿宋_GB2312" w:hAnsi="仿宋_GB2312" w:eastAsia="仿宋_GB2312" w:cs="仿宋_GB2312"/>
          <w:b/>
          <w:bCs/>
          <w:color w:val="auto"/>
          <w:kern w:val="2"/>
          <w:sz w:val="32"/>
          <w:szCs w:val="32"/>
          <w:lang w:val="en-US" w:eastAsia="zh-CN" w:bidi="ar-SA"/>
        </w:rPr>
      </w:pPr>
      <w:bookmarkStart w:id="219" w:name="_Toc27335"/>
      <w:r>
        <w:rPr>
          <w:rFonts w:hint="eastAsia" w:ascii="仿宋_GB2312" w:hAnsi="仿宋_GB2312" w:eastAsia="仿宋_GB2312" w:cs="仿宋_GB2312"/>
          <w:b/>
          <w:bCs/>
          <w:color w:val="auto"/>
          <w:kern w:val="2"/>
          <w:sz w:val="32"/>
          <w:szCs w:val="32"/>
          <w:lang w:val="en-US" w:eastAsia="zh-CN" w:bidi="ar-SA"/>
        </w:rPr>
        <w:t>附件4 编制单位营业执照</w:t>
      </w:r>
      <w:bookmarkEnd w:id="219"/>
    </w:p>
    <w:p w14:paraId="0D6DD817">
      <w:pPr>
        <w:rPr>
          <w:rFonts w:hint="default"/>
          <w:lang w:val="en-US" w:eastAsia="zh-CN"/>
        </w:rPr>
      </w:pPr>
      <w:r>
        <w:rPr>
          <w:rFonts w:hint="eastAsia" w:eastAsia="黑体"/>
          <w:lang w:eastAsia="zh-CN"/>
        </w:rPr>
        <w:drawing>
          <wp:anchor distT="0" distB="0" distL="114300" distR="114300" simplePos="0" relativeHeight="251661312" behindDoc="0" locked="0" layoutInCell="1" allowOverlap="1">
            <wp:simplePos x="0" y="0"/>
            <wp:positionH relativeFrom="column">
              <wp:posOffset>-1290320</wp:posOffset>
            </wp:positionH>
            <wp:positionV relativeFrom="paragraph">
              <wp:posOffset>1507490</wp:posOffset>
            </wp:positionV>
            <wp:extent cx="7505065" cy="5309870"/>
            <wp:effectExtent l="0" t="0" r="5080" b="635"/>
            <wp:wrapSquare wrapText="bothSides"/>
            <wp:docPr id="4" name="图片 4" descr="2b3d139fc160ef5342389a9ad11ef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b3d139fc160ef5342389a9ad11ef27"/>
                    <pic:cNvPicPr>
                      <a:picLocks noChangeAspect="1"/>
                    </pic:cNvPicPr>
                  </pic:nvPicPr>
                  <pic:blipFill>
                    <a:blip r:embed="rId44"/>
                    <a:stretch>
                      <a:fillRect/>
                    </a:stretch>
                  </pic:blipFill>
                  <pic:spPr>
                    <a:xfrm rot="16200000">
                      <a:off x="0" y="0"/>
                      <a:ext cx="7505065" cy="5309870"/>
                    </a:xfrm>
                    <a:prstGeom prst="rect">
                      <a:avLst/>
                    </a:prstGeom>
                  </pic:spPr>
                </pic:pic>
              </a:graphicData>
            </a:graphic>
          </wp:anchor>
        </w:drawing>
      </w:r>
    </w:p>
    <w:sectPr>
      <w:pgSz w:w="11906" w:h="16838"/>
      <w:pgMar w:top="1417" w:right="1474" w:bottom="1417" w:left="1587"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embedRegular r:id="rId1" w:fontKey="{9F40929F-F191-43E0-B86E-98EF085F999A}"/>
  </w:font>
  <w:font w:name="黑体">
    <w:panose1 w:val="02010609060101010101"/>
    <w:charset w:val="86"/>
    <w:family w:val="auto"/>
    <w:pitch w:val="default"/>
    <w:sig w:usb0="800002BF" w:usb1="38CF7CFA" w:usb2="00000016" w:usb3="00000000" w:csb0="00040001" w:csb1="00000000"/>
    <w:embedRegular r:id="rId2" w:fontKey="{FF026A16-455C-4834-9B98-597E5B0A3E1C}"/>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embedRegular r:id="rId3" w:fontKey="{2626E1D0-CC0C-4826-8604-A79624C1D6D3}"/>
  </w:font>
  <w:font w:name="仿宋">
    <w:panose1 w:val="02010609060101010101"/>
    <w:charset w:val="86"/>
    <w:family w:val="auto"/>
    <w:pitch w:val="default"/>
    <w:sig w:usb0="800002BF" w:usb1="38CF7CFA" w:usb2="00000016" w:usb3="00000000" w:csb0="00040001" w:csb1="00000000"/>
    <w:embedRegular r:id="rId4" w:fontKey="{C2A2B069-432B-4B2A-A0E3-93466553AF88}"/>
  </w:font>
  <w:font w:name="Calibri Light">
    <w:altName w:val="Calibri"/>
    <w:panose1 w:val="020F0302020204030204"/>
    <w:charset w:val="00"/>
    <w:family w:val="swiss"/>
    <w:pitch w:val="default"/>
    <w:sig w:usb0="00000000" w:usb1="00000000" w:usb2="00000009" w:usb3="00000000" w:csb0="200001FF" w:csb1="00000000"/>
  </w:font>
  <w:font w:name="等线">
    <w:altName w:val="Arial Unicode MS"/>
    <w:panose1 w:val="02010600030101010101"/>
    <w:charset w:val="86"/>
    <w:family w:val="auto"/>
    <w:pitch w:val="default"/>
    <w:sig w:usb0="00000000" w:usb1="00000000" w:usb2="00000016" w:usb3="00000000" w:csb0="0004000F" w:csb1="00000000"/>
  </w:font>
  <w:font w:name="方正小标宋简体">
    <w:panose1 w:val="03000509000000000000"/>
    <w:charset w:val="86"/>
    <w:family w:val="auto"/>
    <w:pitch w:val="default"/>
    <w:sig w:usb0="00000001" w:usb1="080E0000" w:usb2="00000000" w:usb3="00000000" w:csb0="00040000" w:csb1="00000000"/>
    <w:embedRegular r:id="rId5" w:fontKey="{4BD6366E-B910-4394-8F75-38C43F35E995}"/>
  </w:font>
  <w:font w:name="方正粗黑宋简体">
    <w:panose1 w:val="02000000000000000000"/>
    <w:charset w:val="86"/>
    <w:family w:val="auto"/>
    <w:pitch w:val="default"/>
    <w:sig w:usb0="A00002BF" w:usb1="184F6CFA" w:usb2="00000012" w:usb3="00000000" w:csb0="00040001" w:csb1="00000000"/>
    <w:embedRegular r:id="rId6" w:fontKey="{E6E9CC92-6A74-45EE-A95D-44DB5F277B23}"/>
  </w:font>
  <w:font w:name="仿宋_GB2312">
    <w:panose1 w:val="02010609030101010101"/>
    <w:charset w:val="86"/>
    <w:family w:val="modern"/>
    <w:pitch w:val="default"/>
    <w:sig w:usb0="00000001" w:usb1="080E0000" w:usb2="00000000" w:usb3="00000000" w:csb0="00040000" w:csb1="00000000"/>
    <w:embedRegular r:id="rId7" w:fontKey="{CC4C34E7-643A-4514-870D-D28BB668A61A}"/>
  </w:font>
  <w:font w:name="楷体_GB2312">
    <w:panose1 w:val="02010609030101010101"/>
    <w:charset w:val="86"/>
    <w:family w:val="modern"/>
    <w:pitch w:val="default"/>
    <w:sig w:usb0="00000001" w:usb1="080E0000" w:usb2="00000000" w:usb3="00000000" w:csb0="00040000" w:csb1="00000000"/>
    <w:embedRegular r:id="rId8" w:fontKey="{823BA69A-733E-49CA-8521-FCBF8FA29954}"/>
  </w:font>
  <w:font w:name="华文中宋">
    <w:panose1 w:val="02010600040101010101"/>
    <w:charset w:val="86"/>
    <w:family w:val="auto"/>
    <w:pitch w:val="default"/>
    <w:sig w:usb0="00000287" w:usb1="080F0000" w:usb2="00000000" w:usb3="00000000" w:csb0="0004009F" w:csb1="DFD70000"/>
    <w:embedRegular r:id="rId9" w:fontKey="{2DFEA0A5-490E-4002-8866-129E4D637A4B}"/>
  </w:font>
  <w:font w:name="方正仿宋_GB2312">
    <w:altName w:val="仿宋"/>
    <w:panose1 w:val="02000000000000000000"/>
    <w:charset w:val="86"/>
    <w:family w:val="auto"/>
    <w:pitch w:val="default"/>
    <w:sig w:usb0="00000000" w:usb1="00000000" w:usb2="00000012" w:usb3="00000000" w:csb0="00040001" w:csb1="00000000"/>
    <w:embedRegular r:id="rId10" w:fontKey="{C7F055D6-A3AA-4DE2-868A-F7D4DE416895}"/>
  </w:font>
  <w:font w:name="微软雅黑">
    <w:panose1 w:val="020B0503020204020204"/>
    <w:charset w:val="86"/>
    <w:family w:val="auto"/>
    <w:pitch w:val="default"/>
    <w:sig w:usb0="80000287" w:usb1="280F3C52" w:usb2="00000016" w:usb3="00000000" w:csb0="0004001F" w:csb1="00000000"/>
    <w:embedRegular r:id="rId11" w:fontKey="{EB612EC3-A333-4567-9B42-B6C7F738DEF9}"/>
  </w:font>
  <w:font w:name="MS PGothic">
    <w:panose1 w:val="020B0600070205080204"/>
    <w:charset w:val="80"/>
    <w:family w:val="auto"/>
    <w:pitch w:val="default"/>
    <w:sig w:usb0="E00002FF" w:usb1="6AC7FDFB" w:usb2="00000012" w:usb3="00000000" w:csb0="4002009F" w:csb1="DFD70000"/>
  </w:font>
  <w:font w:name="Gulim">
    <w:panose1 w:val="020B0600000101010101"/>
    <w:charset w:val="81"/>
    <w:family w:val="auto"/>
    <w:pitch w:val="default"/>
    <w:sig w:usb0="B00002AF" w:usb1="69D77CFB" w:usb2="00000030" w:usb3="00000000" w:csb0="4008009F" w:csb1="DFD7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A85630">
    <w:pPr>
      <w:pStyle w:val="9"/>
      <w:jc w:val="center"/>
      <w:rPr>
        <w:rFonts w:hint="default" w:eastAsiaTheme="minorEastAsia"/>
        <w:lang w:val="en-US" w:eastAsia="zh-C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706DF3">
    <w:pPr>
      <w:pStyle w:val="9"/>
      <w:ind w:firstLine="360"/>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45935E">
                          <w:pPr>
                            <w:pStyle w:val="9"/>
                          </w:pPr>
                          <w:r>
                            <w:fldChar w:fldCharType="begin"/>
                          </w:r>
                          <w:r>
                            <w:instrText xml:space="preserve"> PAGE  \* MERGEFORMAT </w:instrText>
                          </w:r>
                          <w:r>
                            <w:fldChar w:fldCharType="separate"/>
                          </w:r>
                          <w:r>
                            <w:t>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6945935E">
                    <w:pPr>
                      <w:pStyle w:val="9"/>
                    </w:pPr>
                    <w:r>
                      <w:fldChar w:fldCharType="begin"/>
                    </w:r>
                    <w:r>
                      <w:instrText xml:space="preserve"> PAGE  \* MERGEFORMAT </w:instrText>
                    </w:r>
                    <w:r>
                      <w:fldChar w:fldCharType="separate"/>
                    </w:r>
                    <w:r>
                      <w:t>5</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198A1B">
    <w:pPr>
      <w:pStyle w:val="9"/>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438BBD">
                          <w:pPr>
                            <w:pStyle w:val="9"/>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3B438BBD">
                    <w:pPr>
                      <w:pStyle w:val="9"/>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E3792E">
    <w:pPr>
      <w:pStyle w:val="9"/>
      <w:jc w:val="center"/>
      <w:rPr>
        <w:rFonts w:hint="default" w:eastAsiaTheme="minorEastAsia"/>
        <w:lang w:val="en-US" w:eastAsia="zh-CN"/>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5A9275C">
                          <w:pPr>
                            <w:pStyle w:val="9"/>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25A9275C">
                    <w:pPr>
                      <w:pStyle w:val="9"/>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A96B02">
    <w:pPr>
      <w:pStyle w:val="9"/>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E5C4136">
                          <w:pPr>
                            <w:pStyle w:val="9"/>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0E5C4136">
                    <w:pPr>
                      <w:pStyle w:val="9"/>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BDDBAF">
    <w:pPr>
      <w:pStyle w:val="9"/>
      <w:jc w:val="center"/>
      <w:rPr>
        <w:rFonts w:hint="default" w:eastAsiaTheme="minorEastAsia"/>
        <w:lang w:val="en-US" w:eastAsia="zh-CN"/>
      </w:rP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79F973">
                          <w:pPr>
                            <w:pStyle w:val="9"/>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9bQWsy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tBazICAABjBAAADgAAAAAAAAABACAAAAAfAQAAZHJzL2Uyb0RvYy54bWxQSwUG&#10;AAAAAAYABgBZAQAAwwUAAAAA&#10;">
              <v:fill on="f" focussize="0,0"/>
              <v:stroke on="f" weight="0.5pt"/>
              <v:imagedata o:title=""/>
              <o:lock v:ext="edit" aspectratio="f"/>
              <v:textbox inset="0mm,0mm,0mm,0mm" style="mso-fit-shape-to-text:t;">
                <w:txbxContent>
                  <w:p w14:paraId="6C79F973">
                    <w:pPr>
                      <w:pStyle w:val="9"/>
                    </w:pPr>
                    <w:r>
                      <w:fldChar w:fldCharType="begin"/>
                    </w:r>
                    <w:r>
                      <w:instrText xml:space="preserve"> PAGE  \* MERGEFORMAT </w:instrText>
                    </w:r>
                    <w:r>
                      <w:fldChar w:fldCharType="separate"/>
                    </w:r>
                    <w:r>
                      <w:t>3</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0C839F">
    <w:pPr>
      <w:pStyle w:val="10"/>
      <w:jc w:val="center"/>
      <w:rPr>
        <w:rFonts w:hint="default" w:eastAsiaTheme="minorEastAsia"/>
        <w:lang w:val="en-US" w:eastAsia="zh-CN"/>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5C08D0">
    <w:pPr>
      <w:pStyle w:val="10"/>
      <w:pBdr>
        <w:bottom w:val="single" w:color="auto" w:sz="4" w:space="1"/>
      </w:pBdr>
      <w:jc w:val="left"/>
      <w:rPr>
        <w:rFonts w:hint="default" w:eastAsiaTheme="minorEastAsia"/>
        <w:lang w:val="en-US" w:eastAsia="zh-CN"/>
      </w:rPr>
    </w:pPr>
    <w:r>
      <w:rPr>
        <w:rFonts w:hint="eastAsia"/>
        <w:b/>
        <w:bCs/>
        <w:sz w:val="18"/>
        <w:szCs w:val="18"/>
      </w:rPr>
      <w:drawing>
        <wp:anchor distT="0" distB="0" distL="114300" distR="114300" simplePos="0" relativeHeight="251672576" behindDoc="0" locked="0" layoutInCell="1" allowOverlap="1">
          <wp:simplePos x="0" y="0"/>
          <wp:positionH relativeFrom="column">
            <wp:posOffset>-323215</wp:posOffset>
          </wp:positionH>
          <wp:positionV relativeFrom="paragraph">
            <wp:posOffset>-163195</wp:posOffset>
          </wp:positionV>
          <wp:extent cx="314325" cy="306705"/>
          <wp:effectExtent l="0" t="0" r="9525" b="17145"/>
          <wp:wrapSquare wrapText="bothSides"/>
          <wp:docPr id="76" name="图片 76"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C:\Users\ASUS\AppData\Local\Temp\WeChat Files\f186046fc3a4df704901618a4b76ec6.png"/>
                  <pic:cNvPicPr>
                    <a:picLocks noChangeAspect="1" noChangeArrowheads="1"/>
                  </pic:cNvPicPr>
                </pic:nvPicPr>
                <pic:blipFill>
                  <a:blip r:embed="rId1"/>
                  <a:srcRect/>
                  <a:stretch>
                    <a:fillRect/>
                  </a:stretch>
                </pic:blipFill>
                <pic:spPr>
                  <a:xfrm>
                    <a:off x="6473825" y="466725"/>
                    <a:ext cx="314325" cy="306705"/>
                  </a:xfrm>
                  <a:prstGeom prst="rect">
                    <a:avLst/>
                  </a:prstGeom>
                  <a:noFill/>
                  <a:ln w="9525" cmpd="sng">
                    <a:noFill/>
                    <a:miter lim="800000"/>
                    <a:headEnd/>
                    <a:tailEnd/>
                  </a:ln>
                  <a:effectLst/>
                </pic:spPr>
              </pic:pic>
            </a:graphicData>
          </a:graphic>
        </wp:anchor>
      </w:drawing>
    </w:r>
    <w:r>
      <w:rPr>
        <w:rFonts w:hint="eastAsia"/>
        <w:lang w:val="en-US" w:eastAsia="zh-CN"/>
      </w:rPr>
      <w:t>泉州市招标咨询中心有限公司</w:t>
    </w:r>
  </w:p>
  <w:p w14:paraId="6D9C9598">
    <w:pPr>
      <w:pStyle w:val="1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9DE111">
    <w:pPr>
      <w:pStyle w:val="10"/>
      <w:pBdr>
        <w:top w:val="none" w:color="auto" w:sz="0" w:space="0"/>
        <w:left w:val="none" w:color="auto" w:sz="0" w:space="0"/>
        <w:bottom w:val="none" w:color="auto" w:sz="0" w:space="0"/>
        <w:right w:val="none" w:color="auto" w:sz="0" w:space="0"/>
        <w:between w:val="none" w:color="auto" w:sz="0" w:space="0"/>
      </w:pBd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25AACC">
    <w:pPr>
      <w:pStyle w:val="10"/>
      <w:pBdr>
        <w:bottom w:val="single" w:color="auto" w:sz="4" w:space="1"/>
      </w:pBdr>
      <w:jc w:val="right"/>
      <w:rPr>
        <w:rFonts w:hint="default" w:eastAsiaTheme="minorEastAsia"/>
        <w:lang w:val="en-US" w:eastAsia="zh-CN"/>
      </w:rPr>
    </w:pPr>
    <w:r>
      <w:rPr>
        <w:rFonts w:hint="eastAsia"/>
        <w:b/>
        <w:bCs/>
        <w:sz w:val="18"/>
        <w:szCs w:val="18"/>
      </w:rPr>
      <w:drawing>
        <wp:anchor distT="0" distB="0" distL="114300" distR="114300" simplePos="0" relativeHeight="251659264" behindDoc="0" locked="0" layoutInCell="1" allowOverlap="1">
          <wp:simplePos x="0" y="0"/>
          <wp:positionH relativeFrom="column">
            <wp:posOffset>5669280</wp:posOffset>
          </wp:positionH>
          <wp:positionV relativeFrom="paragraph">
            <wp:posOffset>-202565</wp:posOffset>
          </wp:positionV>
          <wp:extent cx="314325" cy="306705"/>
          <wp:effectExtent l="0" t="0" r="5715" b="13335"/>
          <wp:wrapSquare wrapText="bothSides"/>
          <wp:docPr id="40" name="图片 40"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C:\Users\ASUS\AppData\Local\Temp\WeChat Files\f186046fc3a4df704901618a4b76ec6.png"/>
                  <pic:cNvPicPr>
                    <a:picLocks noChangeAspect="1" noChangeArrowheads="1"/>
                  </pic:cNvPicPr>
                </pic:nvPicPr>
                <pic:blipFill>
                  <a:blip r:embed="rId1"/>
                  <a:srcRect/>
                  <a:stretch>
                    <a:fillRect/>
                  </a:stretch>
                </pic:blipFill>
                <pic:spPr>
                  <a:xfrm>
                    <a:off x="6473825" y="466725"/>
                    <a:ext cx="314325" cy="306705"/>
                  </a:xfrm>
                  <a:prstGeom prst="rect">
                    <a:avLst/>
                  </a:prstGeom>
                  <a:noFill/>
                  <a:ln w="9525" cmpd="sng">
                    <a:noFill/>
                    <a:miter lim="800000"/>
                    <a:headEnd/>
                    <a:tailEnd/>
                  </a:ln>
                  <a:effectLst/>
                </pic:spPr>
              </pic:pic>
            </a:graphicData>
          </a:graphic>
        </wp:anchor>
      </w:drawing>
    </w:r>
    <w:r>
      <w:rPr>
        <w:rFonts w:hint="eastAsia"/>
        <w:lang w:val="en-US" w:eastAsia="zh-CN"/>
      </w:rPr>
      <w:t>泉州市招标咨询中心有限公司</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DEA79B">
    <w:pPr>
      <w:pStyle w:val="10"/>
      <w:pBdr>
        <w:bottom w:val="single" w:color="auto" w:sz="4" w:space="1"/>
      </w:pBdr>
      <w:jc w:val="right"/>
      <w:rPr>
        <w:rFonts w:hint="default" w:eastAsiaTheme="minorEastAsia"/>
        <w:lang w:val="en-US" w:eastAsia="zh-CN"/>
      </w:rPr>
    </w:pPr>
    <w:r>
      <w:rPr>
        <w:rFonts w:hint="eastAsia"/>
        <w:b/>
        <w:bCs/>
        <w:sz w:val="18"/>
        <w:szCs w:val="18"/>
      </w:rPr>
      <w:drawing>
        <wp:anchor distT="0" distB="0" distL="114300" distR="114300" simplePos="0" relativeHeight="251662336" behindDoc="0" locked="0" layoutInCell="1" allowOverlap="1">
          <wp:simplePos x="0" y="0"/>
          <wp:positionH relativeFrom="column">
            <wp:posOffset>5622925</wp:posOffset>
          </wp:positionH>
          <wp:positionV relativeFrom="paragraph">
            <wp:posOffset>-93980</wp:posOffset>
          </wp:positionV>
          <wp:extent cx="314325" cy="306705"/>
          <wp:effectExtent l="0" t="0" r="9525" b="17145"/>
          <wp:wrapSquare wrapText="bothSides"/>
          <wp:docPr id="8" name="图片 8"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SUS\AppData\Local\Temp\WeChat Files\f186046fc3a4df704901618a4b76ec6.png"/>
                  <pic:cNvPicPr>
                    <a:picLocks noChangeAspect="1" noChangeArrowheads="1"/>
                  </pic:cNvPicPr>
                </pic:nvPicPr>
                <pic:blipFill>
                  <a:blip r:embed="rId1"/>
                  <a:srcRect/>
                  <a:stretch>
                    <a:fillRect/>
                  </a:stretch>
                </pic:blipFill>
                <pic:spPr>
                  <a:xfrm>
                    <a:off x="6473825" y="466725"/>
                    <a:ext cx="314325" cy="306705"/>
                  </a:xfrm>
                  <a:prstGeom prst="rect">
                    <a:avLst/>
                  </a:prstGeom>
                  <a:noFill/>
                  <a:ln w="9525" cmpd="sng">
                    <a:noFill/>
                    <a:miter lim="800000"/>
                    <a:headEnd/>
                    <a:tailEnd/>
                  </a:ln>
                  <a:effectLst/>
                </pic:spPr>
              </pic:pic>
            </a:graphicData>
          </a:graphic>
        </wp:anchor>
      </w:drawing>
    </w:r>
    <w:r>
      <w:rPr>
        <w:rFonts w:hint="eastAsia"/>
        <w:lang w:val="en-US" w:eastAsia="zh-CN"/>
      </w:rPr>
      <w:t>泉州市招标咨询中心有限公司</w:t>
    </w:r>
  </w:p>
  <w:p w14:paraId="2675B8CE">
    <w:pPr>
      <w:pStyle w:val="1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AB1959">
    <w:pPr>
      <w:pStyle w:val="10"/>
      <w:pBdr>
        <w:bottom w:val="single" w:color="auto" w:sz="4" w:space="1"/>
      </w:pBdr>
      <w:jc w:val="right"/>
      <w:rPr>
        <w:rFonts w:hint="default" w:eastAsiaTheme="minorEastAsia"/>
        <w:lang w:val="en-US" w:eastAsia="zh-CN"/>
      </w:rPr>
    </w:pPr>
    <w:r>
      <w:rPr>
        <w:rFonts w:hint="eastAsia"/>
        <w:b/>
        <w:bCs/>
        <w:sz w:val="18"/>
        <w:szCs w:val="18"/>
      </w:rPr>
      <w:drawing>
        <wp:anchor distT="0" distB="0" distL="114300" distR="114300" simplePos="0" relativeHeight="251669504" behindDoc="0" locked="0" layoutInCell="1" allowOverlap="1">
          <wp:simplePos x="0" y="0"/>
          <wp:positionH relativeFrom="column">
            <wp:posOffset>5648960</wp:posOffset>
          </wp:positionH>
          <wp:positionV relativeFrom="paragraph">
            <wp:posOffset>-139065</wp:posOffset>
          </wp:positionV>
          <wp:extent cx="314325" cy="306705"/>
          <wp:effectExtent l="0" t="0" r="9525" b="17145"/>
          <wp:wrapSquare wrapText="bothSides"/>
          <wp:docPr id="41" name="图片 41"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C:\Users\ASUS\AppData\Local\Temp\WeChat Files\f186046fc3a4df704901618a4b76ec6.png"/>
                  <pic:cNvPicPr>
                    <a:picLocks noChangeAspect="1" noChangeArrowheads="1"/>
                  </pic:cNvPicPr>
                </pic:nvPicPr>
                <pic:blipFill>
                  <a:blip r:embed="rId1"/>
                  <a:srcRect/>
                  <a:stretch>
                    <a:fillRect/>
                  </a:stretch>
                </pic:blipFill>
                <pic:spPr>
                  <a:xfrm>
                    <a:off x="6473825" y="466725"/>
                    <a:ext cx="314325" cy="306705"/>
                  </a:xfrm>
                  <a:prstGeom prst="rect">
                    <a:avLst/>
                  </a:prstGeom>
                  <a:noFill/>
                  <a:ln w="9525" cmpd="sng">
                    <a:noFill/>
                    <a:miter lim="800000"/>
                    <a:headEnd/>
                    <a:tailEnd/>
                  </a:ln>
                  <a:effectLst/>
                </pic:spPr>
              </pic:pic>
            </a:graphicData>
          </a:graphic>
        </wp:anchor>
      </w:drawing>
    </w:r>
    <w:r>
      <w:rPr>
        <w:rFonts w:hint="eastAsia"/>
        <w:lang w:val="en-US" w:eastAsia="zh-CN"/>
      </w:rPr>
      <w:t>泉州市招标咨询中心有限公司</w:t>
    </w:r>
  </w:p>
  <w:p w14:paraId="628252AD">
    <w:pPr>
      <w:pStyle w:val="10"/>
      <w:rPr>
        <w:rFonts w:hint="default"/>
        <w:lang w:val="en-US" w:eastAsia="zh-CN"/>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D6F311">
    <w:pPr>
      <w:pStyle w:val="10"/>
      <w:pBdr>
        <w:bottom w:val="single" w:color="auto" w:sz="4" w:space="1"/>
      </w:pBdr>
      <w:jc w:val="left"/>
      <w:rPr>
        <w:rFonts w:hint="default" w:eastAsiaTheme="minorEastAsia"/>
        <w:lang w:val="en-US" w:eastAsia="zh-CN"/>
      </w:rPr>
    </w:pPr>
    <w:r>
      <w:rPr>
        <w:rFonts w:hint="eastAsia"/>
        <w:b/>
        <w:bCs/>
        <w:sz w:val="18"/>
        <w:szCs w:val="18"/>
      </w:rPr>
      <w:drawing>
        <wp:anchor distT="0" distB="0" distL="114300" distR="114300" simplePos="0" relativeHeight="251668480" behindDoc="0" locked="0" layoutInCell="1" allowOverlap="1">
          <wp:simplePos x="0" y="0"/>
          <wp:positionH relativeFrom="column">
            <wp:posOffset>-336550</wp:posOffset>
          </wp:positionH>
          <wp:positionV relativeFrom="paragraph">
            <wp:posOffset>-203835</wp:posOffset>
          </wp:positionV>
          <wp:extent cx="314325" cy="306705"/>
          <wp:effectExtent l="0" t="0" r="9525" b="17145"/>
          <wp:wrapSquare wrapText="bothSides"/>
          <wp:docPr id="28" name="图片 28"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ASUS\AppData\Local\Temp\WeChat Files\f186046fc3a4df704901618a4b76ec6.png"/>
                  <pic:cNvPicPr>
                    <a:picLocks noChangeAspect="1" noChangeArrowheads="1"/>
                  </pic:cNvPicPr>
                </pic:nvPicPr>
                <pic:blipFill>
                  <a:blip r:embed="rId1"/>
                  <a:srcRect/>
                  <a:stretch>
                    <a:fillRect/>
                  </a:stretch>
                </pic:blipFill>
                <pic:spPr>
                  <a:xfrm>
                    <a:off x="6473825" y="466725"/>
                    <a:ext cx="314325" cy="306705"/>
                  </a:xfrm>
                  <a:prstGeom prst="rect">
                    <a:avLst/>
                  </a:prstGeom>
                  <a:noFill/>
                  <a:ln w="9525" cmpd="sng">
                    <a:noFill/>
                    <a:miter lim="800000"/>
                    <a:headEnd/>
                    <a:tailEnd/>
                  </a:ln>
                  <a:effectLst/>
                </pic:spPr>
              </pic:pic>
            </a:graphicData>
          </a:graphic>
        </wp:anchor>
      </w:drawing>
    </w:r>
    <w:r>
      <w:rPr>
        <w:rFonts w:hint="eastAsia"/>
        <w:lang w:val="en-US" w:eastAsia="zh-CN"/>
      </w:rPr>
      <w:t>泉州市招标咨询中心有限公司</w:t>
    </w:r>
  </w:p>
  <w:p w14:paraId="504B738F">
    <w:pPr>
      <w:pStyle w:val="1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E2BBEC">
    <w:pPr>
      <w:pStyle w:val="10"/>
      <w:pBdr>
        <w:bottom w:val="single" w:color="auto" w:sz="4" w:space="1"/>
      </w:pBdr>
      <w:jc w:val="right"/>
      <w:rPr>
        <w:rFonts w:hint="default" w:eastAsiaTheme="minorEastAsia"/>
        <w:lang w:val="en-US" w:eastAsia="zh-CN"/>
      </w:rPr>
    </w:pPr>
    <w:r>
      <w:rPr>
        <w:rFonts w:hint="eastAsia"/>
        <w:b/>
        <w:bCs/>
        <w:sz w:val="18"/>
        <w:szCs w:val="18"/>
      </w:rPr>
      <w:drawing>
        <wp:anchor distT="0" distB="0" distL="114300" distR="114300" simplePos="0" relativeHeight="251671552" behindDoc="0" locked="0" layoutInCell="1" allowOverlap="1">
          <wp:simplePos x="0" y="0"/>
          <wp:positionH relativeFrom="column">
            <wp:posOffset>8877300</wp:posOffset>
          </wp:positionH>
          <wp:positionV relativeFrom="paragraph">
            <wp:posOffset>-138430</wp:posOffset>
          </wp:positionV>
          <wp:extent cx="314325" cy="306705"/>
          <wp:effectExtent l="0" t="0" r="9525" b="17145"/>
          <wp:wrapSquare wrapText="bothSides"/>
          <wp:docPr id="47" name="图片 47"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C:\Users\ASUS\AppData\Local\Temp\WeChat Files\f186046fc3a4df704901618a4b76ec6.png"/>
                  <pic:cNvPicPr>
                    <a:picLocks noChangeAspect="1" noChangeArrowheads="1"/>
                  </pic:cNvPicPr>
                </pic:nvPicPr>
                <pic:blipFill>
                  <a:blip r:embed="rId1"/>
                  <a:srcRect/>
                  <a:stretch>
                    <a:fillRect/>
                  </a:stretch>
                </pic:blipFill>
                <pic:spPr>
                  <a:xfrm>
                    <a:off x="6473825" y="466725"/>
                    <a:ext cx="314325" cy="306705"/>
                  </a:xfrm>
                  <a:prstGeom prst="rect">
                    <a:avLst/>
                  </a:prstGeom>
                  <a:noFill/>
                  <a:ln w="9525" cmpd="sng">
                    <a:noFill/>
                    <a:miter lim="800000"/>
                    <a:headEnd/>
                    <a:tailEnd/>
                  </a:ln>
                  <a:effectLst/>
                </pic:spPr>
              </pic:pic>
            </a:graphicData>
          </a:graphic>
        </wp:anchor>
      </w:drawing>
    </w:r>
    <w:r>
      <w:rPr>
        <w:rFonts w:hint="eastAsia"/>
        <w:lang w:val="en-US" w:eastAsia="zh-CN"/>
      </w:rPr>
      <w:t>泉州市招标咨询中心有限公司</w:t>
    </w:r>
  </w:p>
  <w:p w14:paraId="01FA6BDE">
    <w:pPr>
      <w:pStyle w:val="10"/>
      <w:jc w:val="left"/>
      <w:rPr>
        <w:rFonts w:hint="default"/>
        <w:lang w:val="en-US" w:eastAsia="zh-CN"/>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68F26B">
    <w:pPr>
      <w:pStyle w:val="10"/>
      <w:pBdr>
        <w:bottom w:val="single" w:color="auto" w:sz="4" w:space="1"/>
      </w:pBdr>
      <w:jc w:val="left"/>
      <w:rPr>
        <w:rFonts w:hint="default" w:eastAsiaTheme="minorEastAsia"/>
        <w:lang w:val="en-US" w:eastAsia="zh-CN"/>
      </w:rPr>
    </w:pPr>
    <w:r>
      <w:rPr>
        <w:rFonts w:hint="eastAsia"/>
        <w:b/>
        <w:bCs/>
        <w:sz w:val="18"/>
        <w:szCs w:val="18"/>
      </w:rPr>
      <w:drawing>
        <wp:anchor distT="0" distB="0" distL="114300" distR="114300" simplePos="0" relativeHeight="251670528" behindDoc="0" locked="0" layoutInCell="1" allowOverlap="1">
          <wp:simplePos x="0" y="0"/>
          <wp:positionH relativeFrom="column">
            <wp:posOffset>-310515</wp:posOffset>
          </wp:positionH>
          <wp:positionV relativeFrom="paragraph">
            <wp:posOffset>-190500</wp:posOffset>
          </wp:positionV>
          <wp:extent cx="314325" cy="306705"/>
          <wp:effectExtent l="0" t="0" r="9525" b="17145"/>
          <wp:wrapSquare wrapText="bothSides"/>
          <wp:docPr id="42" name="图片 42"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C:\Users\ASUS\AppData\Local\Temp\WeChat Files\f186046fc3a4df704901618a4b76ec6.png"/>
                  <pic:cNvPicPr>
                    <a:picLocks noChangeAspect="1" noChangeArrowheads="1"/>
                  </pic:cNvPicPr>
                </pic:nvPicPr>
                <pic:blipFill>
                  <a:blip r:embed="rId1"/>
                  <a:srcRect/>
                  <a:stretch>
                    <a:fillRect/>
                  </a:stretch>
                </pic:blipFill>
                <pic:spPr>
                  <a:xfrm>
                    <a:off x="6473825" y="466725"/>
                    <a:ext cx="314325" cy="306705"/>
                  </a:xfrm>
                  <a:prstGeom prst="rect">
                    <a:avLst/>
                  </a:prstGeom>
                  <a:noFill/>
                  <a:ln w="9525" cmpd="sng">
                    <a:noFill/>
                    <a:miter lim="800000"/>
                    <a:headEnd/>
                    <a:tailEnd/>
                  </a:ln>
                  <a:effectLst/>
                </pic:spPr>
              </pic:pic>
            </a:graphicData>
          </a:graphic>
        </wp:anchor>
      </w:drawing>
    </w:r>
    <w:r>
      <w:rPr>
        <w:rFonts w:hint="eastAsia"/>
        <w:lang w:val="en-US" w:eastAsia="zh-CN"/>
      </w:rPr>
      <w:t>泉州市招标咨询中心有限公司</w:t>
    </w:r>
  </w:p>
  <w:p w14:paraId="0A3CEBC6">
    <w:pPr>
      <w:pStyle w:val="1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3ECB33">
    <w:pPr>
      <w:pStyle w:val="10"/>
      <w:pBdr>
        <w:bottom w:val="single" w:color="auto" w:sz="4" w:space="1"/>
      </w:pBdr>
      <w:jc w:val="right"/>
      <w:rPr>
        <w:rFonts w:hint="default" w:eastAsiaTheme="minorEastAsia"/>
        <w:lang w:val="en-US" w:eastAsia="zh-CN"/>
      </w:rPr>
    </w:pPr>
    <w:r>
      <w:rPr>
        <w:rFonts w:hint="eastAsia"/>
        <w:b/>
        <w:bCs/>
        <w:sz w:val="18"/>
        <w:szCs w:val="18"/>
      </w:rPr>
      <w:drawing>
        <wp:anchor distT="0" distB="0" distL="114300" distR="114300" simplePos="0" relativeHeight="251660288" behindDoc="0" locked="0" layoutInCell="1" allowOverlap="1">
          <wp:simplePos x="0" y="0"/>
          <wp:positionH relativeFrom="column">
            <wp:posOffset>5628005</wp:posOffset>
          </wp:positionH>
          <wp:positionV relativeFrom="paragraph">
            <wp:posOffset>-175895</wp:posOffset>
          </wp:positionV>
          <wp:extent cx="314325" cy="306705"/>
          <wp:effectExtent l="0" t="0" r="9525" b="17145"/>
          <wp:wrapSquare wrapText="bothSides"/>
          <wp:docPr id="20" name="图片 20"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ASUS\AppData\Local\Temp\WeChat Files\f186046fc3a4df704901618a4b76ec6.png"/>
                  <pic:cNvPicPr>
                    <a:picLocks noChangeAspect="1" noChangeArrowheads="1"/>
                  </pic:cNvPicPr>
                </pic:nvPicPr>
                <pic:blipFill>
                  <a:blip r:embed="rId1"/>
                  <a:srcRect/>
                  <a:stretch>
                    <a:fillRect/>
                  </a:stretch>
                </pic:blipFill>
                <pic:spPr>
                  <a:xfrm>
                    <a:off x="6473825" y="466725"/>
                    <a:ext cx="314325" cy="306705"/>
                  </a:xfrm>
                  <a:prstGeom prst="rect">
                    <a:avLst/>
                  </a:prstGeom>
                  <a:noFill/>
                  <a:ln w="9525" cmpd="sng">
                    <a:noFill/>
                    <a:miter lim="800000"/>
                    <a:headEnd/>
                    <a:tailEnd/>
                  </a:ln>
                  <a:effectLst/>
                </pic:spPr>
              </pic:pic>
            </a:graphicData>
          </a:graphic>
        </wp:anchor>
      </w:drawing>
    </w:r>
    <w:r>
      <w:rPr>
        <w:rFonts w:hint="eastAsia"/>
        <w:lang w:val="en-US" w:eastAsia="zh-CN"/>
      </w:rPr>
      <w:t>泉州市招标咨询中心有限公司</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0"/>
  <w:bordersDoNotSurroundFooter w:val="0"/>
  <w:documentProtection w:enforcement="0"/>
  <w:defaultTabStop w:val="420"/>
  <w:evenAndOddHeaders w:val="1"/>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RkYmFmYjU0NzIyNDBkZmE0NTJkNDRiOTcxZjNkNDMifQ=="/>
  </w:docVars>
  <w:rsids>
    <w:rsidRoot w:val="00000000"/>
    <w:rsid w:val="01392AF5"/>
    <w:rsid w:val="01553765"/>
    <w:rsid w:val="02274321"/>
    <w:rsid w:val="024D7235"/>
    <w:rsid w:val="02867E41"/>
    <w:rsid w:val="03005076"/>
    <w:rsid w:val="03152150"/>
    <w:rsid w:val="04127ABC"/>
    <w:rsid w:val="04382DAC"/>
    <w:rsid w:val="05290F57"/>
    <w:rsid w:val="073B7B14"/>
    <w:rsid w:val="07794B88"/>
    <w:rsid w:val="07DD49A7"/>
    <w:rsid w:val="08ED2975"/>
    <w:rsid w:val="09CD06C8"/>
    <w:rsid w:val="0A20501F"/>
    <w:rsid w:val="0A3B2CE9"/>
    <w:rsid w:val="0B4364E5"/>
    <w:rsid w:val="0C5C2956"/>
    <w:rsid w:val="0D2766C4"/>
    <w:rsid w:val="121F56B5"/>
    <w:rsid w:val="12B87F5E"/>
    <w:rsid w:val="13801368"/>
    <w:rsid w:val="16232AD0"/>
    <w:rsid w:val="170B2BB3"/>
    <w:rsid w:val="172B7C3E"/>
    <w:rsid w:val="17FB2C27"/>
    <w:rsid w:val="18966EE2"/>
    <w:rsid w:val="196D7676"/>
    <w:rsid w:val="19F45269"/>
    <w:rsid w:val="1A703110"/>
    <w:rsid w:val="1BFB2BE2"/>
    <w:rsid w:val="1C1748A9"/>
    <w:rsid w:val="1C2C3A61"/>
    <w:rsid w:val="1C7D00AF"/>
    <w:rsid w:val="1D0920F2"/>
    <w:rsid w:val="1D6C191A"/>
    <w:rsid w:val="1DD76AA1"/>
    <w:rsid w:val="1E2813CE"/>
    <w:rsid w:val="1F85443C"/>
    <w:rsid w:val="1FC33C06"/>
    <w:rsid w:val="1FD1048C"/>
    <w:rsid w:val="20A21275"/>
    <w:rsid w:val="22F0543C"/>
    <w:rsid w:val="233F4161"/>
    <w:rsid w:val="236B2A0F"/>
    <w:rsid w:val="24D91C58"/>
    <w:rsid w:val="25F1499B"/>
    <w:rsid w:val="267D537F"/>
    <w:rsid w:val="28F016BA"/>
    <w:rsid w:val="292248F0"/>
    <w:rsid w:val="2A0A5C85"/>
    <w:rsid w:val="2A21112E"/>
    <w:rsid w:val="2A260927"/>
    <w:rsid w:val="2D017415"/>
    <w:rsid w:val="2D2C3765"/>
    <w:rsid w:val="2D8218D6"/>
    <w:rsid w:val="2FBD6B4D"/>
    <w:rsid w:val="32A0797E"/>
    <w:rsid w:val="334D1EAB"/>
    <w:rsid w:val="34FA62E8"/>
    <w:rsid w:val="35704438"/>
    <w:rsid w:val="36FD79CA"/>
    <w:rsid w:val="37442C5A"/>
    <w:rsid w:val="389E31BC"/>
    <w:rsid w:val="3BBD2756"/>
    <w:rsid w:val="3C706E90"/>
    <w:rsid w:val="3CC50F8A"/>
    <w:rsid w:val="3CDE4F4A"/>
    <w:rsid w:val="3FA66064"/>
    <w:rsid w:val="40804BD6"/>
    <w:rsid w:val="41F57750"/>
    <w:rsid w:val="43440B75"/>
    <w:rsid w:val="43DF5027"/>
    <w:rsid w:val="469A3487"/>
    <w:rsid w:val="490D6E00"/>
    <w:rsid w:val="49D615D5"/>
    <w:rsid w:val="4A4538C3"/>
    <w:rsid w:val="4AE773B3"/>
    <w:rsid w:val="4CCE5964"/>
    <w:rsid w:val="4F2204BE"/>
    <w:rsid w:val="4FC421F7"/>
    <w:rsid w:val="50BB5041"/>
    <w:rsid w:val="53C76A57"/>
    <w:rsid w:val="56C53781"/>
    <w:rsid w:val="59115313"/>
    <w:rsid w:val="5A1E1882"/>
    <w:rsid w:val="5A9F48E5"/>
    <w:rsid w:val="5AAA05A6"/>
    <w:rsid w:val="5B543875"/>
    <w:rsid w:val="5CFB1E5F"/>
    <w:rsid w:val="5D915A0E"/>
    <w:rsid w:val="5DD56B7D"/>
    <w:rsid w:val="5EB357EA"/>
    <w:rsid w:val="616C7975"/>
    <w:rsid w:val="618C7B2D"/>
    <w:rsid w:val="62CC0FA0"/>
    <w:rsid w:val="635D5442"/>
    <w:rsid w:val="65384140"/>
    <w:rsid w:val="65C8108A"/>
    <w:rsid w:val="6604676D"/>
    <w:rsid w:val="66091DCE"/>
    <w:rsid w:val="6657079F"/>
    <w:rsid w:val="673A3903"/>
    <w:rsid w:val="67D22BF3"/>
    <w:rsid w:val="68C64184"/>
    <w:rsid w:val="693F5DAF"/>
    <w:rsid w:val="698F7A26"/>
    <w:rsid w:val="6992641F"/>
    <w:rsid w:val="69F47276"/>
    <w:rsid w:val="6A790BA5"/>
    <w:rsid w:val="6AF77187"/>
    <w:rsid w:val="6E486F7E"/>
    <w:rsid w:val="6E6844C8"/>
    <w:rsid w:val="74905361"/>
    <w:rsid w:val="74C756ED"/>
    <w:rsid w:val="74FF05E2"/>
    <w:rsid w:val="7581079F"/>
    <w:rsid w:val="75821FCE"/>
    <w:rsid w:val="75E93780"/>
    <w:rsid w:val="7A500CCD"/>
    <w:rsid w:val="7AB031CA"/>
    <w:rsid w:val="7B213886"/>
    <w:rsid w:val="7BC71022"/>
    <w:rsid w:val="7C3340AD"/>
    <w:rsid w:val="7D1C02CF"/>
    <w:rsid w:val="7D2B7EFD"/>
    <w:rsid w:val="7E243472"/>
    <w:rsid w:val="7F305C7C"/>
    <w:rsid w:val="7FBD418D"/>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9"/>
    <w:pPr>
      <w:keepNext/>
      <w:keepLines/>
      <w:spacing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character" w:default="1" w:styleId="17">
    <w:name w:val="Default Paragraph Font"/>
    <w:semiHidden/>
    <w:qFormat/>
    <w:uiPriority w:val="0"/>
  </w:style>
  <w:style w:type="table" w:default="1" w:styleId="15">
    <w:name w:val="Normal Table"/>
    <w:semiHidden/>
    <w:qFormat/>
    <w:uiPriority w:val="0"/>
    <w:tblPr>
      <w:tblCellMar>
        <w:top w:w="0" w:type="dxa"/>
        <w:left w:w="108" w:type="dxa"/>
        <w:bottom w:w="0" w:type="dxa"/>
        <w:right w:w="108" w:type="dxa"/>
      </w:tblCellMar>
    </w:tblPr>
  </w:style>
  <w:style w:type="paragraph" w:styleId="4">
    <w:name w:val="Normal Indent"/>
    <w:basedOn w:val="1"/>
    <w:qFormat/>
    <w:uiPriority w:val="0"/>
    <w:pPr>
      <w:ind w:firstLine="420" w:firstLineChars="200"/>
    </w:pPr>
    <w:rPr>
      <w:rFonts w:eastAsia="宋体"/>
      <w:sz w:val="21"/>
    </w:rPr>
  </w:style>
  <w:style w:type="paragraph" w:styleId="5">
    <w:name w:val="annotation text"/>
    <w:basedOn w:val="1"/>
    <w:qFormat/>
    <w:uiPriority w:val="0"/>
    <w:pPr>
      <w:jc w:val="left"/>
    </w:pPr>
  </w:style>
  <w:style w:type="paragraph" w:styleId="6">
    <w:name w:val="Body Text"/>
    <w:next w:val="1"/>
    <w:qFormat/>
    <w:uiPriority w:val="1"/>
    <w:pPr>
      <w:widowControl w:val="0"/>
      <w:jc w:val="both"/>
    </w:pPr>
    <w:rPr>
      <w:rFonts w:ascii="宋体" w:hAnsi="宋体" w:eastAsia="宋体" w:cs="宋体"/>
      <w:kern w:val="2"/>
      <w:sz w:val="32"/>
      <w:szCs w:val="32"/>
      <w:lang w:val="zh-CN" w:eastAsia="zh-CN" w:bidi="zh-CN"/>
    </w:rPr>
  </w:style>
  <w:style w:type="paragraph" w:styleId="7">
    <w:name w:val="Body Text Indent"/>
    <w:basedOn w:val="1"/>
    <w:qFormat/>
    <w:uiPriority w:val="0"/>
    <w:pPr>
      <w:widowControl w:val="0"/>
      <w:spacing w:line="500" w:lineRule="exact"/>
      <w:ind w:left="1588" w:leftChars="832" w:firstLine="433" w:firstLineChars="196"/>
      <w:jc w:val="both"/>
    </w:pPr>
    <w:rPr>
      <w:rFonts w:asciiTheme="minorHAnsi" w:hAnsiTheme="minorHAnsi" w:eastAsiaTheme="minorEastAsia" w:cstheme="minorBidi"/>
      <w:kern w:val="2"/>
      <w:sz w:val="24"/>
      <w:szCs w:val="24"/>
      <w:lang w:val="en-US" w:eastAsia="zh-CN" w:bidi="ar-SA"/>
    </w:rPr>
  </w:style>
  <w:style w:type="paragraph" w:styleId="8">
    <w:name w:val="toc 3"/>
    <w:basedOn w:val="1"/>
    <w:next w:val="1"/>
    <w:qFormat/>
    <w:uiPriority w:val="0"/>
    <w:pPr>
      <w:ind w:left="840" w:leftChars="400"/>
    </w:pPr>
  </w:style>
  <w:style w:type="paragraph" w:styleId="9">
    <w:name w:val="footer"/>
    <w:basedOn w:val="1"/>
    <w:qFormat/>
    <w:uiPriority w:val="0"/>
    <w:pPr>
      <w:tabs>
        <w:tab w:val="center" w:pos="4153"/>
        <w:tab w:val="right" w:pos="8306"/>
      </w:tabs>
      <w:snapToGrid w:val="0"/>
      <w:jc w:val="left"/>
    </w:pPr>
    <w:rPr>
      <w:sz w:val="18"/>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toc 1"/>
    <w:basedOn w:val="1"/>
    <w:next w:val="1"/>
    <w:qFormat/>
    <w:uiPriority w:val="0"/>
  </w:style>
  <w:style w:type="paragraph" w:styleId="12">
    <w:name w:val="toc 2"/>
    <w:basedOn w:val="1"/>
    <w:next w:val="1"/>
    <w:qFormat/>
    <w:uiPriority w:val="0"/>
    <w:pPr>
      <w:ind w:left="420" w:leftChars="200"/>
    </w:pPr>
  </w:style>
  <w:style w:type="paragraph" w:styleId="13">
    <w:name w:val="Normal (Web)"/>
    <w:basedOn w:val="1"/>
    <w:qFormat/>
    <w:uiPriority w:val="0"/>
    <w:pPr>
      <w:spacing w:before="0" w:beforeAutospacing="1" w:after="0" w:afterAutospacing="1"/>
      <w:ind w:left="0" w:right="0"/>
      <w:jc w:val="left"/>
    </w:pPr>
    <w:rPr>
      <w:kern w:val="0"/>
      <w:sz w:val="24"/>
      <w:lang w:val="en-US" w:eastAsia="zh-CN" w:bidi="ar"/>
    </w:rPr>
  </w:style>
  <w:style w:type="paragraph" w:styleId="14">
    <w:name w:val="Body Text First Indent 2"/>
    <w:basedOn w:val="7"/>
    <w:next w:val="1"/>
    <w:qFormat/>
    <w:uiPriority w:val="0"/>
    <w:pPr>
      <w:widowControl w:val="0"/>
      <w:spacing w:after="120" w:line="240" w:lineRule="auto"/>
      <w:ind w:left="420" w:leftChars="200" w:firstLine="420" w:firstLineChars="200"/>
      <w:jc w:val="both"/>
    </w:pPr>
    <w:rPr>
      <w:rFonts w:asciiTheme="minorHAnsi" w:hAnsiTheme="minorHAnsi" w:eastAsiaTheme="minorEastAsia" w:cstheme="minorBidi"/>
      <w:kern w:val="2"/>
      <w:sz w:val="21"/>
      <w:szCs w:val="24"/>
      <w:lang w:val="en-US" w:eastAsia="zh-CN" w:bidi="ar-SA"/>
    </w:rPr>
  </w:style>
  <w:style w:type="table" w:styleId="16">
    <w:name w:val="Table Grid"/>
    <w:basedOn w:val="15"/>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8">
    <w:name w:val="Strong"/>
    <w:basedOn w:val="17"/>
    <w:qFormat/>
    <w:uiPriority w:val="0"/>
    <w:rPr>
      <w:b/>
    </w:rPr>
  </w:style>
  <w:style w:type="character" w:styleId="19">
    <w:name w:val="Hyperlink"/>
    <w:basedOn w:val="17"/>
    <w:qFormat/>
    <w:uiPriority w:val="0"/>
    <w:rPr>
      <w:color w:val="0000FF"/>
      <w:u w:val="single"/>
    </w:rPr>
  </w:style>
  <w:style w:type="paragraph" w:customStyle="1" w:styleId="20">
    <w:name w:val="List Paragraph"/>
    <w:qFormat/>
    <w:uiPriority w:val="34"/>
    <w:pPr>
      <w:widowControl w:val="0"/>
      <w:ind w:firstLine="420" w:firstLineChars="200"/>
      <w:jc w:val="both"/>
    </w:pPr>
    <w:rPr>
      <w:rFonts w:asciiTheme="minorHAnsi" w:hAnsiTheme="minorHAnsi" w:eastAsiaTheme="minorEastAsia" w:cstheme="minorBidi"/>
      <w:kern w:val="2"/>
      <w:sz w:val="21"/>
      <w:szCs w:val="24"/>
      <w:lang w:val="en-US" w:eastAsia="zh-CN" w:bidi="ar-SA"/>
    </w:rPr>
  </w:style>
  <w:style w:type="paragraph" w:customStyle="1" w:styleId="21">
    <w:name w:val="p0"/>
    <w:qFormat/>
    <w:uiPriority w:val="0"/>
    <w:pPr>
      <w:widowControl w:val="0"/>
      <w:jc w:val="both"/>
    </w:pPr>
    <w:rPr>
      <w:rFonts w:ascii="Calibri" w:hAnsi="Calibri" w:eastAsiaTheme="minorEastAsia" w:cstheme="minorBidi"/>
      <w:kern w:val="2"/>
      <w:sz w:val="21"/>
      <w:szCs w:val="24"/>
      <w:lang w:val="en-US" w:eastAsia="zh-CN" w:bidi="ar-SA"/>
    </w:rPr>
  </w:style>
  <w:style w:type="character" w:customStyle="1" w:styleId="22">
    <w:name w:val="font61"/>
    <w:basedOn w:val="17"/>
    <w:qFormat/>
    <w:uiPriority w:val="0"/>
    <w:rPr>
      <w:rFonts w:hint="eastAsia" w:ascii="仿宋" w:hAnsi="仿宋" w:eastAsia="仿宋" w:cs="仿宋"/>
      <w:color w:val="FF0000"/>
      <w:sz w:val="18"/>
      <w:szCs w:val="18"/>
      <w:u w:val="none"/>
    </w:rPr>
  </w:style>
  <w:style w:type="character" w:customStyle="1" w:styleId="23">
    <w:name w:val="font01"/>
    <w:basedOn w:val="17"/>
    <w:qFormat/>
    <w:uiPriority w:val="0"/>
    <w:rPr>
      <w:rFonts w:hint="eastAsia" w:ascii="仿宋" w:hAnsi="仿宋" w:eastAsia="仿宋" w:cs="仿宋"/>
      <w:color w:val="000000"/>
      <w:sz w:val="18"/>
      <w:szCs w:val="18"/>
      <w:u w:val="none"/>
    </w:rPr>
  </w:style>
  <w:style w:type="paragraph" w:customStyle="1" w:styleId="24">
    <w:name w:val="WPSOffice手动目录 1"/>
    <w:qFormat/>
    <w:uiPriority w:val="0"/>
    <w:rPr>
      <w:rFonts w:ascii="Times New Roman" w:hAnsi="Times New Roman" w:eastAsia="宋体" w:cs="Times New Roman"/>
      <w:lang w:val="en-US" w:eastAsia="zh-CN" w:bidi="ar-SA"/>
    </w:rPr>
  </w:style>
  <w:style w:type="paragraph" w:customStyle="1" w:styleId="25">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26">
    <w:name w:val="WPSOffice手动目录 3"/>
    <w:qFormat/>
    <w:uiPriority w:val="0"/>
    <w:pPr>
      <w:ind w:leftChars="400"/>
    </w:pPr>
    <w:rPr>
      <w:rFonts w:ascii="Times New Roman" w:hAnsi="Times New Roman" w:eastAsia="宋体" w:cs="Times New Roman"/>
      <w:sz w:val="20"/>
      <w:szCs w:val="20"/>
    </w:rPr>
  </w:style>
  <w:style w:type="character" w:customStyle="1" w:styleId="27">
    <w:name w:val="font31"/>
    <w:basedOn w:val="17"/>
    <w:qFormat/>
    <w:uiPriority w:val="0"/>
    <w:rPr>
      <w:rFonts w:hint="eastAsia" w:ascii="仿宋" w:hAnsi="仿宋" w:eastAsia="仿宋" w:cs="仿宋"/>
      <w:color w:val="000000"/>
      <w:sz w:val="21"/>
      <w:szCs w:val="21"/>
      <w:u w:val="none"/>
    </w:rPr>
  </w:style>
  <w:style w:type="character" w:customStyle="1" w:styleId="28">
    <w:name w:val="font21"/>
    <w:basedOn w:val="17"/>
    <w:qFormat/>
    <w:uiPriority w:val="0"/>
    <w:rPr>
      <w:rFonts w:hint="eastAsia" w:ascii="仿宋" w:hAnsi="仿宋" w:eastAsia="仿宋" w:cs="仿宋"/>
      <w:color w:val="000000"/>
      <w:sz w:val="21"/>
      <w:szCs w:val="21"/>
      <w:u w:val="none"/>
    </w:rPr>
  </w:style>
  <w:style w:type="character" w:customStyle="1" w:styleId="29">
    <w:name w:val="font41"/>
    <w:basedOn w:val="17"/>
    <w:qFormat/>
    <w:uiPriority w:val="0"/>
    <w:rPr>
      <w:rFonts w:ascii="Symbol" w:hAnsi="Symbol" w:cs="Symbol"/>
      <w:color w:val="000000"/>
      <w:sz w:val="20"/>
      <w:szCs w:val="20"/>
      <w:u w:val="none"/>
    </w:rPr>
  </w:style>
  <w:style w:type="character" w:customStyle="1" w:styleId="30">
    <w:name w:val="font11"/>
    <w:basedOn w:val="17"/>
    <w:qFormat/>
    <w:uiPriority w:val="0"/>
    <w:rPr>
      <w:rFonts w:hint="eastAsia" w:ascii="宋体" w:hAnsi="宋体" w:eastAsia="宋体" w:cs="宋体"/>
      <w:color w:val="000000"/>
      <w:sz w:val="20"/>
      <w:szCs w:val="20"/>
      <w:u w:val="none"/>
    </w:rPr>
  </w:style>
  <w:style w:type="paragraph" w:customStyle="1" w:styleId="31">
    <w:name w:val="TOC Heading"/>
    <w:basedOn w:val="2"/>
    <w:next w:val="1"/>
    <w:unhideWhenUsed/>
    <w:qFormat/>
    <w:uiPriority w:val="39"/>
    <w:pPr>
      <w:spacing w:before="240" w:after="0" w:line="259" w:lineRule="auto"/>
      <w:outlineLvl w:val="9"/>
    </w:pPr>
    <w:rPr>
      <w:rFonts w:asciiTheme="majorHAnsi" w:hAnsiTheme="majorHAnsi" w:eastAsiaTheme="majorEastAsia" w:cstheme="majorBidi"/>
      <w:b w:val="0"/>
      <w:color w:val="2E75B6" w:themeColor="accent1" w:themeShade="BF"/>
      <w:kern w:val="0"/>
      <w:sz w:val="32"/>
      <w:szCs w:val="32"/>
    </w:rPr>
  </w:style>
  <w:style w:type="paragraph" w:customStyle="1" w:styleId="32">
    <w:name w:val="_Style 13"/>
    <w:qFormat/>
    <w:uiPriority w:val="0"/>
    <w:pPr>
      <w:spacing w:before="120" w:after="120" w:line="288" w:lineRule="auto"/>
      <w:ind w:left="0"/>
      <w:jc w:val="left"/>
    </w:pPr>
    <w:rPr>
      <w:rFonts w:ascii="Arial" w:hAnsi="Arial" w:eastAsia="等线" w:cs="Arial"/>
      <w:sz w:val="22"/>
      <w:szCs w:val="22"/>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6" Type="http://schemas.openxmlformats.org/officeDocument/2006/relationships/fontTable" Target="fontTable.xml"/><Relationship Id="rId45" Type="http://schemas.openxmlformats.org/officeDocument/2006/relationships/customXml" Target="../customXml/item1.xml"/><Relationship Id="rId44" Type="http://schemas.openxmlformats.org/officeDocument/2006/relationships/image" Target="media/image25.png"/><Relationship Id="rId43" Type="http://schemas.openxmlformats.org/officeDocument/2006/relationships/image" Target="media/image24.png"/><Relationship Id="rId42" Type="http://schemas.openxmlformats.org/officeDocument/2006/relationships/image" Target="media/image23.png"/><Relationship Id="rId41" Type="http://schemas.openxmlformats.org/officeDocument/2006/relationships/image" Target="media/image22.png"/><Relationship Id="rId40" Type="http://schemas.openxmlformats.org/officeDocument/2006/relationships/image" Target="media/image21.png"/><Relationship Id="rId4" Type="http://schemas.openxmlformats.org/officeDocument/2006/relationships/footer" Target="footer1.xml"/><Relationship Id="rId39" Type="http://schemas.openxmlformats.org/officeDocument/2006/relationships/image" Target="media/image20.png"/><Relationship Id="rId38" Type="http://schemas.openxmlformats.org/officeDocument/2006/relationships/image" Target="media/image19.png"/><Relationship Id="rId37" Type="http://schemas.openxmlformats.org/officeDocument/2006/relationships/image" Target="media/image18.png"/><Relationship Id="rId36" Type="http://schemas.openxmlformats.org/officeDocument/2006/relationships/image" Target="media/image17.png"/><Relationship Id="rId35" Type="http://schemas.openxmlformats.org/officeDocument/2006/relationships/image" Target="media/image16.png"/><Relationship Id="rId34" Type="http://schemas.openxmlformats.org/officeDocument/2006/relationships/image" Target="media/image15.png"/><Relationship Id="rId33" Type="http://schemas.openxmlformats.org/officeDocument/2006/relationships/image" Target="media/image14.png"/><Relationship Id="rId32" Type="http://schemas.openxmlformats.org/officeDocument/2006/relationships/image" Target="media/image13.png"/><Relationship Id="rId31" Type="http://schemas.openxmlformats.org/officeDocument/2006/relationships/image" Target="media/image12.png"/><Relationship Id="rId30" Type="http://schemas.openxmlformats.org/officeDocument/2006/relationships/image" Target="media/image11.png"/><Relationship Id="rId3" Type="http://schemas.openxmlformats.org/officeDocument/2006/relationships/header" Target="header1.xml"/><Relationship Id="rId29" Type="http://schemas.openxmlformats.org/officeDocument/2006/relationships/image" Target="media/image10.png"/><Relationship Id="rId28" Type="http://schemas.openxmlformats.org/officeDocument/2006/relationships/image" Target="media/image9.png"/><Relationship Id="rId27" Type="http://schemas.openxmlformats.org/officeDocument/2006/relationships/image" Target="media/image8.png"/><Relationship Id="rId26" Type="http://schemas.openxmlformats.org/officeDocument/2006/relationships/image" Target="media/image7.png"/><Relationship Id="rId25" Type="http://schemas.openxmlformats.org/officeDocument/2006/relationships/image" Target="media/image6.png"/><Relationship Id="rId24" Type="http://schemas.openxmlformats.org/officeDocument/2006/relationships/image" Target="media/image5.png"/><Relationship Id="rId23" Type="http://schemas.openxmlformats.org/officeDocument/2006/relationships/image" Target="media/image4.png"/><Relationship Id="rId22" Type="http://schemas.openxmlformats.org/officeDocument/2006/relationships/image" Target="media/image3.png"/><Relationship Id="rId21" Type="http://schemas.openxmlformats.org/officeDocument/2006/relationships/chart" Target="charts/chart1.xml"/><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theme" Target="theme/theme1.xml"/><Relationship Id="rId18" Type="http://schemas.openxmlformats.org/officeDocument/2006/relationships/header" Target="header10.xml"/><Relationship Id="rId17" Type="http://schemas.openxmlformats.org/officeDocument/2006/relationships/header" Target="header9.xml"/><Relationship Id="rId16" Type="http://schemas.openxmlformats.org/officeDocument/2006/relationships/header" Target="header8.xml"/><Relationship Id="rId15" Type="http://schemas.openxmlformats.org/officeDocument/2006/relationships/header" Target="header7.xml"/><Relationship Id="rId14" Type="http://schemas.openxmlformats.org/officeDocument/2006/relationships/footer" Target="footer6.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G:\&#20013;&#24515;&#39033;&#30446;\&#30707;&#29422;&#24066;&#37325;&#28857;&#39033;&#30446;&#35780;&#20215;\&#27745;&#26579;&#27835;&#29702;&#21644;&#33410;&#33021;&#20943;&#30899;&#19987;&#39033;&#65288;&#33410;&#33021;&#20943;&#30899;&#26041;&#21521;&#65289;\&#25351;&#26631;&#20307;&#31995;&#65288;&#33410;&#33021;&#20943;&#30899;&#6528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'[指标体系（节能减碳）.xlsx]Sheet1'!$B$1</c:f>
              <c:strCache>
                <c:ptCount val="1"/>
                <c:pt idx="0">
                  <c:v>分值</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'[指标体系（节能减碳）.xlsx]Sheet1'!$A$2:$A$5</c:f>
              <c:strCache>
                <c:ptCount val="4"/>
                <c:pt idx="0">
                  <c:v>决策　</c:v>
                </c:pt>
                <c:pt idx="1">
                  <c:v>过程</c:v>
                </c:pt>
                <c:pt idx="2">
                  <c:v>产出</c:v>
                </c:pt>
                <c:pt idx="3">
                  <c:v>效益</c:v>
                </c:pt>
              </c:strCache>
            </c:strRef>
          </c:cat>
          <c:val>
            <c:numRef>
              <c:f>'[指标体系（节能减碳）.xlsx]Sheet1'!$B$2:$B$5</c:f>
              <c:numCache>
                <c:formatCode>General</c:formatCode>
                <c:ptCount val="4"/>
                <c:pt idx="0">
                  <c:v>18</c:v>
                </c:pt>
                <c:pt idx="1">
                  <c:v>20</c:v>
                </c:pt>
                <c:pt idx="2">
                  <c:v>39</c:v>
                </c:pt>
                <c:pt idx="3">
                  <c:v>23</c:v>
                </c:pt>
              </c:numCache>
            </c:numRef>
          </c:val>
        </c:ser>
        <c:ser>
          <c:idx val="1"/>
          <c:order val="1"/>
          <c:tx>
            <c:strRef>
              <c:f>'[指标体系（节能减碳）.xlsx]Sheet1'!$C$1</c:f>
              <c:strCache>
                <c:ptCount val="1"/>
                <c:pt idx="0">
                  <c:v>得分</c:v>
                </c:pt>
              </c:strCache>
            </c:strRef>
          </c:tx>
          <c:spPr>
            <a:pattFill prst="narHorz">
              <a:fgClr>
                <a:schemeClr val="accent2"/>
              </a:fgClr>
              <a:bgClr>
                <a:schemeClr val="accent2">
                  <a:lumMod val="20000"/>
                  <a:lumOff val="80000"/>
                </a:schemeClr>
              </a:bgClr>
            </a:pattFill>
            <a:ln>
              <a:noFill/>
            </a:ln>
            <a:effectLst>
              <a:innerShdw blurRad="114300">
                <a:schemeClr val="accent2"/>
              </a:innerShdw>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'[指标体系（节能减碳）.xlsx]Sheet1'!$A$2:$A$5</c:f>
              <c:strCache>
                <c:ptCount val="4"/>
                <c:pt idx="0">
                  <c:v>决策　</c:v>
                </c:pt>
                <c:pt idx="1">
                  <c:v>过程</c:v>
                </c:pt>
                <c:pt idx="2">
                  <c:v>产出</c:v>
                </c:pt>
                <c:pt idx="3">
                  <c:v>效益</c:v>
                </c:pt>
              </c:strCache>
            </c:strRef>
          </c:cat>
          <c:val>
            <c:numRef>
              <c:f>'[指标体系（节能减碳）.xlsx]Sheet1'!$C$2:$C$5</c:f>
              <c:numCache>
                <c:formatCode>General</c:formatCode>
                <c:ptCount val="4"/>
                <c:pt idx="0">
                  <c:v>17</c:v>
                </c:pt>
                <c:pt idx="1">
                  <c:v>12</c:v>
                </c:pt>
                <c:pt idx="2">
                  <c:v>21</c:v>
                </c:pt>
                <c:pt idx="3">
                  <c:v>23</c:v>
                </c:pt>
              </c:numCache>
            </c:numRef>
          </c:val>
        </c:ser>
        <c:dLbls>
          <c:showLegendKey val="0"/>
          <c:showVal val="1"/>
          <c:showCatName val="0"/>
          <c:showSerName val="0"/>
          <c:showPercent val="0"/>
          <c:showBubbleSize val="0"/>
        </c:dLbls>
        <c:gapWidth val="164"/>
        <c:overlap val="-22"/>
        <c:axId val="675893621"/>
        <c:axId val="626201601"/>
      </c:barChart>
      <c:catAx>
        <c:axId val="675893621"/>
        <c:scaling>
          <c:orientation val="minMax"/>
        </c:scaling>
        <c:delete val="0"/>
        <c:axPos val="b"/>
        <c:majorTickMark val="none"/>
        <c:minorTickMark val="none"/>
        <c:tickLblPos val="nextTo"/>
        <c:spPr>
          <a:noFill/>
          <a:ln w="19050"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626201601"/>
        <c:crosses val="autoZero"/>
        <c:auto val="1"/>
        <c:lblAlgn val="ctr"/>
        <c:lblOffset val="100"/>
        <c:noMultiLvlLbl val="0"/>
      </c:catAx>
      <c:valAx>
        <c:axId val="626201601"/>
        <c:scaling>
          <c:orientation val="minMax"/>
        </c:scaling>
        <c:delete val="0"/>
        <c:axPos val="l"/>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675893621"/>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dTable>
      <c:spPr>
        <a:noFill/>
        <a:ln>
          <a:noFill/>
        </a:ln>
        <a:effectLst/>
      </c:spPr>
    </c:plotArea>
    <c:legend>
      <c:legendPos val="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53936d3f-487d-4bcd-b059-a9986291efa4}"/>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70</Pages>
  <Words>2346</Words>
  <Characters>2472</Characters>
  <Lines>0</Lines>
  <Paragraphs>0</Paragraphs>
  <TotalTime>38</TotalTime>
  <ScaleCrop>false</ScaleCrop>
  <LinksUpToDate>false</LinksUpToDate>
  <CharactersWithSpaces>2664</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2021-11-14T08:56:00Z</dcterms:created>
  <dc:creator>Admin</dc:creator>
  <cp:lastModifiedBy>Day丶17</cp:lastModifiedBy>
  <cp:lastPrinted>2024-06-24T07:42:00Z</cp:lastPrinted>
  <dcterms:modified xsi:type="dcterms:W3CDTF">2026-07-20T02:38:07Z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4C35432AB1C04AB8AED70882A6409E89_13</vt:lpwstr>
  </property>
  <property fmtid="{D5CDD505-2E9C-101B-9397-08002B2CF9AE}" pid="4" name="KSOTemplateDocerSaveRecord">
    <vt:lpwstr>eyJoZGlkIjoiZDI1YTc4ZGRlZTE4ZWFlMjI5YmQ4MzczOGY3NmZhOGMiLCJ1c2VySWQiOiI0Njc0NjIyMzcifQ==</vt:lpwstr>
  </property>
</Properties>
</file>