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86062">
      <w:pPr>
        <w:keepNext w:val="0"/>
        <w:keepLines w:val="0"/>
        <w:pageBreakBefore w:val="0"/>
        <w:widowControl w:val="0"/>
        <w:kinsoku/>
        <w:wordWrap/>
        <w:overflowPunct/>
        <w:topLinePunct w:val="0"/>
        <w:autoSpaceDE/>
        <w:autoSpaceDN/>
        <w:bidi w:val="0"/>
        <w:adjustRightInd/>
        <w:snapToGrid/>
        <w:jc w:val="center"/>
        <w:textAlignment w:val="auto"/>
        <w:rPr>
          <w:rFonts w:hint="default" w:eastAsiaTheme="minorEastAsia"/>
          <w:lang w:val="en-US" w:eastAsia="zh-CN"/>
        </w:rPr>
      </w:pPr>
    </w:p>
    <w:p w14:paraId="35BD408A">
      <w:pPr>
        <w:keepNext w:val="0"/>
        <w:keepLines w:val="0"/>
        <w:pageBreakBefore w:val="0"/>
        <w:widowControl w:val="0"/>
        <w:kinsoku/>
        <w:wordWrap/>
        <w:overflowPunct/>
        <w:topLinePunct w:val="0"/>
        <w:autoSpaceDE/>
        <w:autoSpaceDN/>
        <w:bidi w:val="0"/>
        <w:adjustRightInd/>
        <w:snapToGrid/>
        <w:jc w:val="center"/>
        <w:textAlignment w:val="auto"/>
        <w:rPr>
          <w:rFonts w:hint="default" w:eastAsiaTheme="minorEastAsia"/>
          <w:lang w:val="en-US" w:eastAsia="zh-CN"/>
        </w:rPr>
      </w:pPr>
    </w:p>
    <w:p w14:paraId="37C45626">
      <w:pPr>
        <w:keepNext w:val="0"/>
        <w:keepLines w:val="0"/>
        <w:pageBreakBefore w:val="0"/>
        <w:widowControl w:val="0"/>
        <w:kinsoku/>
        <w:wordWrap/>
        <w:overflowPunct/>
        <w:topLinePunct w:val="0"/>
        <w:autoSpaceDE/>
        <w:autoSpaceDN/>
        <w:bidi w:val="0"/>
        <w:adjustRightInd/>
        <w:snapToGrid/>
        <w:jc w:val="center"/>
        <w:textAlignment w:val="auto"/>
        <w:rPr>
          <w:rFonts w:hint="default" w:eastAsiaTheme="minorEastAsia"/>
          <w:lang w:val="en-US" w:eastAsia="zh-CN"/>
        </w:rPr>
      </w:pPr>
    </w:p>
    <w:p w14:paraId="3A8EDCE8">
      <w:pPr>
        <w:keepNext w:val="0"/>
        <w:keepLines w:val="0"/>
        <w:pageBreakBefore w:val="0"/>
        <w:widowControl w:val="0"/>
        <w:kinsoku/>
        <w:wordWrap/>
        <w:overflowPunct/>
        <w:topLinePunct w:val="0"/>
        <w:autoSpaceDE/>
        <w:autoSpaceDN/>
        <w:bidi w:val="0"/>
        <w:adjustRightInd/>
        <w:snapToGrid/>
        <w:jc w:val="center"/>
        <w:textAlignment w:val="auto"/>
        <w:rPr>
          <w:rFonts w:hint="default" w:eastAsiaTheme="minorEastAsia"/>
          <w:lang w:val="en-US" w:eastAsia="zh-CN"/>
        </w:rPr>
      </w:pPr>
    </w:p>
    <w:p w14:paraId="6467AFEB">
      <w:pPr>
        <w:keepNext w:val="0"/>
        <w:keepLines w:val="0"/>
        <w:pageBreakBefore w:val="0"/>
        <w:widowControl w:val="0"/>
        <w:kinsoku/>
        <w:wordWrap/>
        <w:overflowPunct/>
        <w:topLinePunct w:val="0"/>
        <w:autoSpaceDE/>
        <w:autoSpaceDN/>
        <w:bidi w:val="0"/>
        <w:adjustRightInd/>
        <w:snapToGrid/>
        <w:jc w:val="center"/>
        <w:textAlignment w:val="auto"/>
        <w:rPr>
          <w:rFonts w:hint="default" w:eastAsiaTheme="minorEastAsia"/>
          <w:lang w:val="en-US" w:eastAsia="zh-CN"/>
        </w:rPr>
      </w:pPr>
    </w:p>
    <w:p w14:paraId="171A1CBB">
      <w:pPr>
        <w:jc w:val="center"/>
        <w:rPr>
          <w:rFonts w:hint="eastAsia" w:ascii="华文行楷" w:hAnsi="华文行楷" w:eastAsia="华文行楷" w:cs="华文行楷"/>
          <w:b w:val="0"/>
          <w:bCs/>
          <w:color w:val="auto"/>
          <w:sz w:val="192"/>
          <w:szCs w:val="22"/>
        </w:rPr>
      </w:pPr>
      <w:r>
        <w:rPr>
          <w:rFonts w:hint="eastAsia" w:ascii="华文行楷" w:hAnsi="华文行楷" w:eastAsia="华文行楷" w:cs="华文行楷"/>
          <w:b w:val="0"/>
          <w:bCs/>
          <w:color w:val="auto"/>
          <w:sz w:val="200"/>
          <w:szCs w:val="24"/>
        </w:rPr>
        <w:t>报告书</w:t>
      </w:r>
    </w:p>
    <w:p w14:paraId="6B2DF1EB">
      <w:pPr>
        <w:keepNext w:val="0"/>
        <w:keepLines w:val="0"/>
        <w:pageBreakBefore w:val="0"/>
        <w:widowControl w:val="0"/>
        <w:kinsoku/>
        <w:wordWrap/>
        <w:overflowPunct/>
        <w:topLinePunct w:val="0"/>
        <w:autoSpaceDE/>
        <w:autoSpaceDN/>
        <w:bidi w:val="0"/>
        <w:adjustRightInd/>
        <w:snapToGrid/>
        <w:ind w:leftChars="400"/>
        <w:jc w:val="left"/>
        <w:textAlignment w:val="auto"/>
        <w:rPr>
          <w:rFonts w:hint="default" w:eastAsiaTheme="minorEastAsia"/>
          <w:lang w:val="en-US" w:eastAsia="zh-CN"/>
        </w:rPr>
      </w:pPr>
    </w:p>
    <w:p w14:paraId="659656A4">
      <w:pPr>
        <w:keepNext w:val="0"/>
        <w:keepLines w:val="0"/>
        <w:pageBreakBefore w:val="0"/>
        <w:widowControl w:val="0"/>
        <w:kinsoku/>
        <w:wordWrap/>
        <w:overflowPunct/>
        <w:topLinePunct w:val="0"/>
        <w:autoSpaceDE/>
        <w:autoSpaceDN/>
        <w:bidi w:val="0"/>
        <w:adjustRightInd/>
        <w:snapToGrid/>
        <w:ind w:leftChars="400"/>
        <w:jc w:val="left"/>
        <w:textAlignment w:val="auto"/>
        <w:rPr>
          <w:rFonts w:hint="default" w:eastAsiaTheme="minorEastAsia"/>
          <w:lang w:val="en-US" w:eastAsia="zh-CN"/>
        </w:rPr>
      </w:pPr>
    </w:p>
    <w:p w14:paraId="7ABED8A6">
      <w:pPr>
        <w:keepNext w:val="0"/>
        <w:keepLines w:val="0"/>
        <w:pageBreakBefore w:val="0"/>
        <w:widowControl w:val="0"/>
        <w:kinsoku/>
        <w:wordWrap/>
        <w:overflowPunct/>
        <w:topLinePunct w:val="0"/>
        <w:autoSpaceDE/>
        <w:autoSpaceDN/>
        <w:bidi w:val="0"/>
        <w:adjustRightInd/>
        <w:snapToGrid/>
        <w:ind w:leftChars="400"/>
        <w:jc w:val="left"/>
        <w:textAlignment w:val="auto"/>
        <w:rPr>
          <w:rFonts w:hint="default" w:eastAsiaTheme="minorEastAsia"/>
          <w:lang w:val="en-US" w:eastAsia="zh-CN"/>
        </w:rPr>
      </w:pPr>
    </w:p>
    <w:p w14:paraId="0BC7CCF1">
      <w:pPr>
        <w:keepNext w:val="0"/>
        <w:keepLines w:val="0"/>
        <w:pageBreakBefore w:val="0"/>
        <w:widowControl w:val="0"/>
        <w:kinsoku/>
        <w:wordWrap/>
        <w:overflowPunct/>
        <w:topLinePunct w:val="0"/>
        <w:autoSpaceDE/>
        <w:autoSpaceDN/>
        <w:bidi w:val="0"/>
        <w:adjustRightInd/>
        <w:snapToGrid/>
        <w:ind w:leftChars="400"/>
        <w:jc w:val="left"/>
        <w:textAlignment w:val="auto"/>
        <w:rPr>
          <w:rFonts w:hint="default" w:eastAsiaTheme="minorEastAsia"/>
          <w:lang w:val="en-US" w:eastAsia="zh-CN"/>
        </w:rPr>
      </w:pPr>
    </w:p>
    <w:p w14:paraId="2EE5C6FA">
      <w:pPr>
        <w:keepNext w:val="0"/>
        <w:keepLines w:val="0"/>
        <w:pageBreakBefore w:val="0"/>
        <w:widowControl w:val="0"/>
        <w:kinsoku/>
        <w:wordWrap/>
        <w:overflowPunct/>
        <w:topLinePunct w:val="0"/>
        <w:autoSpaceDE/>
        <w:autoSpaceDN/>
        <w:bidi w:val="0"/>
        <w:adjustRightInd/>
        <w:snapToGrid/>
        <w:ind w:leftChars="400"/>
        <w:jc w:val="left"/>
        <w:textAlignment w:val="auto"/>
        <w:rPr>
          <w:rFonts w:hint="default" w:eastAsiaTheme="minorEastAsia"/>
          <w:lang w:val="en-US" w:eastAsia="zh-CN"/>
        </w:rPr>
      </w:pPr>
    </w:p>
    <w:p w14:paraId="0BE8D4DA">
      <w:pPr>
        <w:keepNext w:val="0"/>
        <w:keepLines w:val="0"/>
        <w:pageBreakBefore w:val="0"/>
        <w:widowControl w:val="0"/>
        <w:kinsoku/>
        <w:wordWrap/>
        <w:overflowPunct/>
        <w:topLinePunct w:val="0"/>
        <w:autoSpaceDE/>
        <w:autoSpaceDN/>
        <w:bidi w:val="0"/>
        <w:adjustRightInd/>
        <w:snapToGrid/>
        <w:jc w:val="left"/>
        <w:textAlignment w:val="auto"/>
        <w:rPr>
          <w:rFonts w:hint="default" w:eastAsiaTheme="minorEastAsia"/>
          <w:lang w:val="en-US" w:eastAsia="zh-CN"/>
        </w:rPr>
      </w:pPr>
    </w:p>
    <w:p w14:paraId="5BF4DC26">
      <w:pPr>
        <w:keepNext w:val="0"/>
        <w:keepLines w:val="0"/>
        <w:pageBreakBefore w:val="0"/>
        <w:widowControl w:val="0"/>
        <w:kinsoku/>
        <w:wordWrap/>
        <w:overflowPunct/>
        <w:topLinePunct w:val="0"/>
        <w:autoSpaceDE/>
        <w:autoSpaceDN/>
        <w:bidi w:val="0"/>
        <w:adjustRightInd/>
        <w:snapToGrid/>
        <w:jc w:val="left"/>
        <w:textAlignment w:val="auto"/>
        <w:rPr>
          <w:rFonts w:hint="default" w:eastAsiaTheme="minorEastAsia"/>
          <w:lang w:val="en-US" w:eastAsia="zh-CN"/>
        </w:rPr>
      </w:pPr>
    </w:p>
    <w:p w14:paraId="697B8D23">
      <w:pPr>
        <w:keepNext w:val="0"/>
        <w:keepLines w:val="0"/>
        <w:pageBreakBefore w:val="0"/>
        <w:widowControl w:val="0"/>
        <w:kinsoku/>
        <w:wordWrap/>
        <w:overflowPunct/>
        <w:topLinePunct w:val="0"/>
        <w:autoSpaceDE/>
        <w:autoSpaceDN/>
        <w:bidi w:val="0"/>
        <w:adjustRightInd/>
        <w:snapToGrid/>
        <w:ind w:leftChars="400"/>
        <w:jc w:val="left"/>
        <w:textAlignment w:val="auto"/>
        <w:rPr>
          <w:rFonts w:hint="default" w:eastAsiaTheme="minorEastAsia"/>
          <w:lang w:val="en-US" w:eastAsia="zh-CN"/>
        </w:rPr>
      </w:pPr>
    </w:p>
    <w:p w14:paraId="73081021">
      <w:pPr>
        <w:keepNext w:val="0"/>
        <w:keepLines w:val="0"/>
        <w:pageBreakBefore w:val="0"/>
        <w:widowControl w:val="0"/>
        <w:kinsoku/>
        <w:wordWrap/>
        <w:overflowPunct/>
        <w:topLinePunct w:val="0"/>
        <w:autoSpaceDE/>
        <w:autoSpaceDN/>
        <w:bidi w:val="0"/>
        <w:adjustRightInd/>
        <w:snapToGrid/>
        <w:ind w:leftChars="400"/>
        <w:jc w:val="left"/>
        <w:textAlignment w:val="auto"/>
        <w:rPr>
          <w:rFonts w:hint="default" w:eastAsiaTheme="minorEastAsia"/>
          <w:lang w:val="en-US" w:eastAsia="zh-CN"/>
        </w:rPr>
      </w:pPr>
    </w:p>
    <w:p w14:paraId="50D072DF">
      <w:pPr>
        <w:keepNext w:val="0"/>
        <w:keepLines w:val="0"/>
        <w:pageBreakBefore w:val="0"/>
        <w:widowControl w:val="0"/>
        <w:kinsoku/>
        <w:wordWrap/>
        <w:overflowPunct/>
        <w:topLinePunct w:val="0"/>
        <w:autoSpaceDE/>
        <w:autoSpaceDN/>
        <w:bidi w:val="0"/>
        <w:adjustRightInd/>
        <w:snapToGrid/>
        <w:ind w:left="2209" w:leftChars="0" w:hanging="2209" w:hangingChars="500"/>
        <w:jc w:val="left"/>
        <w:textAlignment w:val="auto"/>
        <w:rPr>
          <w:rFonts w:hint="default" w:ascii="仿宋" w:hAnsi="仿宋" w:eastAsia="仿宋" w:cs="仿宋"/>
          <w:b/>
          <w:bCs/>
          <w:sz w:val="28"/>
          <w:szCs w:val="36"/>
          <w:lang w:val="en-US" w:eastAsia="zh-CN"/>
        </w:rPr>
      </w:pPr>
      <w:r>
        <w:rPr>
          <w:rFonts w:hint="eastAsia" w:ascii="仿宋" w:hAnsi="仿宋" w:eastAsia="仿宋" w:cs="仿宋"/>
          <w:b/>
          <w:bCs/>
          <w:sz w:val="44"/>
          <w:szCs w:val="52"/>
          <w:lang w:val="en-US" w:eastAsia="zh-CN"/>
        </w:rPr>
        <w:t>项目名称：</w:t>
      </w:r>
      <w:r>
        <w:rPr>
          <w:rFonts w:hint="eastAsia" w:ascii="仿宋" w:hAnsi="仿宋" w:eastAsia="仿宋" w:cs="仿宋"/>
          <w:b/>
          <w:bCs/>
          <w:sz w:val="32"/>
          <w:szCs w:val="40"/>
          <w:u w:val="thick"/>
          <w:lang w:val="en-US" w:eastAsia="zh-CN"/>
        </w:rPr>
        <w:t xml:space="preserve">石狮市2024年水路运输业相关补贴项目支出绩效评价           </w:t>
      </w:r>
      <w:r>
        <w:rPr>
          <w:rFonts w:hint="eastAsia" w:ascii="仿宋" w:hAnsi="仿宋" w:eastAsia="仿宋" w:cs="仿宋"/>
          <w:b/>
          <w:bCs/>
          <w:sz w:val="28"/>
          <w:szCs w:val="36"/>
          <w:u w:val="thick"/>
          <w:lang w:val="en-US" w:eastAsia="zh-CN"/>
        </w:rPr>
        <w:t xml:space="preserve">                                </w:t>
      </w:r>
    </w:p>
    <w:p w14:paraId="1B147A81">
      <w:pPr>
        <w:keepNext w:val="0"/>
        <w:keepLines w:val="0"/>
        <w:pageBreakBefore w:val="0"/>
        <w:widowControl w:val="0"/>
        <w:kinsoku/>
        <w:wordWrap/>
        <w:overflowPunct/>
        <w:topLinePunct w:val="0"/>
        <w:autoSpaceDE/>
        <w:autoSpaceDN/>
        <w:bidi w:val="0"/>
        <w:adjustRightInd/>
        <w:snapToGrid/>
        <w:ind w:left="0" w:leftChars="0"/>
        <w:jc w:val="left"/>
        <w:textAlignment w:val="auto"/>
        <w:rPr>
          <w:rFonts w:hint="eastAsia" w:ascii="仿宋" w:hAnsi="仿宋" w:eastAsia="仿宋" w:cs="仿宋"/>
          <w:b/>
          <w:bCs/>
          <w:sz w:val="44"/>
          <w:szCs w:val="52"/>
          <w:lang w:val="en-US" w:eastAsia="zh-CN"/>
        </w:rPr>
      </w:pPr>
      <w:r>
        <w:rPr>
          <w:rFonts w:hint="eastAsia" w:ascii="仿宋" w:hAnsi="仿宋" w:eastAsia="仿宋" w:cs="仿宋"/>
          <w:b/>
          <w:bCs/>
          <w:sz w:val="44"/>
          <w:szCs w:val="52"/>
          <w:lang w:val="en-US" w:eastAsia="zh-CN"/>
        </w:rPr>
        <w:t>委 托 方：</w:t>
      </w:r>
      <w:r>
        <w:rPr>
          <w:rFonts w:hint="eastAsia" w:ascii="仿宋" w:hAnsi="仿宋" w:eastAsia="仿宋" w:cs="仿宋"/>
          <w:b/>
          <w:bCs/>
          <w:sz w:val="32"/>
          <w:szCs w:val="40"/>
          <w:u w:val="thick"/>
          <w:lang w:val="en-US" w:eastAsia="zh-CN"/>
        </w:rPr>
        <w:t xml:space="preserve">石狮市财政局    </w:t>
      </w:r>
      <w:r>
        <w:rPr>
          <w:rFonts w:hint="eastAsia" w:ascii="仿宋" w:hAnsi="仿宋" w:eastAsia="仿宋" w:cs="仿宋"/>
          <w:b/>
          <w:bCs/>
          <w:sz w:val="28"/>
          <w:szCs w:val="36"/>
          <w:u w:val="thick"/>
          <w:lang w:val="en-US" w:eastAsia="zh-CN"/>
        </w:rPr>
        <w:t xml:space="preserve">                               </w:t>
      </w:r>
    </w:p>
    <w:p w14:paraId="0FE57935">
      <w:pPr>
        <w:keepNext w:val="0"/>
        <w:keepLines w:val="0"/>
        <w:pageBreakBefore w:val="0"/>
        <w:widowControl w:val="0"/>
        <w:kinsoku/>
        <w:wordWrap/>
        <w:overflowPunct/>
        <w:topLinePunct w:val="0"/>
        <w:autoSpaceDE/>
        <w:autoSpaceDN/>
        <w:bidi w:val="0"/>
        <w:adjustRightInd/>
        <w:snapToGrid/>
        <w:ind w:left="0" w:leftChars="0"/>
        <w:jc w:val="left"/>
        <w:textAlignment w:val="auto"/>
        <w:rPr>
          <w:rFonts w:hint="eastAsia" w:ascii="仿宋" w:hAnsi="仿宋" w:eastAsia="仿宋" w:cs="仿宋"/>
          <w:b/>
          <w:bCs/>
          <w:sz w:val="44"/>
          <w:szCs w:val="52"/>
          <w:u w:val="thick"/>
          <w:lang w:val="en-US" w:eastAsia="zh-CN"/>
        </w:rPr>
      </w:pPr>
      <w:r>
        <w:rPr>
          <w:rFonts w:hint="eastAsia" w:ascii="仿宋" w:hAnsi="仿宋" w:eastAsia="仿宋" w:cs="仿宋"/>
          <w:b/>
          <w:bCs/>
          <w:sz w:val="44"/>
          <w:szCs w:val="52"/>
          <w:lang w:val="en-US" w:eastAsia="zh-CN"/>
        </w:rPr>
        <w:t>项目单位：</w:t>
      </w:r>
      <w:r>
        <w:rPr>
          <w:rFonts w:hint="eastAsia" w:ascii="仿宋" w:hAnsi="仿宋" w:eastAsia="仿宋" w:cs="仿宋"/>
          <w:b/>
          <w:bCs/>
          <w:sz w:val="32"/>
          <w:szCs w:val="32"/>
          <w:u w:val="thick"/>
          <w:lang w:val="en-US" w:eastAsia="zh-CN"/>
        </w:rPr>
        <w:t xml:space="preserve">石狮市交通和港口发展局 </w:t>
      </w:r>
      <w:r>
        <w:rPr>
          <w:rFonts w:hint="eastAsia" w:ascii="仿宋" w:hAnsi="仿宋" w:eastAsia="仿宋" w:cs="仿宋"/>
          <w:b/>
          <w:bCs/>
          <w:sz w:val="32"/>
          <w:szCs w:val="40"/>
          <w:u w:val="thick"/>
          <w:lang w:val="en-US" w:eastAsia="zh-CN"/>
        </w:rPr>
        <w:t xml:space="preserve">            </w:t>
      </w:r>
      <w:r>
        <w:rPr>
          <w:rFonts w:hint="eastAsia" w:ascii="仿宋" w:hAnsi="仿宋" w:eastAsia="仿宋" w:cs="仿宋"/>
          <w:b/>
          <w:bCs/>
          <w:sz w:val="28"/>
          <w:szCs w:val="36"/>
          <w:u w:val="thick"/>
          <w:lang w:val="en-US" w:eastAsia="zh-CN"/>
        </w:rPr>
        <w:t xml:space="preserve">                     </w:t>
      </w:r>
    </w:p>
    <w:p w14:paraId="4C7CA749">
      <w:pPr>
        <w:keepNext w:val="0"/>
        <w:keepLines w:val="0"/>
        <w:pageBreakBefore w:val="0"/>
        <w:widowControl w:val="0"/>
        <w:kinsoku/>
        <w:wordWrap/>
        <w:overflowPunct/>
        <w:topLinePunct w:val="0"/>
        <w:autoSpaceDE/>
        <w:autoSpaceDN/>
        <w:bidi w:val="0"/>
        <w:adjustRightInd/>
        <w:snapToGrid/>
        <w:ind w:left="0" w:leftChars="0"/>
        <w:jc w:val="left"/>
        <w:textAlignment w:val="auto"/>
        <w:rPr>
          <w:rFonts w:hint="default"/>
          <w:b/>
          <w:bCs/>
          <w:sz w:val="44"/>
          <w:szCs w:val="52"/>
          <w:lang w:val="en-US" w:eastAsia="zh-CN"/>
        </w:rPr>
      </w:pPr>
      <w:r>
        <w:rPr>
          <w:rFonts w:hint="eastAsia" w:ascii="仿宋" w:hAnsi="仿宋" w:eastAsia="仿宋" w:cs="仿宋"/>
          <w:b/>
          <w:bCs/>
          <w:sz w:val="44"/>
          <w:szCs w:val="52"/>
          <w:lang w:val="en-US" w:eastAsia="zh-CN"/>
        </w:rPr>
        <w:t>评价机构：</w:t>
      </w:r>
      <w:r>
        <w:rPr>
          <w:rFonts w:hint="eastAsia" w:ascii="仿宋" w:hAnsi="仿宋" w:eastAsia="仿宋" w:cs="仿宋"/>
          <w:b/>
          <w:bCs/>
          <w:sz w:val="32"/>
          <w:szCs w:val="32"/>
          <w:u w:val="thick"/>
          <w:lang w:val="en-US" w:eastAsia="zh-CN"/>
        </w:rPr>
        <w:t xml:space="preserve">集大财经咨询（福州）有限公司                    </w:t>
      </w:r>
      <w:r>
        <w:rPr>
          <w:rFonts w:hint="eastAsia"/>
          <w:b/>
          <w:bCs/>
          <w:sz w:val="28"/>
          <w:szCs w:val="36"/>
          <w:u w:val="thick"/>
          <w:lang w:val="en-US" w:eastAsia="zh-CN"/>
        </w:rPr>
        <w:t xml:space="preserve">           </w:t>
      </w:r>
    </w:p>
    <w:p w14:paraId="1EE1C68D">
      <w:pPr>
        <w:keepNext w:val="0"/>
        <w:keepLines w:val="0"/>
        <w:pageBreakBefore w:val="0"/>
        <w:widowControl w:val="0"/>
        <w:kinsoku/>
        <w:wordWrap/>
        <w:overflowPunct/>
        <w:topLinePunct w:val="0"/>
        <w:autoSpaceDE/>
        <w:autoSpaceDN/>
        <w:bidi w:val="0"/>
        <w:adjustRightInd/>
        <w:snapToGrid/>
        <w:ind w:left="0" w:leftChars="0"/>
        <w:jc w:val="left"/>
        <w:textAlignment w:val="auto"/>
        <w:rPr>
          <w:rFonts w:hint="eastAsia" w:ascii="华文中宋" w:hAnsi="华文中宋" w:eastAsia="华文中宋" w:cs="华文中宋"/>
          <w:lang w:val="en-US" w:eastAsia="zh-CN"/>
        </w:rPr>
      </w:pPr>
    </w:p>
    <w:p w14:paraId="117D0CCF">
      <w:pPr>
        <w:keepNext w:val="0"/>
        <w:keepLines w:val="0"/>
        <w:pageBreakBefore w:val="0"/>
        <w:widowControl w:val="0"/>
        <w:kinsoku/>
        <w:wordWrap/>
        <w:overflowPunct/>
        <w:topLinePunct w:val="0"/>
        <w:autoSpaceDE/>
        <w:autoSpaceDN/>
        <w:bidi w:val="0"/>
        <w:adjustRightInd/>
        <w:snapToGrid/>
        <w:ind w:left="0" w:leftChars="0"/>
        <w:jc w:val="left"/>
        <w:textAlignment w:val="auto"/>
        <w:rPr>
          <w:rFonts w:hint="default" w:eastAsiaTheme="minorEastAsia"/>
          <w:lang w:val="en-US" w:eastAsia="zh-CN"/>
        </w:rPr>
      </w:pPr>
    </w:p>
    <w:p w14:paraId="53721EF3">
      <w:pPr>
        <w:keepNext w:val="0"/>
        <w:keepLines w:val="0"/>
        <w:pageBreakBefore w:val="0"/>
        <w:widowControl w:val="0"/>
        <w:kinsoku/>
        <w:wordWrap/>
        <w:overflowPunct/>
        <w:topLinePunct w:val="0"/>
        <w:autoSpaceDE/>
        <w:autoSpaceDN/>
        <w:bidi w:val="0"/>
        <w:adjustRightInd/>
        <w:snapToGrid/>
        <w:ind w:leftChars="400"/>
        <w:jc w:val="left"/>
        <w:textAlignment w:val="auto"/>
        <w:rPr>
          <w:rFonts w:hint="default" w:eastAsiaTheme="minorEastAsia"/>
          <w:lang w:val="en-US" w:eastAsia="zh-CN"/>
        </w:rPr>
      </w:pPr>
    </w:p>
    <w:p w14:paraId="13A0BB77">
      <w:pPr>
        <w:keepNext w:val="0"/>
        <w:keepLines w:val="0"/>
        <w:pageBreakBefore w:val="0"/>
        <w:widowControl w:val="0"/>
        <w:kinsoku/>
        <w:wordWrap/>
        <w:overflowPunct/>
        <w:topLinePunct w:val="0"/>
        <w:autoSpaceDE/>
        <w:autoSpaceDN/>
        <w:bidi w:val="0"/>
        <w:adjustRightInd/>
        <w:snapToGrid/>
        <w:ind w:leftChars="400"/>
        <w:jc w:val="left"/>
        <w:textAlignment w:val="auto"/>
        <w:rPr>
          <w:rFonts w:hint="default" w:eastAsiaTheme="minorEastAsia"/>
          <w:lang w:val="en-US" w:eastAsia="zh-CN"/>
        </w:rPr>
      </w:pPr>
    </w:p>
    <w:p w14:paraId="28DA4D2F">
      <w:pPr>
        <w:keepNext w:val="0"/>
        <w:keepLines w:val="0"/>
        <w:pageBreakBefore w:val="0"/>
        <w:widowControl w:val="0"/>
        <w:kinsoku/>
        <w:wordWrap/>
        <w:overflowPunct/>
        <w:topLinePunct w:val="0"/>
        <w:autoSpaceDE/>
        <w:autoSpaceDN/>
        <w:bidi w:val="0"/>
        <w:adjustRightInd/>
        <w:snapToGrid/>
        <w:ind w:leftChars="400"/>
        <w:jc w:val="left"/>
        <w:textAlignment w:val="auto"/>
        <w:rPr>
          <w:rFonts w:hint="default" w:eastAsiaTheme="minorEastAsia"/>
          <w:lang w:val="en-US" w:eastAsia="zh-CN"/>
        </w:rPr>
      </w:pPr>
    </w:p>
    <w:p w14:paraId="740CCA69">
      <w:pPr>
        <w:jc w:val="left"/>
        <w:rPr>
          <w:sz w:val="30"/>
          <w:szCs w:val="30"/>
        </w:rPr>
      </w:pPr>
      <w:r>
        <w:rPr>
          <w:sz w:val="21"/>
        </w:rPr>
        <mc:AlternateContent>
          <mc:Choice Requires="wps">
            <w:drawing>
              <wp:anchor distT="0" distB="0" distL="114300" distR="114300" simplePos="0" relativeHeight="251659264" behindDoc="0" locked="0" layoutInCell="1" allowOverlap="1">
                <wp:simplePos x="0" y="0"/>
                <wp:positionH relativeFrom="column">
                  <wp:posOffset>1020445</wp:posOffset>
                </wp:positionH>
                <wp:positionV relativeFrom="paragraph">
                  <wp:posOffset>156210</wp:posOffset>
                </wp:positionV>
                <wp:extent cx="5279390" cy="620395"/>
                <wp:effectExtent l="4445" t="4445" r="19685" b="15240"/>
                <wp:wrapNone/>
                <wp:docPr id="101" name="文本框 101"/>
                <wp:cNvGraphicFramePr/>
                <a:graphic xmlns:a="http://schemas.openxmlformats.org/drawingml/2006/main">
                  <a:graphicData uri="http://schemas.microsoft.com/office/word/2010/wordprocessingShape">
                    <wps:wsp>
                      <wps:cNvSpPr txBox="1"/>
                      <wps:spPr>
                        <a:xfrm>
                          <a:off x="1303655" y="6525895"/>
                          <a:ext cx="5279390" cy="620395"/>
                        </a:xfrm>
                        <a:prstGeom prst="rect">
                          <a:avLst/>
                        </a:prstGeom>
                        <a:solidFill>
                          <a:schemeClr val="bg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3B4CF76E">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Theme="minorEastAsia" w:hAnsiTheme="minorEastAsia" w:eastAsiaTheme="minorEastAsia" w:cstheme="minorEastAsia"/>
                                <w:b/>
                                <w:sz w:val="40"/>
                                <w:szCs w:val="40"/>
                              </w:rPr>
                            </w:pPr>
                            <w:r>
                              <w:rPr>
                                <w:rFonts w:hint="eastAsia" w:asciiTheme="minorEastAsia" w:hAnsiTheme="minorEastAsia" w:eastAsiaTheme="minorEastAsia" w:cstheme="minorEastAsia"/>
                                <w:b/>
                                <w:sz w:val="40"/>
                                <w:szCs w:val="40"/>
                              </w:rPr>
                              <w:t xml:space="preserve"> 集 大 财 经 咨 询（福 州）有 限 公 司 </w:t>
                            </w:r>
                          </w:p>
                          <w:p w14:paraId="0489AD77">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b/>
                                <w:sz w:val="36"/>
                                <w:szCs w:val="36"/>
                              </w:rPr>
                              <w:t>Jida Financial Consulting (Fuzhou) Co., Ltd.</w:t>
                            </w:r>
                          </w:p>
                          <w:p w14:paraId="774D592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0.35pt;margin-top:12.3pt;height:48.85pt;width:415.7pt;z-index:251659264;mso-width-relative:page;mso-height-relative:page;" fillcolor="#FFFFFF [3212]" filled="t" stroked="t" coordsize="21600,21600" o:gfxdata="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P1ImyLYAAAACgEAAA8AAAAAAAAAAQAgAAAAIgAAAGRycy9kb3ducmV2LnhtbFBLAQIUABQAAAAI&#10;AIdO4kAnGVkvXwIAAMgEAAAOAAAAAAAAAAEAIAAAACcBAABkcnMvZTJvRG9jLnhtbFBLBQYAAAAA&#10;BgAGAFkBAAD4BQAAAAA=&#10;">
                <v:fill on="t" focussize="0,0"/>
                <v:stroke weight="0.5pt" color="#FFFFFF [3212]" joinstyle="round"/>
                <v:imagedata o:title=""/>
                <o:lock v:ext="edit" aspectratio="f"/>
                <v:textbox>
                  <w:txbxContent>
                    <w:p w14:paraId="3B4CF76E">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Theme="minorEastAsia" w:hAnsiTheme="minorEastAsia" w:eastAsiaTheme="minorEastAsia" w:cstheme="minorEastAsia"/>
                          <w:b/>
                          <w:sz w:val="40"/>
                          <w:szCs w:val="40"/>
                        </w:rPr>
                      </w:pPr>
                      <w:r>
                        <w:rPr>
                          <w:rFonts w:hint="eastAsia" w:asciiTheme="minorEastAsia" w:hAnsiTheme="minorEastAsia" w:eastAsiaTheme="minorEastAsia" w:cstheme="minorEastAsia"/>
                          <w:b/>
                          <w:sz w:val="40"/>
                          <w:szCs w:val="40"/>
                        </w:rPr>
                        <w:t xml:space="preserve"> 集 大 财 经 咨 询（福 州）有 限 公 司 </w:t>
                      </w:r>
                    </w:p>
                    <w:p w14:paraId="0489AD77">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b/>
                          <w:sz w:val="36"/>
                          <w:szCs w:val="36"/>
                        </w:rPr>
                        <w:t>Jida Financial Consulting (Fuzhou) Co., Ltd.</w:t>
                      </w:r>
                    </w:p>
                    <w:p w14:paraId="774D592A"/>
                  </w:txbxContent>
                </v:textbox>
              </v:shape>
            </w:pict>
          </mc:Fallback>
        </mc:AlternateContent>
      </w:r>
      <w:r>
        <w:rPr>
          <w:rFonts w:hint="default" w:eastAsiaTheme="minorEastAsia"/>
          <w:lang w:val="en-US" w:eastAsia="zh-CN"/>
        </w:rPr>
        <w:drawing>
          <wp:inline distT="0" distB="0" distL="114300" distR="114300">
            <wp:extent cx="850900" cy="854710"/>
            <wp:effectExtent l="0" t="0" r="2540" b="13970"/>
            <wp:docPr id="102" name="图片 102" descr="集大财经咨询logo-定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descr="集大财经咨询logo-定稿"/>
                    <pic:cNvPicPr>
                      <a:picLocks noChangeAspect="1"/>
                    </pic:cNvPicPr>
                  </pic:nvPicPr>
                  <pic:blipFill>
                    <a:blip r:embed="rId8"/>
                    <a:srcRect l="22038" t="24205" r="23109" b="20785"/>
                    <a:stretch>
                      <a:fillRect/>
                    </a:stretch>
                  </pic:blipFill>
                  <pic:spPr>
                    <a:xfrm>
                      <a:off x="0" y="0"/>
                      <a:ext cx="850900" cy="854710"/>
                    </a:xfrm>
                    <a:prstGeom prst="rect">
                      <a:avLst/>
                    </a:prstGeom>
                  </pic:spPr>
                </pic:pic>
              </a:graphicData>
            </a:graphic>
          </wp:inline>
        </w:drawing>
      </w:r>
      <w:r>
        <w:rPr>
          <w:sz w:val="30"/>
          <w:szCs w:val="30"/>
        </w:rPr>
        <w:br w:type="page"/>
      </w:r>
    </w:p>
    <w:p w14:paraId="0759FD55">
      <w:pPr>
        <w:pStyle w:val="11"/>
        <w:tabs>
          <w:tab w:val="right" w:leader="dot" w:pos="8788"/>
        </w:tabs>
        <w:jc w:val="center"/>
        <w:rPr>
          <w:rFonts w:hint="eastAsia" w:ascii="仿宋" w:hAnsi="仿宋" w:eastAsia="仿宋" w:cs="仿宋"/>
          <w:b/>
          <w:bCs/>
          <w:sz w:val="28"/>
          <w:szCs w:val="28"/>
          <w:lang w:val="en-US" w:eastAsia="zh-CN"/>
        </w:rPr>
        <w:sectPr>
          <w:headerReference r:id="rId3" w:type="default"/>
          <w:footerReference r:id="rId4" w:type="default"/>
          <w:pgSz w:w="11906" w:h="16838"/>
          <w:pgMar w:top="1417" w:right="1417" w:bottom="1417" w:left="1417" w:header="851" w:footer="992" w:gutter="0"/>
          <w:pgBorders>
            <w:top w:val="none" w:sz="0" w:space="0"/>
            <w:left w:val="none" w:sz="0" w:space="0"/>
            <w:bottom w:val="none" w:sz="0" w:space="0"/>
            <w:right w:val="none" w:sz="0" w:space="0"/>
          </w:pgBorders>
          <w:cols w:space="425" w:num="1"/>
          <w:titlePg/>
          <w:docGrid w:type="lines" w:linePitch="312" w:charSpace="0"/>
        </w:sectPr>
      </w:pPr>
    </w:p>
    <w:p w14:paraId="3FB23404">
      <w:pPr>
        <w:pStyle w:val="11"/>
        <w:tabs>
          <w:tab w:val="right" w:leader="dot" w:pos="8788"/>
        </w:tabs>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摘  要</w:t>
      </w:r>
    </w:p>
    <w:p w14:paraId="0BA323E4">
      <w:pPr>
        <w:rPr>
          <w:rFonts w:hint="eastAsia" w:ascii="仿宋" w:hAnsi="仿宋" w:eastAsia="仿宋" w:cs="仿宋"/>
          <w:b/>
          <w:bCs/>
          <w:sz w:val="32"/>
          <w:szCs w:val="32"/>
          <w:lang w:val="en-US" w:eastAsia="zh-CN"/>
        </w:rPr>
      </w:pPr>
    </w:p>
    <w:p w14:paraId="2AEE6EEC">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一、基本情况</w:t>
      </w:r>
    </w:p>
    <w:p w14:paraId="034C06F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（一）项目主要内容及实施情况</w:t>
      </w:r>
    </w:p>
    <w:p w14:paraId="1C9FFCC8">
      <w:pPr>
        <w:spacing w:line="360" w:lineRule="auto"/>
        <w:ind w:firstLine="480" w:firstLineChars="200"/>
        <w:outlineLvl w:val="9"/>
        <w:rPr>
          <w:rFonts w:hint="eastAsia" w:ascii="仿宋" w:hAnsi="仿宋" w:eastAsia="仿宋" w:cs="Times New Roman"/>
          <w:sz w:val="24"/>
          <w:lang w:val="en-US" w:eastAsia="zh-CN"/>
        </w:rPr>
      </w:pPr>
      <w:r>
        <w:rPr>
          <w:rFonts w:hint="eastAsia" w:ascii="仿宋" w:hAnsi="仿宋" w:eastAsia="仿宋" w:cs="Times New Roman"/>
          <w:sz w:val="24"/>
          <w:lang w:val="en-US" w:eastAsia="zh-CN"/>
        </w:rPr>
        <w:t>2021年4月，泉州市人民政府为贯彻落实党中央、国务院关于交通强国、海洋强国的决策部署交水发〔2020〕18号文件，持续推动全市水运企业做大做强，发布《泉州市人民政府关于进一步促进水路运输业发展的实施意见》（泉政文〔2021〕15号），在原泉政文〔2017〕150号文件上进行修改，适当提高新增运力奖励门槛，调整企业运力规模奖励基数，调整政策限制性条款，从</w:t>
      </w:r>
      <w:r>
        <w:rPr>
          <w:rFonts w:hint="eastAsia" w:ascii="仿宋_GB2312" w:hAnsi="Times New Roman" w:eastAsia="仿宋_GB2312" w:cs="Times New Roman"/>
          <w:sz w:val="24"/>
          <w:szCs w:val="24"/>
          <w:lang w:val="en-US" w:eastAsia="zh-CN"/>
        </w:rPr>
        <w:t>鼓励企业新增运力、促进企业规模发展和实施船舶贷款贴息三个方面实施补贴，</w:t>
      </w:r>
      <w:r>
        <w:rPr>
          <w:rFonts w:hint="eastAsia" w:ascii="仿宋" w:hAnsi="仿宋" w:eastAsia="仿宋" w:cs="Times New Roman"/>
          <w:sz w:val="24"/>
          <w:lang w:val="en-US" w:eastAsia="zh-CN"/>
        </w:rPr>
        <w:t>实施意见自印发之日起实施，有效期至2023年12月31日。</w:t>
      </w:r>
      <w:r>
        <w:rPr>
          <w:rFonts w:hint="eastAsia" w:ascii="仿宋_GB2312" w:hAnsi="Times New Roman" w:eastAsia="仿宋_GB2312" w:cs="Times New Roman"/>
          <w:sz w:val="24"/>
          <w:szCs w:val="24"/>
          <w:lang w:val="en-US" w:eastAsia="zh-CN"/>
        </w:rPr>
        <w:t>但2022年企业申报应发放的部分补贴因财政拨款时间推迟，顺延至2024年发放完毕，因此本次评价的2024年发放的水路运输业补贴资金标准主要仍沿用该文件。</w:t>
      </w:r>
    </w:p>
    <w:p w14:paraId="0769296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（二）资金收支情况</w:t>
      </w:r>
    </w:p>
    <w:p w14:paraId="6F2B31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sz w:val="24"/>
          <w:szCs w:val="24"/>
          <w:lang w:val="en-US" w:eastAsia="zh-CN"/>
        </w:rPr>
        <w:t>由于水路运输业相关补贴项目为事后补助，2024年度资金拨付文件包括狮财预指〔2024〕074号、狮财预指〔2024〕099号、狮财预指〔2024〕129号、狮财预指〔2024〕176号，其中狮财预指〔2024〕074号、狮财预指〔2024〕099号、狮财预指〔2024〕129号、狮财预指〔2024〕176号是根据石狮市各水路运输企业2022年发展情况提供的申报材料开展相关补贴，并扣除2023年度已拨付的部分进行发放。2024年度石狮市水路运输业相关补贴项目的资金共支出6,472.70902万元，补贴15家企业，因船舶迁出石狮市有3家企业退回相应补贴126.7758万元，实际支出6,345.93322万元，实际补贴13家企业。</w:t>
      </w:r>
    </w:p>
    <w:p w14:paraId="0598CD3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、综合评价情况及评价结论</w:t>
      </w:r>
    </w:p>
    <w:p w14:paraId="7B6398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bCs/>
          <w:sz w:val="28"/>
          <w:szCs w:val="28"/>
        </w:rPr>
      </w:pPr>
      <w:r>
        <w:rPr>
          <w:rFonts w:hint="eastAsia" w:ascii="仿宋" w:hAnsi="仿宋" w:eastAsia="仿宋" w:cs="Times New Roman"/>
          <w:sz w:val="24"/>
          <w:lang w:val="en-US" w:eastAsia="zh-CN"/>
        </w:rPr>
        <w:t>2024年度</w:t>
      </w:r>
      <w:r>
        <w:rPr>
          <w:rFonts w:hint="eastAsia" w:ascii="仿宋" w:hAnsi="仿宋" w:eastAsia="仿宋" w:cs="Times New Roman"/>
          <w:sz w:val="24"/>
          <w:lang w:val="zh-CN" w:eastAsia="zh-CN"/>
        </w:rPr>
        <w:t>石狮市</w:t>
      </w:r>
      <w:r>
        <w:rPr>
          <w:rFonts w:hint="eastAsia" w:ascii="仿宋" w:hAnsi="仿宋" w:eastAsia="仿宋" w:cs="Times New Roman"/>
          <w:sz w:val="24"/>
          <w:lang w:val="en-US" w:eastAsia="zh-CN"/>
        </w:rPr>
        <w:t>水路运输业相关补贴项目</w:t>
      </w:r>
      <w:r>
        <w:rPr>
          <w:rFonts w:hint="eastAsia" w:ascii="仿宋" w:hAnsi="仿宋" w:eastAsia="仿宋" w:cs="Times New Roman"/>
          <w:sz w:val="24"/>
          <w:lang w:val="zh-CN" w:eastAsia="zh-CN"/>
        </w:rPr>
        <w:t>经费</w:t>
      </w:r>
      <w:r>
        <w:rPr>
          <w:rFonts w:hint="eastAsia" w:ascii="仿宋" w:hAnsi="仿宋" w:eastAsia="仿宋" w:cs="Times New Roman"/>
          <w:sz w:val="24"/>
          <w:lang w:val="en-US" w:eastAsia="zh-CN"/>
        </w:rPr>
        <w:t>虽然在一定程度上促进了当地水路运输企业的规模化发展</w:t>
      </w:r>
      <w:r>
        <w:rPr>
          <w:rFonts w:hint="eastAsia" w:ascii="仿宋" w:hAnsi="仿宋" w:eastAsia="仿宋" w:cs="Times New Roman"/>
          <w:sz w:val="24"/>
          <w:lang w:val="zh-CN" w:eastAsia="zh-CN"/>
        </w:rPr>
        <w:t>，但在</w:t>
      </w:r>
      <w:r>
        <w:rPr>
          <w:rFonts w:hint="eastAsia" w:ascii="仿宋" w:hAnsi="仿宋" w:eastAsia="仿宋" w:cs="Times New Roman"/>
          <w:sz w:val="24"/>
          <w:lang w:val="en-US" w:eastAsia="zh-CN"/>
        </w:rPr>
        <w:t>绩效目标、资金分配、</w:t>
      </w:r>
      <w:r>
        <w:rPr>
          <w:rFonts w:hint="eastAsia" w:ascii="仿宋" w:hAnsi="仿宋" w:eastAsia="仿宋" w:cs="Times New Roman"/>
          <w:sz w:val="24"/>
          <w:lang w:val="zh-CN" w:eastAsia="zh-CN"/>
        </w:rPr>
        <w:t>项目</w:t>
      </w:r>
      <w:r>
        <w:rPr>
          <w:rFonts w:hint="eastAsia" w:ascii="仿宋" w:hAnsi="仿宋" w:eastAsia="仿宋" w:cs="Times New Roman"/>
          <w:sz w:val="24"/>
          <w:lang w:val="en-US" w:eastAsia="zh-CN"/>
        </w:rPr>
        <w:t>产出质量、项目效益</w:t>
      </w:r>
      <w:r>
        <w:rPr>
          <w:rFonts w:hint="eastAsia" w:ascii="仿宋" w:hAnsi="仿宋" w:eastAsia="仿宋" w:cs="Times New Roman"/>
          <w:sz w:val="24"/>
          <w:lang w:val="zh-CN" w:eastAsia="zh-CN"/>
        </w:rPr>
        <w:t>等方面</w:t>
      </w:r>
      <w:r>
        <w:rPr>
          <w:rFonts w:hint="eastAsia" w:ascii="仿宋" w:hAnsi="仿宋" w:eastAsia="仿宋" w:cs="Times New Roman"/>
          <w:sz w:val="24"/>
          <w:lang w:val="en-US" w:eastAsia="zh-CN"/>
        </w:rPr>
        <w:t>均</w:t>
      </w:r>
      <w:r>
        <w:rPr>
          <w:rFonts w:hint="eastAsia" w:ascii="仿宋" w:hAnsi="仿宋" w:eastAsia="仿宋" w:cs="Times New Roman"/>
          <w:sz w:val="24"/>
          <w:lang w:val="zh-CN" w:eastAsia="zh-CN"/>
        </w:rPr>
        <w:t>存在不足。经过工作组的审慎和科学评估，该项目总得分</w:t>
      </w:r>
      <w:r>
        <w:rPr>
          <w:rFonts w:hint="eastAsia" w:ascii="仿宋" w:hAnsi="仿宋" w:eastAsia="仿宋" w:cs="Times New Roman"/>
          <w:sz w:val="24"/>
          <w:lang w:val="en-US" w:eastAsia="zh-CN"/>
        </w:rPr>
        <w:t>79.46</w:t>
      </w:r>
      <w:r>
        <w:rPr>
          <w:rFonts w:hint="eastAsia" w:ascii="仿宋" w:hAnsi="仿宋" w:eastAsia="仿宋" w:cs="Times New Roman"/>
          <w:sz w:val="24"/>
          <w:lang w:val="zh-CN" w:eastAsia="zh-CN"/>
        </w:rPr>
        <w:t>分，评价等级结果为</w:t>
      </w:r>
      <w:r>
        <w:rPr>
          <w:rFonts w:hint="eastAsia" w:ascii="仿宋" w:hAnsi="仿宋" w:eastAsia="仿宋" w:cs="Times New Roman"/>
          <w:sz w:val="24"/>
          <w:lang w:val="en-US" w:eastAsia="zh-CN"/>
        </w:rPr>
        <w:t>中。</w:t>
      </w:r>
    </w:p>
    <w:p w14:paraId="4C5E986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三、存在的问题及原因分析</w:t>
      </w:r>
    </w:p>
    <w:p w14:paraId="59A38F6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rPr>
        <w:t>（一）</w:t>
      </w:r>
      <w:r>
        <w:rPr>
          <w:rFonts w:hint="eastAsia" w:ascii="仿宋_GB2312" w:hAnsi="Times New Roman" w:eastAsia="仿宋_GB2312" w:cs="Times New Roman"/>
          <w:b/>
          <w:bCs/>
          <w:sz w:val="24"/>
          <w:szCs w:val="24"/>
          <w:lang w:val="en-US" w:eastAsia="zh-CN"/>
        </w:rPr>
        <w:t>绩效目标设置不够精准，且未能覆盖全部任务目标</w:t>
      </w:r>
    </w:p>
    <w:p w14:paraId="73A05F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石狮市水路运输业相关补贴从泉政文〔2017〕150号开始实施后经补贴条款修订，已经过多年的绩效目标设定，但在绩效指标和目标值的设定上仍缺乏精准性。存在个性化三级指标设置将指标和目标值叠加的问题，如表3所示，“新增船舶16艘”“税收1000万元”“增加就业200人”“大于等于90%”等四个效益和满意度指标，且“新增船舶16艘”的目标值为18艘，前后表述不一致，目标设置上不够认真细致。此外，“成本指标”设置为“购置船舶费用”与目标值“7100万”不匹配。指标个数仅满足于达到财政部门设定的数量要求，未能覆盖项目全部的任务目标。</w:t>
      </w:r>
    </w:p>
    <w:p w14:paraId="3AE1041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rPr>
        <w:t>（二）</w:t>
      </w:r>
      <w:r>
        <w:rPr>
          <w:rFonts w:hint="eastAsia" w:ascii="仿宋_GB2312" w:hAnsi="Times New Roman" w:eastAsia="仿宋_GB2312" w:cs="Times New Roman"/>
          <w:b/>
          <w:bCs/>
          <w:sz w:val="24"/>
          <w:szCs w:val="24"/>
          <w:lang w:val="en-US" w:eastAsia="zh-CN"/>
        </w:rPr>
        <w:t>资金分配上存在政策条款的重复补贴，少数企业获得绝大部分补贴</w:t>
      </w:r>
    </w:p>
    <w:p w14:paraId="325163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根据泉政文〔2021〕15号文件，石狮市水路运输业相关补助主要包括鼓励企业新增运力、促进企业规模发展和实施船舶贷款贴息三个方面，工作组发现在实际落实政策进行资金补贴过程中，出现政策条款的叠加。如表4、表5、表6数据显示，有新永昌19、千祥和谐、鼎鑫105、鼎鑫106、鼎鑫107、鼎鑫108、鼎鑫109、鼎鑫112、鼎鑫113、东亿601、东亿602、东亿603等12艘船舶同时叠加享受新增运力和贷款贴息补贴，除千祥和谐外，其余船舶所属企业还享受到企业规模发展补贴，这一补贴中也重复补贴了这部分新增的船舶运力。</w:t>
      </w:r>
    </w:p>
    <w:p w14:paraId="3E7A91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鼎盛、东亿、鼎鑫、鑫淼等四家企业所获得的补贴资金占比达90.29%，根据重复叠加的政策条款计算，2024年补贴指标在新增运力基础上，叠加在鼎盛、东亿、鼎鑫三家企业10艘船舶上的规模运力和贴息补贴为815.6279万元，占当年度实际补贴的12.85%。</w:t>
      </w:r>
    </w:p>
    <w:p w14:paraId="08ACDFF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rPr>
        <w:t>（</w:t>
      </w:r>
      <w:r>
        <w:rPr>
          <w:rFonts w:hint="eastAsia" w:ascii="仿宋_GB2312" w:hAnsi="Times New Roman" w:eastAsia="仿宋_GB2312" w:cs="Times New Roman"/>
          <w:b/>
          <w:bCs/>
          <w:sz w:val="24"/>
          <w:szCs w:val="24"/>
          <w:lang w:val="en-US" w:eastAsia="zh-CN"/>
        </w:rPr>
        <w:t>三</w:t>
      </w:r>
      <w:r>
        <w:rPr>
          <w:rFonts w:hint="eastAsia" w:ascii="仿宋_GB2312" w:hAnsi="Times New Roman" w:eastAsia="仿宋_GB2312" w:cs="Times New Roman"/>
          <w:b/>
          <w:bCs/>
          <w:sz w:val="24"/>
          <w:szCs w:val="24"/>
        </w:rPr>
        <w:t>）</w:t>
      </w:r>
      <w:r>
        <w:rPr>
          <w:rFonts w:hint="eastAsia" w:ascii="仿宋_GB2312" w:hAnsi="Times New Roman" w:eastAsia="仿宋_GB2312" w:cs="Times New Roman"/>
          <w:b/>
          <w:bCs/>
          <w:sz w:val="24"/>
          <w:szCs w:val="24"/>
          <w:lang w:val="en-US" w:eastAsia="zh-CN"/>
        </w:rPr>
        <w:t>政策条款缺少推进行业高质量发展的指向，增加就业和税收的效果不显著</w:t>
      </w:r>
    </w:p>
    <w:p w14:paraId="5D6624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sz w:val="24"/>
          <w:szCs w:val="24"/>
          <w:lang w:val="en-US" w:eastAsia="zh-CN"/>
        </w:rPr>
        <w:t>根据交水发〔2020〕18号文件精神，应大力推进海运业高质量发展，泉政文〔2021〕15号文件仍停留在提升运力规模，未体现对行业高质量发展的政策导向。尤其从石狮市水路运输业规模来看，目前船舶数量和运力占泉州总运力的35%左右，2024年全市水路运输企业有</w:t>
      </w:r>
      <w:r>
        <w:rPr>
          <w:rFonts w:hint="default" w:ascii="仿宋_GB2312" w:hAnsi="Times New Roman" w:eastAsia="仿宋_GB2312" w:cs="Times New Roman"/>
          <w:sz w:val="24"/>
          <w:szCs w:val="24"/>
          <w:lang w:val="en-US" w:eastAsia="zh-CN"/>
        </w:rPr>
        <w:t>41</w:t>
      </w:r>
      <w:r>
        <w:rPr>
          <w:rFonts w:hint="eastAsia" w:ascii="仿宋_GB2312" w:hAnsi="Times New Roman" w:eastAsia="仿宋_GB2312" w:cs="Times New Roman"/>
          <w:sz w:val="24"/>
          <w:szCs w:val="24"/>
          <w:lang w:val="en-US" w:eastAsia="zh-CN"/>
        </w:rPr>
        <w:t>家，水路运输船舶110艘，运力231.26万载重吨，较2023年企业增加1家，但船舶数量和运力规模都有所减少，行业发展规模停滞的情况下，政策上未体现提升行业质量的奖补举措。</w:t>
      </w:r>
    </w:p>
    <w:p w14:paraId="7BB66668">
      <w:pPr>
        <w:pStyle w:val="6"/>
        <w:numPr>
          <w:ilvl w:val="0"/>
          <w:numId w:val="0"/>
        </w:numPr>
        <w:tabs>
          <w:tab w:val="clear" w:pos="2040"/>
        </w:tabs>
        <w:spacing w:line="360" w:lineRule="auto"/>
        <w:ind w:left="0" w:leftChars="0" w:firstLine="480" w:firstLineChars="200"/>
        <w:rPr>
          <w:rFonts w:hint="default"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2024年受补贴企业的雇员数量和税收额较上年均有所减少，一方面是由于市场大环境的影响，另一方面也说明补贴政策对于企业的激励作用不显著。</w:t>
      </w:r>
      <w:r>
        <w:rPr>
          <w:rFonts w:hint="eastAsia" w:ascii="仿宋_GB2312" w:hAnsi="Times New Roman" w:eastAsia="仿宋_GB2312" w:cs="Times New Roman"/>
          <w:sz w:val="24"/>
          <w:szCs w:val="24"/>
          <w:lang w:val="en-US" w:eastAsia="zh-CN"/>
        </w:rPr>
        <w:t>补贴资金占比达90.29%的鼎盛、东亿、鼎鑫、鑫淼等四家企业，2022-2024年税收贡献在12家受补贴企业中占比分别为58.21%、63.24%和78.63%，显著低于企业在政策中的受益程度。</w:t>
      </w:r>
    </w:p>
    <w:p w14:paraId="7AD9BDD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sz w:val="28"/>
          <w:szCs w:val="28"/>
          <w:lang w:val="zh-CN" w:eastAsia="zh-CN"/>
        </w:rPr>
      </w:pPr>
      <w:r>
        <w:rPr>
          <w:rFonts w:hint="eastAsia" w:ascii="仿宋" w:hAnsi="仿宋" w:eastAsia="仿宋" w:cs="仿宋"/>
          <w:b/>
          <w:bCs/>
          <w:sz w:val="28"/>
          <w:szCs w:val="28"/>
          <w:lang w:val="en-US" w:eastAsia="zh-CN"/>
        </w:rPr>
        <w:t>四</w:t>
      </w:r>
      <w:r>
        <w:rPr>
          <w:rFonts w:hint="eastAsia" w:ascii="仿宋" w:hAnsi="仿宋" w:eastAsia="仿宋" w:cs="仿宋"/>
          <w:b/>
          <w:bCs/>
          <w:sz w:val="28"/>
          <w:szCs w:val="28"/>
          <w:lang w:val="zh-CN" w:eastAsia="zh-CN"/>
        </w:rPr>
        <w:t>、有关建议</w:t>
      </w:r>
    </w:p>
    <w:p w14:paraId="46FCDBE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仿宋_GB2312" w:hAnsi="Times New Roman" w:eastAsia="仿宋_GB2312" w:cs="Times New Roman"/>
          <w:b/>
          <w:bCs/>
          <w:sz w:val="24"/>
          <w:szCs w:val="24"/>
          <w:lang w:eastAsia="zh-CN"/>
        </w:rPr>
      </w:pPr>
      <w:r>
        <w:rPr>
          <w:rFonts w:hint="eastAsia" w:ascii="仿宋_GB2312" w:hAnsi="Times New Roman" w:eastAsia="仿宋_GB2312" w:cs="Times New Roman"/>
          <w:b/>
          <w:bCs/>
          <w:sz w:val="24"/>
          <w:szCs w:val="24"/>
        </w:rPr>
        <w:t>（一）</w:t>
      </w:r>
      <w:r>
        <w:rPr>
          <w:rFonts w:hint="eastAsia" w:ascii="仿宋_GB2312" w:hAnsi="Times New Roman" w:eastAsia="仿宋_GB2312" w:cs="Times New Roman"/>
          <w:b/>
          <w:bCs/>
          <w:sz w:val="24"/>
          <w:szCs w:val="24"/>
          <w:lang w:val="en-US" w:eastAsia="zh-CN"/>
        </w:rPr>
        <w:t>改进绩效目标表填报，完善</w:t>
      </w:r>
      <w:r>
        <w:rPr>
          <w:rFonts w:hint="eastAsia" w:ascii="仿宋_GB2312" w:hAnsi="Times New Roman" w:eastAsia="仿宋_GB2312" w:cs="Times New Roman"/>
          <w:b/>
          <w:bCs/>
          <w:sz w:val="24"/>
          <w:szCs w:val="24"/>
        </w:rPr>
        <w:t>绩效</w:t>
      </w:r>
      <w:r>
        <w:rPr>
          <w:rFonts w:hint="eastAsia" w:ascii="仿宋_GB2312" w:hAnsi="Times New Roman" w:eastAsia="仿宋_GB2312" w:cs="Times New Roman"/>
          <w:b/>
          <w:bCs/>
          <w:sz w:val="24"/>
          <w:szCs w:val="24"/>
          <w:lang w:val="en-US" w:eastAsia="zh-CN"/>
        </w:rPr>
        <w:t>指标和</w:t>
      </w:r>
      <w:r>
        <w:rPr>
          <w:rFonts w:hint="eastAsia" w:ascii="仿宋_GB2312" w:hAnsi="Times New Roman" w:eastAsia="仿宋_GB2312" w:cs="Times New Roman"/>
          <w:b/>
          <w:bCs/>
          <w:sz w:val="24"/>
          <w:szCs w:val="24"/>
        </w:rPr>
        <w:t>目标</w:t>
      </w:r>
      <w:r>
        <w:rPr>
          <w:rFonts w:hint="eastAsia" w:ascii="仿宋_GB2312" w:hAnsi="Times New Roman" w:eastAsia="仿宋_GB2312" w:cs="Times New Roman"/>
          <w:b/>
          <w:bCs/>
          <w:sz w:val="24"/>
          <w:szCs w:val="24"/>
          <w:lang w:val="en-US" w:eastAsia="zh-CN"/>
        </w:rPr>
        <w:t>值</w:t>
      </w:r>
    </w:p>
    <w:p w14:paraId="5F64855C">
      <w:pPr>
        <w:pStyle w:val="6"/>
        <w:numPr>
          <w:ilvl w:val="0"/>
          <w:numId w:val="0"/>
        </w:numPr>
        <w:tabs>
          <w:tab w:val="clear" w:pos="2040"/>
        </w:tabs>
        <w:spacing w:line="360" w:lineRule="auto"/>
        <w:ind w:left="0" w:leftChars="0" w:firstLine="480" w:firstLineChars="200"/>
        <w:rPr>
          <w:rFonts w:hint="default"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下一阶段应进一步完善项目绩效目标申报中的指标和目标值设计。目前项目绩效目标虽设置了可衡量的定量指标，但应将指标和目标值进行拆分，如</w:t>
      </w:r>
      <w:r>
        <w:rPr>
          <w:rFonts w:hint="eastAsia" w:ascii="仿宋_GB2312" w:hAnsi="Times New Roman" w:eastAsia="仿宋_GB2312" w:cs="Times New Roman"/>
          <w:sz w:val="24"/>
          <w:szCs w:val="24"/>
          <w:lang w:val="en-US" w:eastAsia="zh-CN"/>
        </w:rPr>
        <w:t>“新增船舶16艘”“税收1000万元”“增加就业200人”“大于等于90%”应分别修订为“新增船舶数量”“年度税收”“增加就业量”“企业满意度”，在目标值中才体现具体的数值，并且在指标解释部分应清晰描述目标值为定量还是增量，是否与前一年度进行对比等</w:t>
      </w:r>
      <w:r>
        <w:rPr>
          <w:rFonts w:hint="eastAsia" w:ascii="仿宋_GB2312" w:hAnsi="Times New Roman" w:eastAsia="仿宋_GB2312" w:cs="Times New Roman"/>
          <w:kern w:val="2"/>
          <w:sz w:val="24"/>
          <w:szCs w:val="24"/>
          <w:lang w:val="zh-CN" w:eastAsia="zh-CN" w:bidi="ar-SA"/>
        </w:rPr>
        <w:t>。</w:t>
      </w:r>
      <w:r>
        <w:rPr>
          <w:rFonts w:hint="eastAsia" w:ascii="仿宋_GB2312" w:hAnsi="Times New Roman" w:eastAsia="仿宋_GB2312" w:cs="Times New Roman"/>
          <w:kern w:val="2"/>
          <w:sz w:val="24"/>
          <w:szCs w:val="24"/>
          <w:lang w:val="en-US" w:eastAsia="zh-CN" w:bidi="ar-SA"/>
        </w:rPr>
        <w:t>应修正“成本目标”指标，如以预算数为目标，则设置为“补贴支出”。增加指标数量，覆盖项目政策补贴的三个方面，当前指标设置中只考虑了新增运力奖励，而对运力规模和贷款贴息未设置相应指标。</w:t>
      </w:r>
    </w:p>
    <w:p w14:paraId="1D79489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rPr>
        <w:t>（二）</w:t>
      </w:r>
      <w:r>
        <w:rPr>
          <w:rFonts w:hint="eastAsia" w:ascii="仿宋_GB2312" w:hAnsi="Times New Roman" w:eastAsia="仿宋_GB2312" w:cs="Times New Roman"/>
          <w:b/>
          <w:bCs/>
          <w:sz w:val="24"/>
          <w:szCs w:val="24"/>
          <w:lang w:val="en-US" w:eastAsia="zh-CN"/>
        </w:rPr>
        <w:t>修订政策中重叠补贴的条款，争取市县财政共同分担补贴</w:t>
      </w:r>
    </w:p>
    <w:p w14:paraId="3E587F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政策重叠对地方财政造成较大支付压力。其他地市如厦门市《关于加快推进水路运输业务发展的实施办法》（厦港规〔2020〕1号）中设置新增船舶运力直补奖励、新增船舶运力融资补助和提高船舶周转效率奖励，其中新增船舶运力只可选择“直补奖励”或“融资补助”中的一项，避免了政策重复补贴问题。因此，建议石狮市可向泉州市人民政府申请调整水路运输业相关补贴政策，减少重复性补贴，同时石狮市水路运输业在泉州市占比约为35%，行业发展对于泉州市整体均有较大的意义，市级财政更应倾向支持行业发展较好的地区，建议可由市县两级财政共同分担，减轻地方财政压力。</w:t>
      </w:r>
    </w:p>
    <w:p w14:paraId="74181A6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default" w:ascii="仿宋_GB2312" w:hAnsi="Times New Roman" w:eastAsia="仿宋_GB2312" w:cs="Times New Roman"/>
          <w:b/>
          <w:bCs/>
          <w:sz w:val="24"/>
          <w:szCs w:val="24"/>
          <w:lang w:val="en-US"/>
        </w:rPr>
      </w:pPr>
      <w:r>
        <w:rPr>
          <w:rFonts w:hint="eastAsia" w:ascii="仿宋_GB2312" w:hAnsi="Times New Roman" w:eastAsia="仿宋_GB2312" w:cs="Times New Roman"/>
          <w:b/>
          <w:bCs/>
          <w:sz w:val="24"/>
          <w:szCs w:val="24"/>
        </w:rPr>
        <w:t>（三）</w:t>
      </w:r>
      <w:r>
        <w:rPr>
          <w:rFonts w:hint="eastAsia" w:ascii="仿宋_GB2312" w:hAnsi="Times New Roman" w:eastAsia="仿宋_GB2312" w:cs="Times New Roman"/>
          <w:b/>
          <w:bCs/>
          <w:sz w:val="24"/>
          <w:szCs w:val="24"/>
          <w:lang w:val="en-US" w:eastAsia="zh-CN"/>
        </w:rPr>
        <w:t>增加促进行业高质量发展的补贴条款，提升行业总体发展水平</w:t>
      </w:r>
    </w:p>
    <w:p w14:paraId="6948873C">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20"/>
        <w:jc w:val="both"/>
        <w:textAlignment w:val="auto"/>
        <w:rPr>
          <w:rFonts w:hint="default" w:ascii="仿宋_GB2312" w:hAnsi="Times New Roman" w:eastAsia="仿宋_GB2312" w:cs="Times New Roman"/>
          <w:b/>
          <w:bCs/>
          <w:kern w:val="2"/>
          <w:sz w:val="24"/>
          <w:szCs w:val="24"/>
          <w:lang w:val="en-US" w:eastAsia="zh-CN" w:bidi="ar-SA"/>
        </w:rPr>
        <w:sectPr>
          <w:pgSz w:w="11906" w:h="16838"/>
          <w:pgMar w:top="1417" w:right="1417" w:bottom="1417" w:left="1417" w:header="851" w:footer="992" w:gutter="0"/>
          <w:pgBorders>
            <w:top w:val="none" w:sz="0" w:space="0"/>
            <w:left w:val="none" w:sz="0" w:space="0"/>
            <w:bottom w:val="none" w:sz="0" w:space="0"/>
            <w:right w:val="none" w:sz="0" w:space="0"/>
          </w:pgBorders>
          <w:cols w:space="0" w:num="1"/>
          <w:titlePg/>
          <w:rtlGutter w:val="0"/>
          <w:docGrid w:type="lines" w:linePitch="424" w:charSpace="0"/>
        </w:sectPr>
      </w:pPr>
      <w:r>
        <w:rPr>
          <w:rFonts w:hint="eastAsia" w:ascii="仿宋_GB2312" w:hAnsi="Times New Roman" w:eastAsia="仿宋_GB2312" w:cs="Times New Roman"/>
          <w:sz w:val="24"/>
          <w:szCs w:val="24"/>
          <w:lang w:val="en-US" w:eastAsia="zh-CN"/>
        </w:rPr>
        <w:t>泉政文〔2021〕15号文件的几项补贴条款均只涉及运力增加，对于其他有利于提高水路运输业高质量发展的指标没有形成有效的激励</w:t>
      </w:r>
      <w:r>
        <w:rPr>
          <w:rFonts w:hint="eastAsia" w:ascii="仿宋_GB2312" w:hAnsi="Times New Roman" w:eastAsia="仿宋_GB2312" w:cs="Times New Roman"/>
          <w:kern w:val="2"/>
          <w:sz w:val="24"/>
          <w:szCs w:val="24"/>
          <w:lang w:val="zh-CN" w:eastAsia="zh-CN" w:bidi="ar-SA"/>
        </w:rPr>
        <w:t>。</w:t>
      </w:r>
      <w:r>
        <w:rPr>
          <w:rFonts w:hint="eastAsia" w:ascii="仿宋_GB2312" w:hAnsi="Times New Roman" w:eastAsia="仿宋_GB2312" w:cs="Times New Roman"/>
          <w:kern w:val="2"/>
          <w:sz w:val="24"/>
          <w:szCs w:val="24"/>
          <w:lang w:val="en-US" w:eastAsia="zh-CN" w:bidi="ar-SA"/>
        </w:rPr>
        <w:t>建议可参考其他地市的政策条款，如厦门市设置“提高船舶周转效率奖励”（厦港规〔2020〕1号）对年度完成不同运输周转量的企业给予80万元或100万元不等的一次性奖励，福州市设置“</w:t>
      </w:r>
      <w:r>
        <w:rPr>
          <w:rFonts w:hint="default" w:ascii="仿宋_GB2312" w:hAnsi="Times New Roman" w:eastAsia="仿宋_GB2312" w:cs="Times New Roman"/>
          <w:kern w:val="2"/>
          <w:sz w:val="24"/>
          <w:szCs w:val="24"/>
          <w:lang w:val="en-US" w:eastAsia="zh-CN" w:bidi="ar-SA"/>
        </w:rPr>
        <w:t>安全管理奖励</w:t>
      </w:r>
      <w:r>
        <w:rPr>
          <w:rFonts w:hint="eastAsia" w:ascii="仿宋_GB2312" w:hAnsi="Times New Roman" w:eastAsia="仿宋_GB2312" w:cs="Times New Roman"/>
          <w:kern w:val="2"/>
          <w:sz w:val="24"/>
          <w:szCs w:val="24"/>
          <w:lang w:val="en-US" w:eastAsia="zh-CN" w:bidi="ar-SA"/>
        </w:rPr>
        <w:t>”（</w:t>
      </w:r>
      <w:r>
        <w:rPr>
          <w:rFonts w:hint="default" w:ascii="仿宋_GB2312" w:hAnsi="Times New Roman" w:eastAsia="仿宋_GB2312" w:cs="Times New Roman"/>
          <w:kern w:val="2"/>
          <w:sz w:val="24"/>
          <w:szCs w:val="24"/>
          <w:lang w:val="en-US" w:eastAsia="zh-CN" w:bidi="ar-SA"/>
        </w:rPr>
        <w:t>榕政办规</w:t>
      </w:r>
      <w:r>
        <w:rPr>
          <w:rFonts w:hint="eastAsia" w:ascii="仿宋_GB2312" w:hAnsi="Times New Roman" w:eastAsia="仿宋_GB2312" w:cs="Times New Roman"/>
          <w:kern w:val="2"/>
          <w:sz w:val="24"/>
          <w:szCs w:val="24"/>
          <w:lang w:val="en-US" w:eastAsia="zh-CN" w:bidi="ar-SA"/>
        </w:rPr>
        <w:t>〔2023〕</w:t>
      </w:r>
      <w:r>
        <w:rPr>
          <w:rFonts w:hint="default" w:ascii="仿宋_GB2312" w:hAnsi="Times New Roman" w:eastAsia="仿宋_GB2312" w:cs="Times New Roman"/>
          <w:kern w:val="2"/>
          <w:sz w:val="24"/>
          <w:szCs w:val="24"/>
          <w:lang w:val="en-US" w:eastAsia="zh-CN" w:bidi="ar-SA"/>
        </w:rPr>
        <w:t>23号</w:t>
      </w:r>
      <w:r>
        <w:rPr>
          <w:rFonts w:hint="eastAsia" w:ascii="仿宋_GB2312" w:hAnsi="Times New Roman" w:eastAsia="仿宋_GB2312" w:cs="Times New Roman"/>
          <w:kern w:val="2"/>
          <w:sz w:val="24"/>
          <w:szCs w:val="24"/>
          <w:lang w:val="en-US" w:eastAsia="zh-CN" w:bidi="ar-SA"/>
        </w:rPr>
        <w:t>）规定对于取得</w:t>
      </w:r>
      <w:r>
        <w:rPr>
          <w:rFonts w:hint="default" w:ascii="仿宋_GB2312" w:hAnsi="Times New Roman" w:eastAsia="仿宋_GB2312" w:cs="Times New Roman"/>
          <w:kern w:val="2"/>
          <w:sz w:val="24"/>
          <w:szCs w:val="24"/>
          <w:lang w:val="en-US" w:eastAsia="zh-CN" w:bidi="ar-SA"/>
        </w:rPr>
        <w:t>安全符合证明</w:t>
      </w:r>
      <w:r>
        <w:rPr>
          <w:rFonts w:hint="eastAsia" w:ascii="仿宋_GB2312" w:hAnsi="Times New Roman" w:eastAsia="仿宋_GB2312" w:cs="Times New Roman"/>
          <w:kern w:val="2"/>
          <w:sz w:val="24"/>
          <w:szCs w:val="24"/>
          <w:lang w:val="en-US" w:eastAsia="zh-CN" w:bidi="ar-SA"/>
        </w:rPr>
        <w:t>的水路运输企业或</w:t>
      </w:r>
      <w:r>
        <w:rPr>
          <w:rFonts w:hint="default" w:ascii="仿宋_GB2312" w:hAnsi="Times New Roman" w:eastAsia="仿宋_GB2312" w:cs="Times New Roman"/>
          <w:kern w:val="2"/>
          <w:sz w:val="24"/>
          <w:szCs w:val="24"/>
          <w:lang w:val="en-US" w:eastAsia="zh-CN" w:bidi="ar-SA"/>
        </w:rPr>
        <w:t>被交通运输部海事局评选为安全诚信航运公司</w:t>
      </w:r>
      <w:r>
        <w:rPr>
          <w:rFonts w:hint="eastAsia" w:ascii="仿宋_GB2312" w:hAnsi="Times New Roman" w:eastAsia="仿宋_GB2312" w:cs="Times New Roman"/>
          <w:kern w:val="2"/>
          <w:sz w:val="24"/>
          <w:szCs w:val="24"/>
          <w:lang w:val="en-US" w:eastAsia="zh-CN" w:bidi="ar-SA"/>
        </w:rPr>
        <w:t>进行奖励。船舶周转效率较运力更能直接反映水路运输企业产能效率，安全管理也是企业质量的主要考核指标之一，因此建议泉州市政策条款中应在减少重叠奖励的同时，增加对于提升企业乃至整体行业质量的奖补。此外，因目前政策条款制定了每家企业每项政策的补贴上限，可能存在关联企业为获取更多补贴而选择用不同企业新增船舶扩大规模的方式，政策制定中应充分考虑如何避免这些问题出现，也以此提升政策实施的效益。</w:t>
      </w:r>
    </w:p>
    <w:p w14:paraId="3AE6EF34">
      <w:pPr>
        <w:pStyle w:val="11"/>
        <w:tabs>
          <w:tab w:val="right" w:leader="dot" w:pos="8788"/>
        </w:tabs>
        <w:jc w:val="center"/>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目  录</w:t>
      </w:r>
    </w:p>
    <w:p w14:paraId="1776CCAB"/>
    <w:p w14:paraId="316BC0D1">
      <w:pPr>
        <w:pStyle w:val="11"/>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TOC \o "1-2" \h \u </w:instrText>
      </w:r>
      <w:r>
        <w:rPr>
          <w:rFonts w:hint="eastAsia" w:ascii="仿宋" w:hAnsi="仿宋" w:eastAsia="仿宋" w:cs="仿宋"/>
          <w:sz w:val="24"/>
          <w:szCs w:val="24"/>
          <w:lang w:val="en-US"/>
        </w:rPr>
        <w:fldChar w:fldCharType="separate"/>
      </w: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_Toc31272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一、基本情况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_Toc31272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1B7AB6DF">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_Toc1005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（一）项目概况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_Toc1005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432059FE">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_Toc30111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（二）项目绩效目标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_Toc30111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54C27AA6">
      <w:pPr>
        <w:pStyle w:val="11"/>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_Toc14201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二、绩效评价工作开展情况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_Toc14201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4D0804E4">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_Toc8523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（一）绩效评价目的、对象和范围</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_Toc8523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42631208">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_Toc14624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（二）绩效评价原则、评价指标体系、评价方法、评</w:t>
      </w:r>
      <w:bookmarkStart w:id="100" w:name="_GoBack"/>
      <w:bookmarkEnd w:id="100"/>
      <w:r>
        <w:rPr>
          <w:rFonts w:hint="eastAsia" w:ascii="仿宋" w:hAnsi="仿宋" w:eastAsia="仿宋" w:cs="仿宋"/>
          <w:bCs/>
          <w:sz w:val="24"/>
          <w:szCs w:val="24"/>
        </w:rPr>
        <w:t>价标准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_Toc14624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41DA9909">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_Toc1908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lang w:val="zh-CN" w:eastAsia="zh-CN"/>
        </w:rPr>
        <w:t>（三）绩效评价工作过程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_Toc1908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343336BF">
      <w:pPr>
        <w:pStyle w:val="11"/>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_Toc23023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lang w:val="zh-CN" w:eastAsia="zh-CN"/>
        </w:rPr>
        <w:t>三、综合评价情况及评价结论</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_Toc23023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75BB989E">
      <w:pPr>
        <w:pStyle w:val="11"/>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_Toc27977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lang w:val="zh-CN" w:eastAsia="zh-CN"/>
        </w:rPr>
        <w:t>四、绩效评价指标分析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_Toc27977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778C282E">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_Toc2379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（一）项目决策情况（分值</w:t>
      </w:r>
      <w:r>
        <w:rPr>
          <w:rFonts w:hint="eastAsia" w:ascii="仿宋" w:hAnsi="仿宋" w:eastAsia="仿宋" w:cs="仿宋"/>
          <w:bCs/>
          <w:sz w:val="24"/>
          <w:szCs w:val="24"/>
          <w:lang w:val="en-US" w:eastAsia="zh-CN"/>
        </w:rPr>
        <w:t>20</w:t>
      </w:r>
      <w:r>
        <w:rPr>
          <w:rFonts w:hint="eastAsia" w:ascii="仿宋" w:hAnsi="仿宋" w:eastAsia="仿宋" w:cs="仿宋"/>
          <w:bCs/>
          <w:sz w:val="24"/>
          <w:szCs w:val="24"/>
        </w:rPr>
        <w:t>分，得分</w:t>
      </w:r>
      <w:r>
        <w:rPr>
          <w:rFonts w:hint="eastAsia" w:ascii="仿宋" w:hAnsi="仿宋" w:eastAsia="仿宋" w:cs="仿宋"/>
          <w:bCs/>
          <w:sz w:val="24"/>
          <w:szCs w:val="24"/>
          <w:lang w:val="en-US" w:eastAsia="zh-CN"/>
        </w:rPr>
        <w:t>16</w:t>
      </w:r>
      <w:r>
        <w:rPr>
          <w:rFonts w:hint="eastAsia" w:ascii="仿宋" w:hAnsi="仿宋" w:eastAsia="仿宋" w:cs="仿宋"/>
          <w:bCs/>
          <w:sz w:val="24"/>
          <w:szCs w:val="24"/>
        </w:rPr>
        <w:t>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_Toc2379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6B6D06A7">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_Toc4037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（二）项目过程情况</w:t>
      </w:r>
      <w:r>
        <w:rPr>
          <w:rFonts w:hint="eastAsia" w:ascii="仿宋" w:hAnsi="仿宋" w:eastAsia="仿宋" w:cs="仿宋"/>
          <w:bCs/>
          <w:sz w:val="24"/>
          <w:szCs w:val="24"/>
          <w:lang w:val="zh-CN" w:eastAsia="zh-CN"/>
        </w:rPr>
        <w:t>（</w:t>
      </w:r>
      <w:r>
        <w:rPr>
          <w:rFonts w:hint="eastAsia" w:ascii="仿宋" w:hAnsi="仿宋" w:eastAsia="仿宋" w:cs="仿宋"/>
          <w:bCs/>
          <w:sz w:val="24"/>
          <w:szCs w:val="24"/>
          <w:lang w:val="en-US" w:eastAsia="zh-CN"/>
        </w:rPr>
        <w:t>分值20</w:t>
      </w:r>
      <w:r>
        <w:rPr>
          <w:rFonts w:hint="eastAsia" w:ascii="仿宋" w:hAnsi="仿宋" w:eastAsia="仿宋" w:cs="仿宋"/>
          <w:bCs/>
          <w:sz w:val="24"/>
          <w:szCs w:val="24"/>
          <w:lang w:val="zh-CN" w:eastAsia="zh-CN"/>
        </w:rPr>
        <w:t>分，得分1</w:t>
      </w:r>
      <w:r>
        <w:rPr>
          <w:rFonts w:hint="eastAsia" w:ascii="仿宋" w:hAnsi="仿宋" w:eastAsia="仿宋" w:cs="仿宋"/>
          <w:bCs/>
          <w:sz w:val="24"/>
          <w:szCs w:val="24"/>
          <w:lang w:val="en-US" w:eastAsia="zh-CN"/>
        </w:rPr>
        <w:t>8</w:t>
      </w:r>
      <w:r>
        <w:rPr>
          <w:rFonts w:hint="eastAsia" w:ascii="仿宋" w:hAnsi="仿宋" w:eastAsia="仿宋" w:cs="仿宋"/>
          <w:bCs/>
          <w:sz w:val="24"/>
          <w:szCs w:val="24"/>
          <w:lang w:val="zh-CN" w:eastAsia="zh-CN"/>
        </w:rPr>
        <w:t>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_Toc4037 \h </w:instrText>
      </w:r>
      <w:r>
        <w:rPr>
          <w:rFonts w:hint="eastAsia" w:ascii="仿宋" w:hAnsi="仿宋" w:eastAsia="仿宋" w:cs="仿宋"/>
          <w:sz w:val="24"/>
          <w:szCs w:val="24"/>
        </w:rPr>
        <w:fldChar w:fldCharType="separate"/>
      </w:r>
      <w:r>
        <w:rPr>
          <w:rFonts w:hint="eastAsia" w:ascii="仿宋" w:hAnsi="仿宋" w:eastAsia="仿宋" w:cs="仿宋"/>
          <w:sz w:val="24"/>
          <w:szCs w:val="24"/>
        </w:rPr>
        <w:t>11</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1231D7F1">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_Toc5828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（三）项目产出情况（</w:t>
      </w:r>
      <w:r>
        <w:rPr>
          <w:rFonts w:hint="eastAsia" w:ascii="仿宋" w:hAnsi="仿宋" w:eastAsia="仿宋" w:cs="仿宋"/>
          <w:bCs/>
          <w:sz w:val="24"/>
          <w:szCs w:val="24"/>
          <w:lang w:val="en-US" w:eastAsia="zh-CN"/>
        </w:rPr>
        <w:t>分值25</w:t>
      </w:r>
      <w:r>
        <w:rPr>
          <w:rFonts w:hint="eastAsia" w:ascii="仿宋" w:hAnsi="仿宋" w:eastAsia="仿宋" w:cs="仿宋"/>
          <w:bCs/>
          <w:sz w:val="24"/>
          <w:szCs w:val="24"/>
        </w:rPr>
        <w:t>分，得分</w:t>
      </w:r>
      <w:r>
        <w:rPr>
          <w:rFonts w:hint="eastAsia" w:ascii="仿宋" w:hAnsi="仿宋" w:eastAsia="仿宋" w:cs="仿宋"/>
          <w:bCs/>
          <w:sz w:val="24"/>
          <w:szCs w:val="24"/>
          <w:lang w:val="en-US" w:eastAsia="zh-CN"/>
        </w:rPr>
        <w:t>18.56分</w:t>
      </w:r>
      <w:r>
        <w:rPr>
          <w:rFonts w:hint="eastAsia" w:ascii="仿宋" w:hAnsi="仿宋" w:eastAsia="仿宋" w:cs="仿宋"/>
          <w:bCs/>
          <w:sz w:val="24"/>
          <w:szCs w:val="24"/>
        </w:rPr>
        <w:t>）</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_Toc5828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63213C86">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_Toc29878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（四）项目效益情况（</w:t>
      </w:r>
      <w:r>
        <w:rPr>
          <w:rFonts w:hint="eastAsia" w:ascii="仿宋" w:hAnsi="仿宋" w:eastAsia="仿宋" w:cs="仿宋"/>
          <w:bCs/>
          <w:sz w:val="24"/>
          <w:szCs w:val="24"/>
          <w:lang w:val="en-US" w:eastAsia="zh-CN"/>
        </w:rPr>
        <w:t>分值</w:t>
      </w:r>
      <w:r>
        <w:rPr>
          <w:rFonts w:hint="eastAsia" w:ascii="仿宋" w:hAnsi="仿宋" w:eastAsia="仿宋" w:cs="仿宋"/>
          <w:bCs/>
          <w:sz w:val="24"/>
          <w:szCs w:val="24"/>
        </w:rPr>
        <w:t>35分，得分</w:t>
      </w:r>
      <w:r>
        <w:rPr>
          <w:rFonts w:hint="eastAsia" w:ascii="仿宋" w:hAnsi="仿宋" w:eastAsia="仿宋" w:cs="仿宋"/>
          <w:bCs/>
          <w:sz w:val="24"/>
          <w:szCs w:val="24"/>
          <w:lang w:val="en-US" w:eastAsia="zh-CN"/>
        </w:rPr>
        <w:t>26.9</w:t>
      </w:r>
      <w:r>
        <w:rPr>
          <w:rFonts w:hint="eastAsia" w:ascii="仿宋" w:hAnsi="仿宋" w:eastAsia="仿宋" w:cs="仿宋"/>
          <w:bCs/>
          <w:sz w:val="24"/>
          <w:szCs w:val="24"/>
        </w:rPr>
        <w:t>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_Toc29878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0FE7C28B">
      <w:pPr>
        <w:pStyle w:val="11"/>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_Toc31618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lang w:val="zh-CN" w:eastAsia="zh-CN"/>
        </w:rPr>
        <w:t>五、存在的问题及原因分析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_Toc31618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63B877FA">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_Toc22761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（一）</w:t>
      </w:r>
      <w:r>
        <w:rPr>
          <w:rFonts w:hint="eastAsia" w:ascii="仿宋" w:hAnsi="仿宋" w:eastAsia="仿宋" w:cs="仿宋"/>
          <w:bCs/>
          <w:sz w:val="24"/>
          <w:szCs w:val="24"/>
          <w:lang w:val="en-US" w:eastAsia="zh-CN"/>
        </w:rPr>
        <w:t>绩效目标设置不够精准，且未能覆盖全部任务目标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_Toc22761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598C7FCE">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_Toc12352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（二）</w:t>
      </w:r>
      <w:r>
        <w:rPr>
          <w:rFonts w:hint="eastAsia" w:ascii="仿宋" w:hAnsi="仿宋" w:eastAsia="仿宋" w:cs="仿宋"/>
          <w:bCs/>
          <w:sz w:val="24"/>
          <w:szCs w:val="24"/>
          <w:lang w:val="en-US" w:eastAsia="zh-CN"/>
        </w:rPr>
        <w:t>资金分配上存在政策条款的重复补贴，少数企业获得绝大部分补贴</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_Toc12352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46A009C6">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_Toc19658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w:t>
      </w:r>
      <w:r>
        <w:rPr>
          <w:rFonts w:hint="eastAsia" w:ascii="仿宋" w:hAnsi="仿宋" w:eastAsia="仿宋" w:cs="仿宋"/>
          <w:bCs/>
          <w:sz w:val="24"/>
          <w:szCs w:val="24"/>
          <w:lang w:val="en-US" w:eastAsia="zh-CN"/>
        </w:rPr>
        <w:t>三</w:t>
      </w:r>
      <w:r>
        <w:rPr>
          <w:rFonts w:hint="eastAsia" w:ascii="仿宋" w:hAnsi="仿宋" w:eastAsia="仿宋" w:cs="仿宋"/>
          <w:bCs/>
          <w:sz w:val="24"/>
          <w:szCs w:val="24"/>
        </w:rPr>
        <w:t>）</w:t>
      </w:r>
      <w:r>
        <w:rPr>
          <w:rFonts w:hint="eastAsia" w:ascii="仿宋" w:hAnsi="仿宋" w:eastAsia="仿宋" w:cs="仿宋"/>
          <w:bCs/>
          <w:sz w:val="24"/>
          <w:szCs w:val="24"/>
          <w:lang w:val="en-US" w:eastAsia="zh-CN"/>
        </w:rPr>
        <w:t>政策条款缺少推进行业高质量发展的指向，增加就业和税收的效果不显著</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_Toc19658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0F14CACB">
      <w:pPr>
        <w:pStyle w:val="11"/>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_Toc31722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lang w:val="zh-CN" w:eastAsia="zh-CN"/>
        </w:rPr>
        <w:t>六、有关建议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_Toc31722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70C2BB0D">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_Toc23294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（一）</w:t>
      </w:r>
      <w:r>
        <w:rPr>
          <w:rFonts w:hint="eastAsia" w:ascii="仿宋" w:hAnsi="仿宋" w:eastAsia="仿宋" w:cs="仿宋"/>
          <w:bCs/>
          <w:sz w:val="24"/>
          <w:szCs w:val="24"/>
          <w:lang w:val="en-US" w:eastAsia="zh-CN"/>
        </w:rPr>
        <w:t>改进绩效目标表填报，完善</w:t>
      </w:r>
      <w:r>
        <w:rPr>
          <w:rFonts w:hint="eastAsia" w:ascii="仿宋" w:hAnsi="仿宋" w:eastAsia="仿宋" w:cs="仿宋"/>
          <w:bCs/>
          <w:sz w:val="24"/>
          <w:szCs w:val="24"/>
        </w:rPr>
        <w:t>绩效</w:t>
      </w:r>
      <w:r>
        <w:rPr>
          <w:rFonts w:hint="eastAsia" w:ascii="仿宋" w:hAnsi="仿宋" w:eastAsia="仿宋" w:cs="仿宋"/>
          <w:bCs/>
          <w:sz w:val="24"/>
          <w:szCs w:val="24"/>
          <w:lang w:val="en-US" w:eastAsia="zh-CN"/>
        </w:rPr>
        <w:t>指标和</w:t>
      </w:r>
      <w:r>
        <w:rPr>
          <w:rFonts w:hint="eastAsia" w:ascii="仿宋" w:hAnsi="仿宋" w:eastAsia="仿宋" w:cs="仿宋"/>
          <w:bCs/>
          <w:sz w:val="24"/>
          <w:szCs w:val="24"/>
        </w:rPr>
        <w:t>目标</w:t>
      </w:r>
      <w:r>
        <w:rPr>
          <w:rFonts w:hint="eastAsia" w:ascii="仿宋" w:hAnsi="仿宋" w:eastAsia="仿宋" w:cs="仿宋"/>
          <w:bCs/>
          <w:sz w:val="24"/>
          <w:szCs w:val="24"/>
          <w:lang w:val="en-US" w:eastAsia="zh-CN"/>
        </w:rPr>
        <w:t>值</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_Toc23294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45E41F12">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_Toc18520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（二）</w:t>
      </w:r>
      <w:r>
        <w:rPr>
          <w:rFonts w:hint="eastAsia" w:ascii="仿宋" w:hAnsi="仿宋" w:eastAsia="仿宋" w:cs="仿宋"/>
          <w:bCs/>
          <w:sz w:val="24"/>
          <w:szCs w:val="24"/>
          <w:lang w:val="en-US" w:eastAsia="zh-CN"/>
        </w:rPr>
        <w:t>修订政策中重叠补贴的条款，争取市县财政共同分担补贴</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_Toc18520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079834C0">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_Toc12472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rPr>
        <w:t>（三）</w:t>
      </w:r>
      <w:r>
        <w:rPr>
          <w:rFonts w:hint="eastAsia" w:ascii="仿宋" w:hAnsi="仿宋" w:eastAsia="仿宋" w:cs="仿宋"/>
          <w:bCs/>
          <w:sz w:val="24"/>
          <w:szCs w:val="24"/>
          <w:lang w:val="en-US" w:eastAsia="zh-CN"/>
        </w:rPr>
        <w:t>增加促进行业高质量发展的补贴条款，提升行业总体发展水平</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_Toc12472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40712394">
      <w:pPr>
        <w:pStyle w:val="11"/>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_Toc13760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lang w:val="zh-CN" w:eastAsia="zh-CN"/>
        </w:rPr>
        <w:t>七、其他需要说明的问题</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_Toc13760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41242632">
      <w:pPr>
        <w:pStyle w:val="11"/>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_Toc15838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lang w:val="zh-CN" w:eastAsia="zh-CN"/>
        </w:rPr>
        <w:t>附表</w:t>
      </w:r>
      <w:r>
        <w:rPr>
          <w:rFonts w:hint="eastAsia" w:ascii="仿宋" w:hAnsi="仿宋" w:eastAsia="仿宋" w:cs="仿宋"/>
          <w:bCs/>
          <w:sz w:val="24"/>
          <w:szCs w:val="24"/>
          <w:lang w:val="en-US" w:eastAsia="zh-CN"/>
        </w:rPr>
        <w:t xml:space="preserve">1  </w:t>
      </w:r>
      <w:r>
        <w:rPr>
          <w:rFonts w:hint="eastAsia" w:ascii="仿宋" w:hAnsi="仿宋" w:eastAsia="仿宋" w:cs="仿宋"/>
          <w:bCs/>
          <w:sz w:val="24"/>
          <w:szCs w:val="24"/>
          <w:lang w:val="zh-CN" w:eastAsia="zh-CN"/>
        </w:rPr>
        <w:t>石狮市</w:t>
      </w:r>
      <w:r>
        <w:rPr>
          <w:rFonts w:hint="eastAsia" w:ascii="仿宋" w:hAnsi="仿宋" w:eastAsia="仿宋" w:cs="仿宋"/>
          <w:bCs/>
          <w:sz w:val="24"/>
          <w:szCs w:val="24"/>
          <w:lang w:val="en-US" w:eastAsia="zh-CN"/>
        </w:rPr>
        <w:t>水路运输业相关补贴项目</w:t>
      </w:r>
      <w:r>
        <w:rPr>
          <w:rFonts w:hint="eastAsia" w:ascii="仿宋" w:hAnsi="仿宋" w:eastAsia="仿宋" w:cs="仿宋"/>
          <w:bCs/>
          <w:sz w:val="24"/>
          <w:szCs w:val="24"/>
          <w:lang w:val="zh-CN" w:eastAsia="zh-CN"/>
        </w:rPr>
        <w:t>支出评价指标表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_Toc15838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17E0A2B4">
      <w:pPr>
        <w:pStyle w:val="11"/>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_Toc10962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lang w:val="en-US" w:eastAsia="zh-CN"/>
        </w:rPr>
        <w:t>附表2  社会效益和经济效益指标得分计算明细表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_Toc10962 \h </w:instrText>
      </w:r>
      <w:r>
        <w:rPr>
          <w:rFonts w:hint="eastAsia" w:ascii="仿宋" w:hAnsi="仿宋" w:eastAsia="仿宋" w:cs="仿宋"/>
          <w:sz w:val="24"/>
          <w:szCs w:val="24"/>
        </w:rPr>
        <w:fldChar w:fldCharType="separate"/>
      </w:r>
      <w:r>
        <w:rPr>
          <w:rFonts w:hint="eastAsia" w:ascii="仿宋" w:hAnsi="仿宋" w:eastAsia="仿宋" w:cs="仿宋"/>
          <w:sz w:val="24"/>
          <w:szCs w:val="24"/>
        </w:rPr>
        <w:t>29</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76384E20">
      <w:pPr>
        <w:pStyle w:val="11"/>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sz w:val="24"/>
          <w:szCs w:val="24"/>
        </w:rPr>
      </w:pPr>
      <w:r>
        <w:rPr>
          <w:rFonts w:hint="eastAsia" w:ascii="仿宋" w:hAnsi="仿宋" w:eastAsia="仿宋" w:cs="仿宋"/>
          <w:sz w:val="24"/>
          <w:szCs w:val="24"/>
          <w:lang w:val="en-US"/>
        </w:rPr>
        <w:fldChar w:fldCharType="begin"/>
      </w:r>
      <w:r>
        <w:rPr>
          <w:rFonts w:hint="eastAsia" w:ascii="仿宋" w:hAnsi="仿宋" w:eastAsia="仿宋" w:cs="仿宋"/>
          <w:sz w:val="24"/>
          <w:szCs w:val="24"/>
          <w:lang w:val="en-US"/>
        </w:rPr>
        <w:instrText xml:space="preserve"> HYPERLINK \l _Toc13116 </w:instrText>
      </w:r>
      <w:r>
        <w:rPr>
          <w:rFonts w:hint="eastAsia" w:ascii="仿宋" w:hAnsi="仿宋" w:eastAsia="仿宋" w:cs="仿宋"/>
          <w:sz w:val="24"/>
          <w:szCs w:val="24"/>
          <w:lang w:val="en-US"/>
        </w:rPr>
        <w:fldChar w:fldCharType="separate"/>
      </w:r>
      <w:r>
        <w:rPr>
          <w:rFonts w:hint="eastAsia" w:ascii="仿宋" w:hAnsi="仿宋" w:eastAsia="仿宋" w:cs="仿宋"/>
          <w:bCs/>
          <w:sz w:val="24"/>
          <w:szCs w:val="24"/>
          <w:lang w:val="zh-CN" w:eastAsia="zh-CN"/>
        </w:rPr>
        <w:t>附录</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lang w:val="zh-CN" w:eastAsia="zh-CN"/>
        </w:rPr>
        <w:t>石狮市202</w:t>
      </w:r>
      <w:r>
        <w:rPr>
          <w:rFonts w:hint="eastAsia" w:ascii="仿宋" w:hAnsi="仿宋" w:eastAsia="仿宋" w:cs="仿宋"/>
          <w:bCs/>
          <w:sz w:val="24"/>
          <w:szCs w:val="24"/>
          <w:lang w:val="en-US" w:eastAsia="zh-CN"/>
        </w:rPr>
        <w:t>4</w:t>
      </w:r>
      <w:r>
        <w:rPr>
          <w:rFonts w:hint="eastAsia" w:ascii="仿宋" w:hAnsi="仿宋" w:eastAsia="仿宋" w:cs="仿宋"/>
          <w:bCs/>
          <w:sz w:val="24"/>
          <w:szCs w:val="24"/>
          <w:lang w:val="zh-CN" w:eastAsia="zh-CN"/>
        </w:rPr>
        <w:t>年</w:t>
      </w:r>
      <w:r>
        <w:rPr>
          <w:rFonts w:hint="eastAsia" w:ascii="仿宋" w:hAnsi="仿宋" w:eastAsia="仿宋" w:cs="仿宋"/>
          <w:bCs/>
          <w:sz w:val="24"/>
          <w:szCs w:val="24"/>
          <w:lang w:val="en-US" w:eastAsia="zh-CN"/>
        </w:rPr>
        <w:t>水路运输业相关补贴</w:t>
      </w:r>
      <w:r>
        <w:rPr>
          <w:rFonts w:hint="eastAsia" w:ascii="仿宋" w:hAnsi="仿宋" w:eastAsia="仿宋" w:cs="仿宋"/>
          <w:bCs/>
          <w:sz w:val="24"/>
          <w:szCs w:val="24"/>
          <w:lang w:val="zh-CN" w:eastAsia="zh-CN"/>
        </w:rPr>
        <w:t>项目</w:t>
      </w:r>
      <w:r>
        <w:rPr>
          <w:rFonts w:hint="eastAsia" w:ascii="仿宋" w:hAnsi="仿宋" w:eastAsia="仿宋" w:cs="仿宋"/>
          <w:bCs/>
          <w:sz w:val="24"/>
          <w:szCs w:val="24"/>
          <w:lang w:val="en-US" w:eastAsia="zh-CN"/>
        </w:rPr>
        <w:t>受补贴企业调查问卷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_Toc13116 \h </w:instrText>
      </w:r>
      <w:r>
        <w:rPr>
          <w:rFonts w:hint="eastAsia" w:ascii="仿宋" w:hAnsi="仿宋" w:eastAsia="仿宋" w:cs="仿宋"/>
          <w:sz w:val="24"/>
          <w:szCs w:val="24"/>
        </w:rPr>
        <w:fldChar w:fldCharType="separate"/>
      </w:r>
      <w:r>
        <w:rPr>
          <w:rFonts w:hint="eastAsia" w:ascii="仿宋" w:hAnsi="仿宋" w:eastAsia="仿宋" w:cs="仿宋"/>
          <w:sz w:val="24"/>
          <w:szCs w:val="24"/>
        </w:rPr>
        <w:t>30</w:t>
      </w:r>
      <w:r>
        <w:rPr>
          <w:rFonts w:hint="eastAsia" w:ascii="仿宋" w:hAnsi="仿宋" w:eastAsia="仿宋" w:cs="仿宋"/>
          <w:sz w:val="24"/>
          <w:szCs w:val="24"/>
        </w:rPr>
        <w:fldChar w:fldCharType="end"/>
      </w:r>
      <w:r>
        <w:rPr>
          <w:rFonts w:hint="eastAsia" w:ascii="仿宋" w:hAnsi="仿宋" w:eastAsia="仿宋" w:cs="仿宋"/>
          <w:sz w:val="24"/>
          <w:szCs w:val="24"/>
          <w:lang w:val="en-US"/>
        </w:rPr>
        <w:fldChar w:fldCharType="end"/>
      </w:r>
    </w:p>
    <w:p w14:paraId="10DB8526">
      <w:pPr>
        <w:pStyle w:val="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30"/>
          <w:szCs w:val="30"/>
          <w:lang w:val="en-US"/>
        </w:rPr>
      </w:pPr>
      <w:r>
        <w:rPr>
          <w:rFonts w:hint="eastAsia" w:ascii="仿宋" w:hAnsi="仿宋" w:eastAsia="仿宋" w:cs="仿宋"/>
          <w:sz w:val="24"/>
          <w:szCs w:val="24"/>
          <w:lang w:val="en-US"/>
        </w:rPr>
        <w:fldChar w:fldCharType="end"/>
      </w:r>
    </w:p>
    <w:p w14:paraId="3CE88F26">
      <w:pPr>
        <w:rPr>
          <w:sz w:val="30"/>
          <w:szCs w:val="30"/>
        </w:rPr>
      </w:pPr>
      <w:r>
        <w:rPr>
          <w:sz w:val="30"/>
          <w:szCs w:val="30"/>
        </w:rPr>
        <w:br w:type="page"/>
      </w:r>
    </w:p>
    <w:p w14:paraId="1A19FC88">
      <w:pPr>
        <w:pStyle w:val="8"/>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sz w:val="30"/>
          <w:szCs w:val="30"/>
          <w:lang w:val="en-US" w:eastAsia="zh-CN"/>
        </w:rPr>
        <w:sectPr>
          <w:pgSz w:w="11906" w:h="16838"/>
          <w:pgMar w:top="1417" w:right="1417" w:bottom="1417" w:left="1417" w:header="851" w:footer="992" w:gutter="0"/>
          <w:pgBorders>
            <w:top w:val="none" w:sz="0" w:space="0"/>
            <w:left w:val="none" w:sz="0" w:space="0"/>
            <w:bottom w:val="none" w:sz="0" w:space="0"/>
            <w:right w:val="none" w:sz="0" w:space="0"/>
          </w:pgBorders>
          <w:cols w:space="425" w:num="1"/>
          <w:titlePg/>
          <w:docGrid w:type="lines" w:linePitch="312" w:charSpace="0"/>
        </w:sectPr>
      </w:pPr>
    </w:p>
    <w:p w14:paraId="73EE7B92">
      <w:pPr>
        <w:spacing w:line="360" w:lineRule="auto"/>
        <w:ind w:firstLine="480" w:firstLineChars="200"/>
        <w:rPr>
          <w:rFonts w:hint="eastAsia" w:ascii="仿宋" w:hAnsi="仿宋" w:eastAsia="仿宋" w:cs="Times New Roman"/>
          <w:sz w:val="24"/>
          <w:lang w:val="en-US" w:eastAsia="zh-CN"/>
        </w:rPr>
      </w:pPr>
      <w:r>
        <w:rPr>
          <w:rFonts w:hint="eastAsia" w:ascii="仿宋" w:hAnsi="仿宋" w:eastAsia="仿宋" w:cs="Times New Roman"/>
          <w:sz w:val="24"/>
          <w:lang w:val="en-US" w:eastAsia="zh-CN"/>
        </w:rPr>
        <w:t>为加强财政资金管理，强化支出责任，提高财政资金的使用效益，建立科学、合理的财政支出绩效评价管理体系，集大财经咨询（福州）有限公司接受石狮市财政局委托，组织专业人员成立评价工作组，根据中共中央、国务院《关于全面实施预算绩效管理的意见》（中发〔2018〕34号）、福建省委、省政府《关于全面实施预算绩效管理的实施意见》（闽委发〔2019〕5号）、福建省财政厅《关于全面实施预算绩效管理若干措施的通知》（闽财绩〔2019〕2号）、财政部《项目支出绩效评价管理办法》（财预〔2020〕10号）、《财政部关于委托第三方机构参与预算绩效管理的指导意见》（财预〔2021〕6号）等文件精神和要求，对石狮市2024年水路运输业相关补贴项目支出开展绩效评价，以第三方身份出具报告。评价报告主要是供石狮市财政局了解该项目经费支出的绩效情况。</w:t>
      </w:r>
    </w:p>
    <w:p w14:paraId="1284C9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en-US" w:eastAsia="zh-CN"/>
        </w:rPr>
      </w:pPr>
    </w:p>
    <w:p w14:paraId="2390B6FD">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rPr>
      </w:pPr>
      <w:bookmarkStart w:id="0" w:name="_Toc184981055"/>
      <w:bookmarkStart w:id="1" w:name="_Toc184981296"/>
      <w:bookmarkStart w:id="2" w:name="_Toc31272"/>
      <w:bookmarkStart w:id="3" w:name="_Toc11103"/>
      <w:r>
        <w:rPr>
          <w:rFonts w:hint="eastAsia" w:ascii="仿宋" w:hAnsi="仿宋" w:eastAsia="仿宋" w:cs="仿宋"/>
          <w:b/>
          <w:bCs/>
          <w:sz w:val="28"/>
          <w:szCs w:val="28"/>
        </w:rPr>
        <w:t>一、基本情况</w:t>
      </w:r>
      <w:bookmarkEnd w:id="0"/>
      <w:bookmarkEnd w:id="1"/>
      <w:bookmarkEnd w:id="2"/>
      <w:bookmarkEnd w:id="3"/>
    </w:p>
    <w:p w14:paraId="3665B2F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hAnsi="Times New Roman" w:eastAsia="仿宋_GB2312" w:cs="Times New Roman"/>
          <w:b/>
          <w:bCs/>
          <w:sz w:val="24"/>
          <w:szCs w:val="24"/>
        </w:rPr>
      </w:pPr>
      <w:bookmarkStart w:id="4" w:name="_Toc184981297"/>
      <w:bookmarkStart w:id="5" w:name="_Toc27083"/>
      <w:bookmarkStart w:id="6" w:name="_Toc184981056"/>
      <w:bookmarkStart w:id="7" w:name="_Toc1005"/>
      <w:r>
        <w:rPr>
          <w:rFonts w:hint="eastAsia" w:ascii="仿宋_GB2312" w:hAnsi="Times New Roman" w:eastAsia="仿宋_GB2312" w:cs="Times New Roman"/>
          <w:b/>
          <w:bCs/>
          <w:sz w:val="24"/>
          <w:szCs w:val="24"/>
        </w:rPr>
        <w:t>（一）项目概况</w:t>
      </w:r>
      <w:bookmarkEnd w:id="4"/>
      <w:bookmarkEnd w:id="5"/>
      <w:bookmarkEnd w:id="6"/>
      <w:bookmarkEnd w:id="7"/>
    </w:p>
    <w:p w14:paraId="4AA9656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en-US" w:eastAsia="zh-CN"/>
        </w:rPr>
      </w:pPr>
      <w:bookmarkStart w:id="8" w:name="_Toc184981057"/>
      <w:r>
        <w:rPr>
          <w:rFonts w:hint="eastAsia" w:ascii="仿宋_GB2312" w:hAnsi="Times New Roman" w:eastAsia="仿宋_GB2312" w:cs="Times New Roman"/>
          <w:sz w:val="24"/>
          <w:szCs w:val="24"/>
          <w:lang w:val="en-US" w:eastAsia="zh-CN"/>
        </w:rPr>
        <w:t>1.项目背景</w:t>
      </w:r>
      <w:bookmarkEnd w:id="8"/>
    </w:p>
    <w:p w14:paraId="166BB5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宋体" w:cs="Times New Roman"/>
          <w:sz w:val="24"/>
          <w:szCs w:val="24"/>
          <w:lang w:val="en-US" w:eastAsia="zh-CN"/>
        </w:rPr>
      </w:pPr>
      <w:r>
        <w:rPr>
          <w:rFonts w:hint="eastAsia" w:ascii="仿宋_GB2312" w:hAnsi="Times New Roman" w:eastAsia="仿宋_GB2312" w:cs="Times New Roman"/>
          <w:sz w:val="24"/>
          <w:szCs w:val="24"/>
          <w:lang w:val="en-US" w:eastAsia="zh-CN"/>
        </w:rPr>
        <w:t>2020年2月，《交通运输部 发展改革委 工业和信息化部 财政部 商</w:t>
      </w:r>
      <w:r>
        <w:rPr>
          <w:rFonts w:hint="default" w:ascii="仿宋_GB2312" w:hAnsi="Times New Roman" w:eastAsia="仿宋_GB2312" w:cs="Times New Roman"/>
          <w:sz w:val="24"/>
          <w:szCs w:val="24"/>
          <w:lang w:val="en-US" w:eastAsia="zh-CN"/>
        </w:rPr>
        <w:t>务部 海关总署 税务总局</w:t>
      </w:r>
      <w:r>
        <w:rPr>
          <w:rFonts w:hint="eastAsia" w:ascii="仿宋_GB2312" w:hAnsi="Times New Roman" w:eastAsia="仿宋_GB2312" w:cs="Times New Roman"/>
          <w:sz w:val="24"/>
          <w:szCs w:val="24"/>
          <w:lang w:val="en-US" w:eastAsia="zh-CN"/>
        </w:rPr>
        <w:t>关于大力推进海运业高质量发展的指导意见》（交水发〔2020〕18号）文件发布，文件指出为深入贯彻落实习近平总书记关于“经济强国必定是海洋强国、航运强国”“经济要发展，国家要强大，交通特别是海运首先要强起来”的重要指示精神，落实《交通强国建设纲要》，促进海运业高质量发展，以供给侧结构性改革为主线，坚持全球视野、服务大局，坚持改革创新、融合发展，坚持政府引导、企业主体，着力补短板、优服务、转动能、强保障，加快形成海运业高质量发展体系。主要任务包括进一步优化海运船队规模结构，提升船舶装备技术水平，鼓励海运企业兼并重组，促进规模化、集约化、多元化经营等。</w:t>
      </w:r>
    </w:p>
    <w:p w14:paraId="1722F0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2021年4月，泉州市人民政府为贯彻落实党中央、国务院关于交通强国、海洋强国的决策部署，持续推动全市水运企业做大做强，发布《泉州市人民政府关于进一步促进水路运输业发展的实施意见》（泉政文〔2021〕15号），在原泉政文〔2017〕150号文件上进行修改</w:t>
      </w:r>
      <w:bookmarkStart w:id="9" w:name="_Toc184981058"/>
      <w:r>
        <w:rPr>
          <w:rFonts w:hint="eastAsia" w:ascii="仿宋_GB2312" w:hAnsi="Times New Roman" w:eastAsia="仿宋_GB2312" w:cs="Times New Roman"/>
          <w:sz w:val="24"/>
          <w:szCs w:val="24"/>
          <w:lang w:val="en-US" w:eastAsia="zh-CN"/>
        </w:rPr>
        <w:t>，适当提高新增运力奖励门槛，调整企业运力规模奖励基数，调整政策限制性条款，实施意见自印发之日起实施，有效期至2023年12月31日。</w:t>
      </w:r>
    </w:p>
    <w:p w14:paraId="1FD05F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2.主要内容及实施情况</w:t>
      </w:r>
      <w:bookmarkEnd w:id="9"/>
    </w:p>
    <w:p w14:paraId="4EDBFD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根据泉政文〔2021〕15号文件，石狮市水路运输业相关补助主要包括三个方面：（1）鼓励企业新增运力，水路运输企业新增（不含泉州市域内过户）船龄在</w:t>
      </w:r>
      <w:r>
        <w:rPr>
          <w:rFonts w:hint="default" w:ascii="仿宋_GB2312" w:hAnsi="Times New Roman" w:eastAsia="仿宋_GB2312" w:cs="Times New Roman"/>
          <w:sz w:val="24"/>
          <w:szCs w:val="24"/>
          <w:lang w:val="en-US" w:eastAsia="zh-CN"/>
        </w:rPr>
        <w:t>10年（含）以内并在</w:t>
      </w:r>
      <w:r>
        <w:rPr>
          <w:rFonts w:hint="eastAsia" w:ascii="仿宋_GB2312" w:hAnsi="Times New Roman" w:eastAsia="仿宋_GB2312" w:cs="Times New Roman"/>
          <w:sz w:val="24"/>
          <w:szCs w:val="24"/>
          <w:lang w:val="en-US" w:eastAsia="zh-CN"/>
        </w:rPr>
        <w:t>本市内</w:t>
      </w:r>
      <w:r>
        <w:rPr>
          <w:rFonts w:hint="default" w:ascii="仿宋_GB2312" w:hAnsi="Times New Roman" w:eastAsia="仿宋_GB2312" w:cs="Times New Roman"/>
          <w:sz w:val="24"/>
          <w:szCs w:val="24"/>
          <w:lang w:val="en-US" w:eastAsia="zh-CN"/>
        </w:rPr>
        <w:t>入户、自有并合法经营的5000载重吨及以上的船舶，每载重吨给予一次性奖励100元</w:t>
      </w:r>
      <w:r>
        <w:rPr>
          <w:rFonts w:hint="eastAsia" w:ascii="仿宋_GB2312" w:hAnsi="Times New Roman" w:eastAsia="仿宋_GB2312" w:cs="Times New Roman"/>
          <w:sz w:val="24"/>
          <w:szCs w:val="24"/>
          <w:lang w:val="en-US" w:eastAsia="zh-CN"/>
        </w:rPr>
        <w:t>；（2）促进企业规模发展，</w:t>
      </w:r>
      <w:r>
        <w:rPr>
          <w:rFonts w:hint="default" w:ascii="仿宋_GB2312" w:hAnsi="Times New Roman" w:eastAsia="仿宋_GB2312" w:cs="Times New Roman"/>
          <w:sz w:val="24"/>
          <w:szCs w:val="24"/>
          <w:lang w:val="en-US" w:eastAsia="zh-CN"/>
        </w:rPr>
        <w:t>水路运输企业总运力规模新达到10万载重吨及以上的，给予企业一次性奖励100万元；每增加5万载重吨的，再奖励70万元，每家企业累计奖励总金额不超过350万元。水路运输企业总运力规模已达到10万载重吨及以上的，每增加5万载重吨给予一次性奖励70万元，每家企业累计奖励总金额不超过350万元。由</w:t>
      </w:r>
      <w:r>
        <w:rPr>
          <w:rFonts w:hint="eastAsia" w:ascii="仿宋_GB2312" w:hAnsi="Times New Roman" w:eastAsia="仿宋_GB2312" w:cs="Times New Roman"/>
          <w:sz w:val="24"/>
          <w:szCs w:val="24"/>
          <w:lang w:val="en-US" w:eastAsia="zh-CN"/>
        </w:rPr>
        <w:t>本</w:t>
      </w:r>
      <w:r>
        <w:rPr>
          <w:rFonts w:hint="default" w:ascii="仿宋_GB2312" w:hAnsi="Times New Roman" w:eastAsia="仿宋_GB2312" w:cs="Times New Roman"/>
          <w:sz w:val="24"/>
          <w:szCs w:val="24"/>
          <w:lang w:val="en-US" w:eastAsia="zh-CN"/>
        </w:rPr>
        <w:t>市两家（含）以上（运力规模均为未达到10万载重吨）水路运输企业通过兼并重组运力规模达到10万载重吨及以上的新企业，给予新企业一次性奖励100万元；新企业在重组后运力规模基础上每增加</w:t>
      </w:r>
      <w:r>
        <w:rPr>
          <w:rFonts w:hint="eastAsia" w:ascii="仿宋_GB2312" w:hAnsi="Times New Roman" w:eastAsia="仿宋_GB2312" w:cs="Times New Roman"/>
          <w:sz w:val="24"/>
          <w:szCs w:val="24"/>
          <w:lang w:val="en-US" w:eastAsia="zh-CN"/>
        </w:rPr>
        <w:t>5</w:t>
      </w:r>
      <w:r>
        <w:rPr>
          <w:rFonts w:hint="default" w:ascii="仿宋_GB2312" w:hAnsi="Times New Roman" w:eastAsia="仿宋_GB2312" w:cs="Times New Roman"/>
          <w:sz w:val="24"/>
          <w:szCs w:val="24"/>
          <w:lang w:val="en-US" w:eastAsia="zh-CN"/>
        </w:rPr>
        <w:t>万载重吨给予一次性奖励70万元，每家新企业累计奖励总金额不超过350万元</w:t>
      </w:r>
      <w:r>
        <w:rPr>
          <w:rFonts w:hint="eastAsia" w:ascii="仿宋_GB2312" w:hAnsi="Times New Roman" w:eastAsia="仿宋_GB2312" w:cs="Times New Roman"/>
          <w:sz w:val="24"/>
          <w:szCs w:val="24"/>
          <w:lang w:val="en-US" w:eastAsia="zh-CN"/>
        </w:rPr>
        <w:t>；（3）实施船舶贷款贴息，水路运输企业在本市新增（不含泉州市域内过户）</w:t>
      </w:r>
      <w:r>
        <w:rPr>
          <w:rFonts w:hint="default" w:ascii="仿宋_GB2312" w:hAnsi="Times New Roman" w:eastAsia="仿宋_GB2312" w:cs="Times New Roman"/>
          <w:sz w:val="24"/>
          <w:szCs w:val="24"/>
          <w:lang w:val="en-US" w:eastAsia="zh-CN"/>
        </w:rPr>
        <w:t>5000载重吨及以上、船龄在5年（含）以内且符合交通运输部公布的节能减排标准的自有船舶所实施的项目贷款利息补贴（贷款款项必须用于建造或者购置完工船舶的实际支出），按照年贷款利息的20%给予补贴，单艘船舶累计补贴不超过500万元。</w:t>
      </w:r>
      <w:r>
        <w:rPr>
          <w:rFonts w:hint="eastAsia" w:ascii="仿宋_GB2312" w:hAnsi="Times New Roman" w:eastAsia="仿宋_GB2312" w:cs="Times New Roman"/>
          <w:sz w:val="24"/>
          <w:szCs w:val="24"/>
          <w:lang w:val="en-US" w:eastAsia="zh-CN"/>
        </w:rPr>
        <w:t>文件有效期至2023年12月31日，但2022年企业申报应发放的部分补贴因财政拨款时间推迟，顺延至2024年发放完毕，因此本次评价的2024年发放的水路运输业补贴资金标准主要仍沿用该文件。</w:t>
      </w:r>
    </w:p>
    <w:p w14:paraId="49A5C8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en-US" w:eastAsia="zh-CN"/>
        </w:rPr>
      </w:pPr>
      <w:bookmarkStart w:id="10" w:name="_Toc184981059"/>
      <w:r>
        <w:rPr>
          <w:rFonts w:hint="eastAsia" w:ascii="仿宋_GB2312" w:hAnsi="Times New Roman" w:eastAsia="仿宋_GB2312" w:cs="Times New Roman"/>
          <w:sz w:val="24"/>
          <w:szCs w:val="24"/>
          <w:lang w:val="en-US" w:eastAsia="zh-CN"/>
        </w:rPr>
        <w:t>3.资金投入和使用情况</w:t>
      </w:r>
      <w:bookmarkEnd w:id="10"/>
    </w:p>
    <w:p w14:paraId="5D2BDD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由于水路运输业相关补贴项目为事后补助，2024年度资金拨付文件包括狮财预指〔2024〕074号、狮财预指〔2024〕099号、狮财预指〔2024〕129号、狮财预指〔2024〕176号，其中狮财预指〔2024〕074号、狮财预指〔2024〕099号、狮财预指〔2024〕129号、狮财预指〔2024〕176号是根据石狮市各水路运输企业2022年发展情况提供的申报材料开展相关补贴，并扣除2023年度已拨付的部分进行发放。石狮市2024年水路运输业相关补贴支出和退回情况详见表1、表2：</w:t>
      </w:r>
    </w:p>
    <w:p w14:paraId="4FFF4469">
      <w:pPr>
        <w:pStyle w:val="6"/>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Times New Roman" w:eastAsia="仿宋_GB2312" w:cs="Times New Roman"/>
          <w:b/>
          <w:bCs/>
          <w:kern w:val="2"/>
          <w:sz w:val="24"/>
          <w:szCs w:val="24"/>
          <w:lang w:val="zh-CN" w:eastAsia="zh-CN" w:bidi="ar-SA"/>
        </w:rPr>
      </w:pPr>
      <w:r>
        <w:rPr>
          <w:rFonts w:hint="eastAsia" w:ascii="仿宋_GB2312" w:hAnsi="Times New Roman" w:eastAsia="仿宋_GB2312" w:cs="Times New Roman"/>
          <w:b/>
          <w:bCs/>
          <w:kern w:val="2"/>
          <w:sz w:val="24"/>
          <w:szCs w:val="24"/>
          <w:lang w:val="zh-CN" w:eastAsia="zh-CN" w:bidi="ar-SA"/>
        </w:rPr>
        <w:t>表</w:t>
      </w:r>
      <w:r>
        <w:rPr>
          <w:rFonts w:hint="eastAsia" w:ascii="仿宋_GB2312" w:hAnsi="Times New Roman" w:eastAsia="仿宋_GB2312" w:cs="Times New Roman"/>
          <w:b/>
          <w:bCs/>
          <w:kern w:val="2"/>
          <w:sz w:val="24"/>
          <w:szCs w:val="24"/>
          <w:lang w:val="en-US" w:eastAsia="zh-CN" w:bidi="ar-SA"/>
        </w:rPr>
        <w:t>1  石狮市</w:t>
      </w:r>
      <w:r>
        <w:rPr>
          <w:rFonts w:hint="eastAsia" w:ascii="仿宋_GB2312" w:hAnsi="Times New Roman" w:eastAsia="仿宋_GB2312" w:cs="Times New Roman"/>
          <w:b/>
          <w:bCs/>
          <w:kern w:val="2"/>
          <w:sz w:val="24"/>
          <w:szCs w:val="24"/>
          <w:lang w:val="zh-CN" w:eastAsia="zh-CN" w:bidi="ar-SA"/>
        </w:rPr>
        <w:t>202</w:t>
      </w:r>
      <w:r>
        <w:rPr>
          <w:rFonts w:hint="eastAsia" w:ascii="仿宋_GB2312" w:hAnsi="Times New Roman" w:eastAsia="仿宋_GB2312" w:cs="Times New Roman"/>
          <w:b/>
          <w:bCs/>
          <w:kern w:val="2"/>
          <w:sz w:val="24"/>
          <w:szCs w:val="24"/>
          <w:lang w:val="en-US" w:eastAsia="zh-CN" w:bidi="ar-SA"/>
        </w:rPr>
        <w:t>4</w:t>
      </w:r>
      <w:r>
        <w:rPr>
          <w:rFonts w:hint="eastAsia" w:ascii="仿宋_GB2312" w:hAnsi="Times New Roman" w:eastAsia="仿宋_GB2312" w:cs="Times New Roman"/>
          <w:b/>
          <w:bCs/>
          <w:kern w:val="2"/>
          <w:sz w:val="24"/>
          <w:szCs w:val="24"/>
          <w:lang w:val="zh-CN" w:eastAsia="zh-CN" w:bidi="ar-SA"/>
        </w:rPr>
        <w:t>年</w:t>
      </w:r>
      <w:r>
        <w:rPr>
          <w:rFonts w:hint="eastAsia" w:ascii="仿宋_GB2312" w:hAnsi="Times New Roman" w:eastAsia="仿宋_GB2312" w:cs="Times New Roman"/>
          <w:b/>
          <w:bCs/>
          <w:kern w:val="2"/>
          <w:sz w:val="24"/>
          <w:szCs w:val="24"/>
          <w:lang w:val="en-US" w:eastAsia="zh-CN" w:bidi="ar-SA"/>
        </w:rPr>
        <w:t>水路运输业相关补贴支出</w:t>
      </w:r>
      <w:r>
        <w:rPr>
          <w:rFonts w:hint="eastAsia" w:ascii="仿宋_GB2312" w:hAnsi="Times New Roman" w:eastAsia="仿宋_GB2312" w:cs="Times New Roman"/>
          <w:b/>
          <w:bCs/>
          <w:kern w:val="2"/>
          <w:sz w:val="24"/>
          <w:szCs w:val="24"/>
          <w:lang w:val="zh-CN" w:eastAsia="zh-CN" w:bidi="ar-SA"/>
        </w:rPr>
        <w:t>情况</w:t>
      </w:r>
    </w:p>
    <w:p w14:paraId="30BACA71">
      <w:pPr>
        <w:pStyle w:val="6"/>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240" w:lineRule="auto"/>
        <w:ind w:left="0" w:leftChars="0" w:firstLine="0" w:firstLineChars="0"/>
        <w:jc w:val="right"/>
        <w:textAlignment w:val="auto"/>
        <w:rPr>
          <w:rFonts w:hint="default"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val="0"/>
          <w:bCs w:val="0"/>
          <w:kern w:val="2"/>
          <w:sz w:val="24"/>
          <w:szCs w:val="24"/>
          <w:lang w:val="en-US" w:eastAsia="zh-CN" w:bidi="ar-SA"/>
        </w:rPr>
        <w:t>单位：万元</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14"/>
        <w:gridCol w:w="2626"/>
        <w:gridCol w:w="1510"/>
        <w:gridCol w:w="1337"/>
      </w:tblGrid>
      <w:tr w14:paraId="5E19F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414" w:type="dxa"/>
            <w:vAlign w:val="center"/>
          </w:tcPr>
          <w:p w14:paraId="1383FB09">
            <w:pPr>
              <w:pStyle w:val="6"/>
              <w:numPr>
                <w:ilvl w:val="0"/>
                <w:numId w:val="0"/>
              </w:numPr>
              <w:tabs>
                <w:tab w:val="clear" w:pos="2040"/>
              </w:tabs>
              <w:jc w:val="center"/>
              <w:rPr>
                <w:rFonts w:hint="default" w:ascii="仿宋_GB2312" w:hAnsi="Times New Roman" w:eastAsia="仿宋_GB2312" w:cs="Times New Roman"/>
                <w:b/>
                <w:bCs/>
                <w:kern w:val="2"/>
                <w:sz w:val="21"/>
                <w:szCs w:val="21"/>
                <w:vertAlign w:val="baseline"/>
                <w:lang w:val="en-US" w:eastAsia="zh-CN" w:bidi="ar-SA"/>
              </w:rPr>
            </w:pPr>
            <w:r>
              <w:rPr>
                <w:rFonts w:hint="eastAsia" w:ascii="仿宋_GB2312" w:hAnsi="Times New Roman" w:eastAsia="仿宋_GB2312" w:cs="Times New Roman"/>
                <w:b/>
                <w:bCs/>
                <w:kern w:val="2"/>
                <w:sz w:val="21"/>
                <w:szCs w:val="21"/>
                <w:vertAlign w:val="baseline"/>
                <w:lang w:val="en-US" w:eastAsia="zh-CN" w:bidi="ar-SA"/>
              </w:rPr>
              <w:t>补贴项目</w:t>
            </w:r>
          </w:p>
        </w:tc>
        <w:tc>
          <w:tcPr>
            <w:tcW w:w="2626" w:type="dxa"/>
            <w:vAlign w:val="center"/>
          </w:tcPr>
          <w:p w14:paraId="18830CB1">
            <w:pPr>
              <w:pStyle w:val="6"/>
              <w:numPr>
                <w:ilvl w:val="0"/>
                <w:numId w:val="0"/>
              </w:numPr>
              <w:tabs>
                <w:tab w:val="clear" w:pos="2040"/>
              </w:tabs>
              <w:jc w:val="center"/>
              <w:rPr>
                <w:rFonts w:hint="default" w:ascii="仿宋_GB2312" w:hAnsi="Times New Roman" w:eastAsia="仿宋_GB2312" w:cs="Times New Roman"/>
                <w:b/>
                <w:bCs/>
                <w:kern w:val="2"/>
                <w:sz w:val="21"/>
                <w:szCs w:val="21"/>
                <w:vertAlign w:val="baseline"/>
                <w:lang w:val="en-US" w:eastAsia="zh-CN" w:bidi="ar-SA"/>
              </w:rPr>
            </w:pPr>
            <w:r>
              <w:rPr>
                <w:rFonts w:hint="eastAsia" w:ascii="仿宋_GB2312" w:hAnsi="Times New Roman" w:eastAsia="仿宋_GB2312" w:cs="Times New Roman"/>
                <w:b/>
                <w:bCs/>
                <w:kern w:val="2"/>
                <w:sz w:val="21"/>
                <w:szCs w:val="21"/>
                <w:vertAlign w:val="baseline"/>
                <w:lang w:val="en-US" w:eastAsia="zh-CN" w:bidi="ar-SA"/>
              </w:rPr>
              <w:t>受补贴企业</w:t>
            </w:r>
          </w:p>
        </w:tc>
        <w:tc>
          <w:tcPr>
            <w:tcW w:w="1510" w:type="dxa"/>
            <w:vAlign w:val="center"/>
          </w:tcPr>
          <w:p w14:paraId="418AD2A1">
            <w:pPr>
              <w:pStyle w:val="6"/>
              <w:numPr>
                <w:ilvl w:val="0"/>
                <w:numId w:val="0"/>
              </w:numPr>
              <w:tabs>
                <w:tab w:val="clear" w:pos="2040"/>
              </w:tabs>
              <w:jc w:val="center"/>
              <w:rPr>
                <w:rFonts w:hint="default" w:ascii="仿宋_GB2312" w:hAnsi="Times New Roman" w:eastAsia="仿宋_GB2312" w:cs="Times New Roman"/>
                <w:b/>
                <w:bCs/>
                <w:kern w:val="2"/>
                <w:sz w:val="21"/>
                <w:szCs w:val="21"/>
                <w:vertAlign w:val="baseline"/>
                <w:lang w:val="en-US" w:eastAsia="zh-CN" w:bidi="ar-SA"/>
              </w:rPr>
            </w:pPr>
            <w:r>
              <w:rPr>
                <w:rFonts w:hint="eastAsia" w:ascii="仿宋_GB2312" w:hAnsi="Times New Roman" w:eastAsia="仿宋_GB2312" w:cs="Times New Roman"/>
                <w:b/>
                <w:bCs/>
                <w:kern w:val="2"/>
                <w:sz w:val="21"/>
                <w:szCs w:val="21"/>
                <w:vertAlign w:val="baseline"/>
                <w:lang w:val="en-US" w:eastAsia="zh-CN" w:bidi="ar-SA"/>
              </w:rPr>
              <w:t>补贴金额</w:t>
            </w:r>
          </w:p>
        </w:tc>
        <w:tc>
          <w:tcPr>
            <w:tcW w:w="1337" w:type="dxa"/>
            <w:vAlign w:val="center"/>
          </w:tcPr>
          <w:p w14:paraId="0AB97FD6">
            <w:pPr>
              <w:pStyle w:val="6"/>
              <w:numPr>
                <w:ilvl w:val="0"/>
                <w:numId w:val="0"/>
              </w:numPr>
              <w:tabs>
                <w:tab w:val="clear" w:pos="2040"/>
              </w:tabs>
              <w:jc w:val="center"/>
              <w:rPr>
                <w:rFonts w:hint="default" w:ascii="仿宋_GB2312" w:hAnsi="Times New Roman" w:eastAsia="仿宋_GB2312" w:cs="Times New Roman"/>
                <w:b/>
                <w:bCs/>
                <w:kern w:val="2"/>
                <w:sz w:val="21"/>
                <w:szCs w:val="21"/>
                <w:vertAlign w:val="baseline"/>
                <w:lang w:val="en-US" w:eastAsia="zh-CN" w:bidi="ar-SA"/>
              </w:rPr>
            </w:pPr>
            <w:r>
              <w:rPr>
                <w:rFonts w:hint="eastAsia" w:ascii="仿宋_GB2312" w:hAnsi="Times New Roman" w:eastAsia="仿宋_GB2312" w:cs="Times New Roman"/>
                <w:b/>
                <w:bCs/>
                <w:kern w:val="2"/>
                <w:sz w:val="21"/>
                <w:szCs w:val="21"/>
                <w:vertAlign w:val="baseline"/>
                <w:lang w:val="en-US" w:eastAsia="zh-CN" w:bidi="ar-SA"/>
              </w:rPr>
              <w:t>补贴占比</w:t>
            </w:r>
          </w:p>
        </w:tc>
      </w:tr>
      <w:tr w14:paraId="2F27B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3414" w:type="dxa"/>
            <w:vAlign w:val="center"/>
          </w:tcPr>
          <w:p w14:paraId="158E795D">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2023年-2024年实施船舶贷款贴息</w:t>
            </w:r>
          </w:p>
        </w:tc>
        <w:tc>
          <w:tcPr>
            <w:tcW w:w="2626" w:type="dxa"/>
            <w:vMerge w:val="restart"/>
            <w:vAlign w:val="center"/>
          </w:tcPr>
          <w:p w14:paraId="4370C778">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石狮鼎盛船务有限公司</w:t>
            </w:r>
          </w:p>
        </w:tc>
        <w:tc>
          <w:tcPr>
            <w:tcW w:w="1510" w:type="dxa"/>
            <w:vAlign w:val="center"/>
          </w:tcPr>
          <w:p w14:paraId="7F3FADA1">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168.2395</w:t>
            </w:r>
          </w:p>
        </w:tc>
        <w:tc>
          <w:tcPr>
            <w:tcW w:w="1337" w:type="dxa"/>
            <w:vAlign w:val="center"/>
          </w:tcPr>
          <w:p w14:paraId="7ED7DA2A">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2.60%</w:t>
            </w:r>
          </w:p>
        </w:tc>
      </w:tr>
      <w:tr w14:paraId="181ED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3414" w:type="dxa"/>
            <w:vAlign w:val="center"/>
          </w:tcPr>
          <w:p w14:paraId="512FD284">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促进企业规模发展</w:t>
            </w:r>
          </w:p>
        </w:tc>
        <w:tc>
          <w:tcPr>
            <w:tcW w:w="2626" w:type="dxa"/>
            <w:vMerge w:val="continue"/>
            <w:vAlign w:val="center"/>
          </w:tcPr>
          <w:p w14:paraId="6897511C">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p>
        </w:tc>
        <w:tc>
          <w:tcPr>
            <w:tcW w:w="1510" w:type="dxa"/>
            <w:vAlign w:val="center"/>
          </w:tcPr>
          <w:p w14:paraId="02B9244A">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167</w:t>
            </w:r>
          </w:p>
        </w:tc>
        <w:tc>
          <w:tcPr>
            <w:tcW w:w="1337" w:type="dxa"/>
            <w:vAlign w:val="center"/>
          </w:tcPr>
          <w:p w14:paraId="6CB4ECC8">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2.58%</w:t>
            </w:r>
          </w:p>
        </w:tc>
      </w:tr>
      <w:tr w14:paraId="76A1B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662876FA">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鼓励企业新增运力</w:t>
            </w:r>
          </w:p>
        </w:tc>
        <w:tc>
          <w:tcPr>
            <w:tcW w:w="2626" w:type="dxa"/>
            <w:vMerge w:val="continue"/>
            <w:vAlign w:val="center"/>
          </w:tcPr>
          <w:p w14:paraId="66C960F8">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p>
        </w:tc>
        <w:tc>
          <w:tcPr>
            <w:tcW w:w="1510" w:type="dxa"/>
            <w:vAlign w:val="center"/>
          </w:tcPr>
          <w:p w14:paraId="0FD33016">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2,289.02</w:t>
            </w:r>
          </w:p>
        </w:tc>
        <w:tc>
          <w:tcPr>
            <w:tcW w:w="1337" w:type="dxa"/>
            <w:vAlign w:val="center"/>
          </w:tcPr>
          <w:p w14:paraId="62F06E21">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35.36%</w:t>
            </w:r>
          </w:p>
        </w:tc>
      </w:tr>
      <w:tr w14:paraId="48E6A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4FC71E8D">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2023年-2024年实施船舶贷款贴息</w:t>
            </w:r>
          </w:p>
        </w:tc>
        <w:tc>
          <w:tcPr>
            <w:tcW w:w="2626" w:type="dxa"/>
            <w:vMerge w:val="restart"/>
            <w:vAlign w:val="center"/>
          </w:tcPr>
          <w:p w14:paraId="2A4A6ECB">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福建省东亿船务有限责任公司</w:t>
            </w:r>
          </w:p>
        </w:tc>
        <w:tc>
          <w:tcPr>
            <w:tcW w:w="1510" w:type="dxa"/>
            <w:vAlign w:val="center"/>
          </w:tcPr>
          <w:p w14:paraId="1A772BCE">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203.8057</w:t>
            </w:r>
          </w:p>
        </w:tc>
        <w:tc>
          <w:tcPr>
            <w:tcW w:w="1337" w:type="dxa"/>
            <w:vAlign w:val="center"/>
          </w:tcPr>
          <w:p w14:paraId="19544272">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3.15%</w:t>
            </w:r>
          </w:p>
        </w:tc>
      </w:tr>
      <w:tr w14:paraId="12E06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3D080C51">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促进企业规模发展</w:t>
            </w:r>
          </w:p>
        </w:tc>
        <w:tc>
          <w:tcPr>
            <w:tcW w:w="2626" w:type="dxa"/>
            <w:vMerge w:val="continue"/>
            <w:vAlign w:val="center"/>
          </w:tcPr>
          <w:p w14:paraId="393DE6E5">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p>
        </w:tc>
        <w:tc>
          <w:tcPr>
            <w:tcW w:w="1510" w:type="dxa"/>
            <w:vAlign w:val="center"/>
          </w:tcPr>
          <w:p w14:paraId="1D5955D8">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114</w:t>
            </w:r>
          </w:p>
        </w:tc>
        <w:tc>
          <w:tcPr>
            <w:tcW w:w="1337" w:type="dxa"/>
            <w:vAlign w:val="center"/>
          </w:tcPr>
          <w:p w14:paraId="46C145DD">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1.76%</w:t>
            </w:r>
          </w:p>
        </w:tc>
      </w:tr>
      <w:tr w14:paraId="5F1FE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48B3F498">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鼓励企业新增运力</w:t>
            </w:r>
          </w:p>
        </w:tc>
        <w:tc>
          <w:tcPr>
            <w:tcW w:w="2626" w:type="dxa"/>
            <w:vMerge w:val="continue"/>
            <w:vAlign w:val="center"/>
          </w:tcPr>
          <w:p w14:paraId="0C8D5DCE">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p>
        </w:tc>
        <w:tc>
          <w:tcPr>
            <w:tcW w:w="1510" w:type="dxa"/>
            <w:vAlign w:val="center"/>
          </w:tcPr>
          <w:p w14:paraId="713FA34B">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1,501.47</w:t>
            </w:r>
          </w:p>
        </w:tc>
        <w:tc>
          <w:tcPr>
            <w:tcW w:w="1337" w:type="dxa"/>
            <w:vAlign w:val="center"/>
          </w:tcPr>
          <w:p w14:paraId="4C663590">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23.20%</w:t>
            </w:r>
          </w:p>
        </w:tc>
      </w:tr>
      <w:tr w14:paraId="24F3E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2239F80C">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2023年-2024年实施船舶贷款贴息</w:t>
            </w:r>
          </w:p>
        </w:tc>
        <w:tc>
          <w:tcPr>
            <w:tcW w:w="2626" w:type="dxa"/>
            <w:vMerge w:val="restart"/>
            <w:vAlign w:val="center"/>
          </w:tcPr>
          <w:p w14:paraId="7B7842D0">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石狮鼎鑫海运有限公司</w:t>
            </w:r>
          </w:p>
        </w:tc>
        <w:tc>
          <w:tcPr>
            <w:tcW w:w="1510" w:type="dxa"/>
            <w:vAlign w:val="center"/>
          </w:tcPr>
          <w:p w14:paraId="3F059285">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146.7804</w:t>
            </w:r>
          </w:p>
        </w:tc>
        <w:tc>
          <w:tcPr>
            <w:tcW w:w="1337" w:type="dxa"/>
            <w:vAlign w:val="center"/>
          </w:tcPr>
          <w:p w14:paraId="7B4436A9">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2.27%</w:t>
            </w:r>
          </w:p>
        </w:tc>
      </w:tr>
      <w:tr w14:paraId="31B63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402C3D5B">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促进企业规模发展</w:t>
            </w:r>
          </w:p>
        </w:tc>
        <w:tc>
          <w:tcPr>
            <w:tcW w:w="2626" w:type="dxa"/>
            <w:vMerge w:val="continue"/>
            <w:vAlign w:val="center"/>
          </w:tcPr>
          <w:p w14:paraId="51A3403A">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p>
        </w:tc>
        <w:tc>
          <w:tcPr>
            <w:tcW w:w="1510" w:type="dxa"/>
            <w:vAlign w:val="center"/>
          </w:tcPr>
          <w:p w14:paraId="67F63DBE">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47</w:t>
            </w:r>
          </w:p>
        </w:tc>
        <w:tc>
          <w:tcPr>
            <w:tcW w:w="1337" w:type="dxa"/>
            <w:vAlign w:val="center"/>
          </w:tcPr>
          <w:p w14:paraId="5CA51BD3">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0.73%</w:t>
            </w:r>
          </w:p>
        </w:tc>
      </w:tr>
      <w:tr w14:paraId="58F8F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57BB3004">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鼓励企业新增运力</w:t>
            </w:r>
          </w:p>
        </w:tc>
        <w:tc>
          <w:tcPr>
            <w:tcW w:w="2626" w:type="dxa"/>
            <w:vMerge w:val="continue"/>
            <w:vAlign w:val="center"/>
          </w:tcPr>
          <w:p w14:paraId="6E406A9F">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p>
        </w:tc>
        <w:tc>
          <w:tcPr>
            <w:tcW w:w="1510" w:type="dxa"/>
            <w:vAlign w:val="center"/>
          </w:tcPr>
          <w:p w14:paraId="714EAF28">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335.09</w:t>
            </w:r>
          </w:p>
        </w:tc>
        <w:tc>
          <w:tcPr>
            <w:tcW w:w="1337" w:type="dxa"/>
            <w:vAlign w:val="center"/>
          </w:tcPr>
          <w:p w14:paraId="32861FE1">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5.18%</w:t>
            </w:r>
          </w:p>
        </w:tc>
      </w:tr>
      <w:tr w14:paraId="622B6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02CDC95F">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鼓励企业新增运力</w:t>
            </w:r>
          </w:p>
        </w:tc>
        <w:tc>
          <w:tcPr>
            <w:tcW w:w="2626" w:type="dxa"/>
            <w:vAlign w:val="center"/>
          </w:tcPr>
          <w:p w14:paraId="58B3619A">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福建鑫淼海运有限公司</w:t>
            </w:r>
          </w:p>
        </w:tc>
        <w:tc>
          <w:tcPr>
            <w:tcW w:w="1510" w:type="dxa"/>
            <w:vAlign w:val="center"/>
          </w:tcPr>
          <w:p w14:paraId="2F82EB0C">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789</w:t>
            </w:r>
          </w:p>
        </w:tc>
        <w:tc>
          <w:tcPr>
            <w:tcW w:w="1337" w:type="dxa"/>
            <w:vAlign w:val="center"/>
          </w:tcPr>
          <w:p w14:paraId="61294199">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12.19%</w:t>
            </w:r>
          </w:p>
        </w:tc>
      </w:tr>
      <w:tr w14:paraId="51026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462B747B">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2023年-2024年实施船舶贷款贴息</w:t>
            </w:r>
          </w:p>
        </w:tc>
        <w:tc>
          <w:tcPr>
            <w:tcW w:w="2626" w:type="dxa"/>
            <w:vMerge w:val="restart"/>
            <w:vAlign w:val="center"/>
          </w:tcPr>
          <w:p w14:paraId="6AD5D943">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福建千祥船务有限公司</w:t>
            </w:r>
          </w:p>
        </w:tc>
        <w:tc>
          <w:tcPr>
            <w:tcW w:w="1510" w:type="dxa"/>
            <w:vAlign w:val="center"/>
          </w:tcPr>
          <w:p w14:paraId="5DD191D2">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14.99532</w:t>
            </w:r>
          </w:p>
        </w:tc>
        <w:tc>
          <w:tcPr>
            <w:tcW w:w="1337" w:type="dxa"/>
            <w:vAlign w:val="center"/>
          </w:tcPr>
          <w:p w14:paraId="4473396F">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0.23%</w:t>
            </w:r>
          </w:p>
        </w:tc>
      </w:tr>
      <w:tr w14:paraId="55B9F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7351053B">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鼓励企业新增运力</w:t>
            </w:r>
          </w:p>
        </w:tc>
        <w:tc>
          <w:tcPr>
            <w:tcW w:w="2626" w:type="dxa"/>
            <w:vMerge w:val="continue"/>
            <w:vAlign w:val="center"/>
          </w:tcPr>
          <w:p w14:paraId="1E1E276C">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p>
        </w:tc>
        <w:tc>
          <w:tcPr>
            <w:tcW w:w="1510" w:type="dxa"/>
            <w:vAlign w:val="center"/>
          </w:tcPr>
          <w:p w14:paraId="7C6A51B5">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87.98</w:t>
            </w:r>
          </w:p>
        </w:tc>
        <w:tc>
          <w:tcPr>
            <w:tcW w:w="1337" w:type="dxa"/>
            <w:vAlign w:val="center"/>
          </w:tcPr>
          <w:p w14:paraId="0DD0588A">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1.36%</w:t>
            </w:r>
          </w:p>
        </w:tc>
      </w:tr>
      <w:tr w14:paraId="0F05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424DD3C6">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鼓励企业新增运力</w:t>
            </w:r>
          </w:p>
        </w:tc>
        <w:tc>
          <w:tcPr>
            <w:tcW w:w="2626" w:type="dxa"/>
            <w:vAlign w:val="center"/>
          </w:tcPr>
          <w:p w14:paraId="715E5B4A">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石狮聚远船运有限公司</w:t>
            </w:r>
          </w:p>
        </w:tc>
        <w:tc>
          <w:tcPr>
            <w:tcW w:w="1510" w:type="dxa"/>
            <w:vAlign w:val="center"/>
          </w:tcPr>
          <w:p w14:paraId="1554E1EE">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89.9</w:t>
            </w:r>
          </w:p>
        </w:tc>
        <w:tc>
          <w:tcPr>
            <w:tcW w:w="1337" w:type="dxa"/>
            <w:vAlign w:val="center"/>
          </w:tcPr>
          <w:p w14:paraId="7C4FF11E">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1.39%</w:t>
            </w:r>
          </w:p>
        </w:tc>
      </w:tr>
      <w:tr w14:paraId="0D0E3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666277CA">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鼓励企业新增运力</w:t>
            </w:r>
          </w:p>
        </w:tc>
        <w:tc>
          <w:tcPr>
            <w:tcW w:w="2626" w:type="dxa"/>
            <w:vAlign w:val="center"/>
          </w:tcPr>
          <w:p w14:paraId="7E081924">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石狮市祥展航运有限公司</w:t>
            </w:r>
          </w:p>
        </w:tc>
        <w:tc>
          <w:tcPr>
            <w:tcW w:w="1510" w:type="dxa"/>
            <w:vAlign w:val="center"/>
          </w:tcPr>
          <w:p w14:paraId="7DB78A7C">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84.58</w:t>
            </w:r>
          </w:p>
        </w:tc>
        <w:tc>
          <w:tcPr>
            <w:tcW w:w="1337" w:type="dxa"/>
            <w:vAlign w:val="center"/>
          </w:tcPr>
          <w:p w14:paraId="6AB71B5E">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1.31%</w:t>
            </w:r>
          </w:p>
        </w:tc>
      </w:tr>
      <w:tr w14:paraId="2D869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4E265A4D">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鼓励企业新增运力</w:t>
            </w:r>
          </w:p>
        </w:tc>
        <w:tc>
          <w:tcPr>
            <w:tcW w:w="2626" w:type="dxa"/>
            <w:vAlign w:val="center"/>
          </w:tcPr>
          <w:p w14:paraId="4714C3F3">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福建省鑫嘉源海运有限责任公司</w:t>
            </w:r>
          </w:p>
        </w:tc>
        <w:tc>
          <w:tcPr>
            <w:tcW w:w="1510" w:type="dxa"/>
            <w:vAlign w:val="center"/>
          </w:tcPr>
          <w:p w14:paraId="2B8E7E12">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84.26</w:t>
            </w:r>
          </w:p>
        </w:tc>
        <w:tc>
          <w:tcPr>
            <w:tcW w:w="1337" w:type="dxa"/>
            <w:vAlign w:val="center"/>
          </w:tcPr>
          <w:p w14:paraId="00DCF6FC">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1.30%</w:t>
            </w:r>
          </w:p>
        </w:tc>
      </w:tr>
      <w:tr w14:paraId="09F4E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74F20B61">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鼓励企业新增运力</w:t>
            </w:r>
          </w:p>
        </w:tc>
        <w:tc>
          <w:tcPr>
            <w:tcW w:w="2626" w:type="dxa"/>
            <w:vAlign w:val="center"/>
          </w:tcPr>
          <w:p w14:paraId="4449B2E4">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石狮市华信船运有限公司</w:t>
            </w:r>
          </w:p>
        </w:tc>
        <w:tc>
          <w:tcPr>
            <w:tcW w:w="1510" w:type="dxa"/>
            <w:vAlign w:val="center"/>
          </w:tcPr>
          <w:p w14:paraId="4BB5D0ED">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75.16</w:t>
            </w:r>
          </w:p>
        </w:tc>
        <w:tc>
          <w:tcPr>
            <w:tcW w:w="1337" w:type="dxa"/>
            <w:vAlign w:val="center"/>
          </w:tcPr>
          <w:p w14:paraId="2FF20FBE">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1.16%</w:t>
            </w:r>
          </w:p>
        </w:tc>
      </w:tr>
      <w:tr w14:paraId="4BD5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6ABC54F3">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2023年-2024年实施船舶贷款贴息</w:t>
            </w:r>
          </w:p>
        </w:tc>
        <w:tc>
          <w:tcPr>
            <w:tcW w:w="2626" w:type="dxa"/>
            <w:vAlign w:val="center"/>
          </w:tcPr>
          <w:p w14:paraId="3B49DC06">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石狮德盈船务有限公司</w:t>
            </w:r>
          </w:p>
        </w:tc>
        <w:tc>
          <w:tcPr>
            <w:tcW w:w="1510" w:type="dxa"/>
            <w:vAlign w:val="center"/>
          </w:tcPr>
          <w:p w14:paraId="734B1519">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65.6518</w:t>
            </w:r>
          </w:p>
        </w:tc>
        <w:tc>
          <w:tcPr>
            <w:tcW w:w="1337" w:type="dxa"/>
            <w:vAlign w:val="center"/>
          </w:tcPr>
          <w:p w14:paraId="5A2262E6">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1.01%</w:t>
            </w:r>
          </w:p>
        </w:tc>
      </w:tr>
      <w:tr w14:paraId="1A56A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520FCE24">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鼓励企业新增运力</w:t>
            </w:r>
          </w:p>
        </w:tc>
        <w:tc>
          <w:tcPr>
            <w:tcW w:w="2626" w:type="dxa"/>
            <w:vAlign w:val="center"/>
          </w:tcPr>
          <w:p w14:paraId="185D9A70">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石狮弘兴船务有限公司</w:t>
            </w:r>
          </w:p>
        </w:tc>
        <w:tc>
          <w:tcPr>
            <w:tcW w:w="1510" w:type="dxa"/>
            <w:vAlign w:val="center"/>
          </w:tcPr>
          <w:p w14:paraId="3FE9C2F4">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54.35</w:t>
            </w:r>
          </w:p>
        </w:tc>
        <w:tc>
          <w:tcPr>
            <w:tcW w:w="1337" w:type="dxa"/>
            <w:vAlign w:val="center"/>
          </w:tcPr>
          <w:p w14:paraId="168627CF">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0.84%</w:t>
            </w:r>
          </w:p>
        </w:tc>
      </w:tr>
      <w:tr w14:paraId="369E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4B108066">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鼓励企业新增运力</w:t>
            </w:r>
          </w:p>
        </w:tc>
        <w:tc>
          <w:tcPr>
            <w:tcW w:w="2626" w:type="dxa"/>
            <w:vAlign w:val="center"/>
          </w:tcPr>
          <w:p w14:paraId="0486AD6F">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福建安丰船务有限公司</w:t>
            </w:r>
          </w:p>
        </w:tc>
        <w:tc>
          <w:tcPr>
            <w:tcW w:w="1510" w:type="dxa"/>
            <w:vAlign w:val="center"/>
          </w:tcPr>
          <w:p w14:paraId="11876E17">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49.97</w:t>
            </w:r>
          </w:p>
        </w:tc>
        <w:tc>
          <w:tcPr>
            <w:tcW w:w="1337" w:type="dxa"/>
            <w:vAlign w:val="center"/>
          </w:tcPr>
          <w:p w14:paraId="2E0F1A69">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0.77%</w:t>
            </w:r>
          </w:p>
        </w:tc>
      </w:tr>
      <w:tr w14:paraId="572E6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3099B947">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鼓励企业新增运力</w:t>
            </w:r>
          </w:p>
        </w:tc>
        <w:tc>
          <w:tcPr>
            <w:tcW w:w="2626" w:type="dxa"/>
            <w:vAlign w:val="center"/>
          </w:tcPr>
          <w:p w14:paraId="45542BE9">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泉州弘旭船务有限公司</w:t>
            </w:r>
          </w:p>
        </w:tc>
        <w:tc>
          <w:tcPr>
            <w:tcW w:w="1510" w:type="dxa"/>
            <w:vAlign w:val="center"/>
          </w:tcPr>
          <w:p w14:paraId="2641B2A7">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49.9</w:t>
            </w:r>
          </w:p>
        </w:tc>
        <w:tc>
          <w:tcPr>
            <w:tcW w:w="1337" w:type="dxa"/>
            <w:vAlign w:val="center"/>
          </w:tcPr>
          <w:p w14:paraId="6EBF0CF8">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0.77%</w:t>
            </w:r>
          </w:p>
        </w:tc>
      </w:tr>
      <w:tr w14:paraId="5A9EF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vAlign w:val="center"/>
          </w:tcPr>
          <w:p w14:paraId="0151F0F6">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2023年-2024年实施船舶贷款贴息</w:t>
            </w:r>
          </w:p>
        </w:tc>
        <w:tc>
          <w:tcPr>
            <w:tcW w:w="2626" w:type="dxa"/>
            <w:vAlign w:val="center"/>
          </w:tcPr>
          <w:p w14:paraId="3E2DCE0D">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石狮昌盛船务有限公司</w:t>
            </w:r>
          </w:p>
        </w:tc>
        <w:tc>
          <w:tcPr>
            <w:tcW w:w="1510" w:type="dxa"/>
            <w:vAlign w:val="center"/>
          </w:tcPr>
          <w:p w14:paraId="2B7FE669">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29.5663</w:t>
            </w:r>
          </w:p>
        </w:tc>
        <w:tc>
          <w:tcPr>
            <w:tcW w:w="1337" w:type="dxa"/>
            <w:vAlign w:val="center"/>
          </w:tcPr>
          <w:p w14:paraId="57BFB6BD">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0.46%</w:t>
            </w:r>
          </w:p>
        </w:tc>
      </w:tr>
      <w:tr w14:paraId="0184F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3414" w:type="dxa"/>
            <w:vAlign w:val="center"/>
          </w:tcPr>
          <w:p w14:paraId="41DAF672">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鼓励企业新增运力</w:t>
            </w:r>
          </w:p>
        </w:tc>
        <w:tc>
          <w:tcPr>
            <w:tcW w:w="2626" w:type="dxa"/>
            <w:vAlign w:val="center"/>
          </w:tcPr>
          <w:p w14:paraId="723997A7">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泉州宝晟船务有限公司</w:t>
            </w:r>
          </w:p>
        </w:tc>
        <w:tc>
          <w:tcPr>
            <w:tcW w:w="1510" w:type="dxa"/>
            <w:vAlign w:val="center"/>
          </w:tcPr>
          <w:p w14:paraId="3774C6B1">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24.99</w:t>
            </w:r>
          </w:p>
        </w:tc>
        <w:tc>
          <w:tcPr>
            <w:tcW w:w="1337" w:type="dxa"/>
            <w:vAlign w:val="center"/>
          </w:tcPr>
          <w:p w14:paraId="4F912561">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0.39%</w:t>
            </w:r>
          </w:p>
        </w:tc>
      </w:tr>
      <w:tr w14:paraId="0093D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040" w:type="dxa"/>
            <w:gridSpan w:val="2"/>
            <w:vAlign w:val="center"/>
          </w:tcPr>
          <w:p w14:paraId="5CB26981">
            <w:pPr>
              <w:pStyle w:val="6"/>
              <w:numPr>
                <w:ilvl w:val="0"/>
                <w:numId w:val="0"/>
              </w:numPr>
              <w:tabs>
                <w:tab w:val="clear" w:pos="2040"/>
              </w:tabs>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合计</w:t>
            </w:r>
          </w:p>
        </w:tc>
        <w:tc>
          <w:tcPr>
            <w:tcW w:w="1510" w:type="dxa"/>
            <w:vAlign w:val="center"/>
          </w:tcPr>
          <w:p w14:paraId="1DB4B007">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6,472.70902</w:t>
            </w:r>
          </w:p>
        </w:tc>
        <w:tc>
          <w:tcPr>
            <w:tcW w:w="1337" w:type="dxa"/>
            <w:vAlign w:val="center"/>
          </w:tcPr>
          <w:p w14:paraId="64BAD886">
            <w:pPr>
              <w:pStyle w:val="6"/>
              <w:numPr>
                <w:ilvl w:val="0"/>
                <w:numId w:val="0"/>
              </w:numPr>
              <w:tabs>
                <w:tab w:val="clear" w:pos="2040"/>
              </w:tabs>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100%</w:t>
            </w:r>
          </w:p>
        </w:tc>
      </w:tr>
    </w:tbl>
    <w:p w14:paraId="13649A14">
      <w:pPr>
        <w:pStyle w:val="6"/>
        <w:numPr>
          <w:ilvl w:val="0"/>
          <w:numId w:val="0"/>
        </w:numPr>
        <w:tabs>
          <w:tab w:val="clear" w:pos="2040"/>
        </w:tabs>
        <w:spacing w:line="360" w:lineRule="auto"/>
        <w:ind w:left="0" w:leftChars="0" w:firstLine="0" w:firstLineChars="0"/>
        <w:rPr>
          <w:rFonts w:hint="default"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注：该表根据已拨付的指标文号绘制，补贴资金总额6513.72万元，扣除狮财预指〔2024〕099号中一家企业疑似迁出（补贴金额41.01万），并未实际拨付，未统计入表内。</w:t>
      </w:r>
    </w:p>
    <w:p w14:paraId="5D8E60C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_GB2312" w:hAnsi="Times New Roman" w:eastAsia="仿宋_GB2312" w:cs="Times New Roman"/>
          <w:b/>
          <w:bCs/>
          <w:kern w:val="2"/>
          <w:sz w:val="24"/>
          <w:szCs w:val="24"/>
          <w:lang w:val="zh-CN" w:eastAsia="zh-CN" w:bidi="ar-SA"/>
        </w:rPr>
      </w:pPr>
      <w:bookmarkStart w:id="11" w:name="_Toc184981298"/>
      <w:bookmarkStart w:id="12" w:name="_Toc184981060"/>
      <w:bookmarkStart w:id="13" w:name="_Toc1739"/>
      <w:r>
        <w:rPr>
          <w:rFonts w:hint="eastAsia" w:ascii="仿宋_GB2312" w:hAnsi="Times New Roman" w:eastAsia="仿宋_GB2312" w:cs="Times New Roman"/>
          <w:b/>
          <w:bCs/>
          <w:kern w:val="2"/>
          <w:sz w:val="24"/>
          <w:szCs w:val="24"/>
          <w:lang w:val="en-US" w:eastAsia="zh-CN" w:bidi="ar-SA"/>
        </w:rPr>
        <w:t>表2</w:t>
      </w:r>
      <w:r>
        <w:rPr>
          <w:rFonts w:hint="eastAsia" w:ascii="仿宋_GB2312" w:hAnsi="Times New Roman" w:eastAsia="仿宋_GB2312" w:cs="Times New Roman"/>
          <w:sz w:val="24"/>
          <w:szCs w:val="24"/>
          <w:lang w:val="en-US" w:eastAsia="zh-CN"/>
        </w:rPr>
        <w:t xml:space="preserve">  </w:t>
      </w:r>
      <w:r>
        <w:rPr>
          <w:rFonts w:hint="eastAsia" w:ascii="仿宋_GB2312" w:hAnsi="Times New Roman" w:eastAsia="仿宋_GB2312" w:cs="Times New Roman"/>
          <w:b/>
          <w:bCs/>
          <w:kern w:val="2"/>
          <w:sz w:val="24"/>
          <w:szCs w:val="24"/>
          <w:lang w:val="en-US" w:eastAsia="zh-CN" w:bidi="ar-SA"/>
        </w:rPr>
        <w:t>石狮市</w:t>
      </w:r>
      <w:r>
        <w:rPr>
          <w:rFonts w:hint="eastAsia" w:ascii="仿宋_GB2312" w:hAnsi="Times New Roman" w:eastAsia="仿宋_GB2312" w:cs="Times New Roman"/>
          <w:b/>
          <w:bCs/>
          <w:kern w:val="2"/>
          <w:sz w:val="24"/>
          <w:szCs w:val="24"/>
          <w:lang w:val="zh-CN" w:eastAsia="zh-CN" w:bidi="ar-SA"/>
        </w:rPr>
        <w:t>202</w:t>
      </w:r>
      <w:r>
        <w:rPr>
          <w:rFonts w:hint="eastAsia" w:ascii="仿宋_GB2312" w:hAnsi="Times New Roman" w:eastAsia="仿宋_GB2312" w:cs="Times New Roman"/>
          <w:b/>
          <w:bCs/>
          <w:kern w:val="2"/>
          <w:sz w:val="24"/>
          <w:szCs w:val="24"/>
          <w:lang w:val="en-US" w:eastAsia="zh-CN" w:bidi="ar-SA"/>
        </w:rPr>
        <w:t>4</w:t>
      </w:r>
      <w:r>
        <w:rPr>
          <w:rFonts w:hint="eastAsia" w:ascii="仿宋_GB2312" w:hAnsi="Times New Roman" w:eastAsia="仿宋_GB2312" w:cs="Times New Roman"/>
          <w:b/>
          <w:bCs/>
          <w:kern w:val="2"/>
          <w:sz w:val="24"/>
          <w:szCs w:val="24"/>
          <w:lang w:val="zh-CN" w:eastAsia="zh-CN" w:bidi="ar-SA"/>
        </w:rPr>
        <w:t>年</w:t>
      </w:r>
      <w:r>
        <w:rPr>
          <w:rFonts w:hint="eastAsia" w:ascii="仿宋_GB2312" w:hAnsi="Times New Roman" w:eastAsia="仿宋_GB2312" w:cs="Times New Roman"/>
          <w:b/>
          <w:bCs/>
          <w:kern w:val="2"/>
          <w:sz w:val="24"/>
          <w:szCs w:val="24"/>
          <w:lang w:val="en-US" w:eastAsia="zh-CN" w:bidi="ar-SA"/>
        </w:rPr>
        <w:t>水路运输业相关补贴退回</w:t>
      </w:r>
      <w:r>
        <w:rPr>
          <w:rFonts w:hint="eastAsia" w:ascii="仿宋_GB2312" w:hAnsi="Times New Roman" w:eastAsia="仿宋_GB2312" w:cs="Times New Roman"/>
          <w:b/>
          <w:bCs/>
          <w:kern w:val="2"/>
          <w:sz w:val="24"/>
          <w:szCs w:val="24"/>
          <w:lang w:val="zh-CN" w:eastAsia="zh-CN" w:bidi="ar-SA"/>
        </w:rPr>
        <w:t>情况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5"/>
        <w:gridCol w:w="3350"/>
        <w:gridCol w:w="2055"/>
      </w:tblGrid>
      <w:tr w14:paraId="1B352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85" w:type="dxa"/>
            <w:vAlign w:val="center"/>
          </w:tcPr>
          <w:p w14:paraId="5AD93B72">
            <w:pPr>
              <w:pStyle w:val="6"/>
              <w:numPr>
                <w:ilvl w:val="0"/>
                <w:numId w:val="0"/>
              </w:numPr>
              <w:tabs>
                <w:tab w:val="clear" w:pos="2040"/>
              </w:tabs>
              <w:ind w:left="0" w:leftChars="0" w:firstLine="0" w:firstLineChars="0"/>
              <w:jc w:val="center"/>
              <w:outlineLvl w:val="9"/>
              <w:rPr>
                <w:rFonts w:hint="default" w:ascii="仿宋_GB2312" w:hAnsi="Times New Roman" w:eastAsia="仿宋_GB2312" w:cs="Times New Roman"/>
                <w:b/>
                <w:bCs/>
                <w:kern w:val="2"/>
                <w:sz w:val="24"/>
                <w:szCs w:val="24"/>
                <w:vertAlign w:val="baseline"/>
                <w:lang w:val="en-US" w:eastAsia="zh-CN" w:bidi="ar-SA"/>
              </w:rPr>
            </w:pPr>
            <w:r>
              <w:rPr>
                <w:rFonts w:hint="eastAsia" w:ascii="仿宋_GB2312" w:hAnsi="Times New Roman" w:eastAsia="仿宋_GB2312" w:cs="Times New Roman"/>
                <w:b/>
                <w:bCs/>
                <w:kern w:val="2"/>
                <w:sz w:val="21"/>
                <w:szCs w:val="21"/>
                <w:vertAlign w:val="baseline"/>
                <w:lang w:val="en-US" w:eastAsia="zh-CN" w:bidi="ar-SA"/>
              </w:rPr>
              <w:t>补贴项目</w:t>
            </w:r>
          </w:p>
        </w:tc>
        <w:tc>
          <w:tcPr>
            <w:tcW w:w="3350" w:type="dxa"/>
            <w:vAlign w:val="center"/>
          </w:tcPr>
          <w:p w14:paraId="227E06FD">
            <w:pPr>
              <w:pStyle w:val="6"/>
              <w:numPr>
                <w:ilvl w:val="0"/>
                <w:numId w:val="0"/>
              </w:numPr>
              <w:tabs>
                <w:tab w:val="clear" w:pos="2040"/>
              </w:tabs>
              <w:ind w:left="0" w:leftChars="0" w:firstLine="0" w:firstLineChars="0"/>
              <w:jc w:val="center"/>
              <w:outlineLvl w:val="9"/>
              <w:rPr>
                <w:rFonts w:hint="default" w:ascii="仿宋_GB2312" w:hAnsi="Times New Roman" w:eastAsia="仿宋_GB2312" w:cs="Times New Roman"/>
                <w:b/>
                <w:bCs/>
                <w:kern w:val="2"/>
                <w:sz w:val="24"/>
                <w:szCs w:val="24"/>
                <w:vertAlign w:val="baseline"/>
                <w:lang w:val="en-US" w:eastAsia="zh-CN" w:bidi="ar-SA"/>
              </w:rPr>
            </w:pPr>
            <w:r>
              <w:rPr>
                <w:rFonts w:hint="eastAsia" w:ascii="仿宋_GB2312" w:hAnsi="Times New Roman" w:eastAsia="仿宋_GB2312" w:cs="Times New Roman"/>
                <w:b/>
                <w:bCs/>
                <w:kern w:val="2"/>
                <w:sz w:val="21"/>
                <w:szCs w:val="21"/>
                <w:vertAlign w:val="baseline"/>
                <w:lang w:val="en-US" w:eastAsia="zh-CN" w:bidi="ar-SA"/>
              </w:rPr>
              <w:t>受补贴企业</w:t>
            </w:r>
          </w:p>
        </w:tc>
        <w:tc>
          <w:tcPr>
            <w:tcW w:w="2055" w:type="dxa"/>
          </w:tcPr>
          <w:p w14:paraId="30450AB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仿宋_GB2312" w:hAnsi="Times New Roman" w:eastAsia="仿宋_GB2312" w:cs="Times New Roman"/>
                <w:b/>
                <w:bCs/>
                <w:kern w:val="2"/>
                <w:sz w:val="24"/>
                <w:szCs w:val="24"/>
                <w:vertAlign w:val="baseline"/>
                <w:lang w:val="en-US" w:eastAsia="zh-CN" w:bidi="ar-SA"/>
              </w:rPr>
            </w:pPr>
            <w:r>
              <w:rPr>
                <w:rFonts w:hint="eastAsia" w:ascii="仿宋_GB2312" w:hAnsi="Times New Roman" w:eastAsia="仿宋_GB2312" w:cs="Times New Roman"/>
                <w:b/>
                <w:bCs/>
                <w:kern w:val="2"/>
                <w:sz w:val="24"/>
                <w:szCs w:val="24"/>
                <w:vertAlign w:val="baseline"/>
                <w:lang w:val="en-US" w:eastAsia="zh-CN" w:bidi="ar-SA"/>
              </w:rPr>
              <w:t>退回金额</w:t>
            </w:r>
          </w:p>
        </w:tc>
      </w:tr>
      <w:tr w14:paraId="07227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485" w:type="dxa"/>
            <w:vAlign w:val="center"/>
          </w:tcPr>
          <w:p w14:paraId="10AB3137">
            <w:pPr>
              <w:pStyle w:val="6"/>
              <w:numPr>
                <w:ilvl w:val="0"/>
                <w:numId w:val="0"/>
              </w:numPr>
              <w:tabs>
                <w:tab w:val="clear" w:pos="2040"/>
              </w:tabs>
              <w:ind w:left="0" w:leftChars="0" w:firstLine="0" w:firstLineChars="0"/>
              <w:jc w:val="center"/>
              <w:outlineLvl w:val="9"/>
              <w:rPr>
                <w:rFonts w:hint="default" w:ascii="仿宋_GB2312" w:hAnsi="Times New Roman" w:eastAsia="仿宋_GB2312" w:cs="Times New Roman"/>
                <w:b/>
                <w:bCs/>
                <w:kern w:val="2"/>
                <w:sz w:val="24"/>
                <w:szCs w:val="24"/>
                <w:vertAlign w:val="baseline"/>
                <w:lang w:val="en-US" w:eastAsia="zh-CN" w:bidi="ar-SA"/>
              </w:rPr>
            </w:pPr>
            <w:r>
              <w:rPr>
                <w:rFonts w:hint="eastAsia" w:ascii="仿宋" w:hAnsi="仿宋" w:eastAsia="仿宋" w:cs="仿宋"/>
                <w:kern w:val="2"/>
                <w:sz w:val="21"/>
                <w:szCs w:val="21"/>
                <w:vertAlign w:val="baseline"/>
                <w:lang w:val="en-US" w:eastAsia="zh-CN" w:bidi="ar-SA"/>
              </w:rPr>
              <w:t>2023年-2024年实施船舶贷款贴息</w:t>
            </w:r>
          </w:p>
        </w:tc>
        <w:tc>
          <w:tcPr>
            <w:tcW w:w="3350" w:type="dxa"/>
            <w:vAlign w:val="center"/>
          </w:tcPr>
          <w:p w14:paraId="0C2C10C3">
            <w:pPr>
              <w:pStyle w:val="6"/>
              <w:numPr>
                <w:ilvl w:val="0"/>
                <w:numId w:val="0"/>
              </w:numPr>
              <w:tabs>
                <w:tab w:val="clear" w:pos="2040"/>
              </w:tabs>
              <w:ind w:left="0" w:leftChars="0" w:firstLine="0" w:firstLineChars="0"/>
              <w:jc w:val="center"/>
              <w:outlineLvl w:val="9"/>
              <w:rPr>
                <w:rFonts w:hint="default" w:ascii="仿宋_GB2312" w:hAnsi="Times New Roman" w:eastAsia="仿宋_GB2312" w:cs="Times New Roman"/>
                <w:b/>
                <w:bCs/>
                <w:kern w:val="2"/>
                <w:sz w:val="24"/>
                <w:szCs w:val="24"/>
                <w:vertAlign w:val="baseline"/>
                <w:lang w:val="en-US" w:eastAsia="zh-CN" w:bidi="ar-SA"/>
              </w:rPr>
            </w:pPr>
            <w:r>
              <w:rPr>
                <w:rFonts w:hint="eastAsia" w:ascii="仿宋" w:hAnsi="仿宋" w:eastAsia="仿宋" w:cs="仿宋"/>
                <w:kern w:val="2"/>
                <w:sz w:val="21"/>
                <w:szCs w:val="21"/>
                <w:vertAlign w:val="baseline"/>
                <w:lang w:val="en-US" w:eastAsia="zh-CN" w:bidi="ar-SA"/>
              </w:rPr>
              <w:t>石狮德盈船务有限公司</w:t>
            </w:r>
          </w:p>
        </w:tc>
        <w:tc>
          <w:tcPr>
            <w:tcW w:w="2055" w:type="dxa"/>
            <w:vAlign w:val="center"/>
          </w:tcPr>
          <w:p w14:paraId="7966B824">
            <w:pPr>
              <w:pStyle w:val="6"/>
              <w:numPr>
                <w:ilvl w:val="0"/>
                <w:numId w:val="0"/>
              </w:numPr>
              <w:tabs>
                <w:tab w:val="clear" w:pos="2040"/>
              </w:tabs>
              <w:ind w:left="0" w:leftChars="0" w:firstLine="0" w:firstLineChars="0"/>
              <w:jc w:val="center"/>
              <w:outlineLvl w:val="9"/>
              <w:rPr>
                <w:rFonts w:hint="default" w:ascii="仿宋_GB2312" w:hAnsi="Times New Roman" w:eastAsia="仿宋_GB2312" w:cs="Times New Roman"/>
                <w:b/>
                <w:bCs/>
                <w:kern w:val="2"/>
                <w:sz w:val="24"/>
                <w:szCs w:val="24"/>
                <w:vertAlign w:val="baseline"/>
                <w:lang w:val="en-US" w:eastAsia="zh-CN" w:bidi="ar-SA"/>
              </w:rPr>
            </w:pPr>
            <w:r>
              <w:rPr>
                <w:rFonts w:hint="eastAsia" w:ascii="仿宋" w:hAnsi="仿宋" w:eastAsia="仿宋" w:cs="仿宋"/>
                <w:kern w:val="2"/>
                <w:sz w:val="21"/>
                <w:szCs w:val="21"/>
                <w:vertAlign w:val="baseline"/>
                <w:lang w:val="en-US" w:eastAsia="zh-CN" w:bidi="ar-SA"/>
              </w:rPr>
              <w:t>65.6518</w:t>
            </w:r>
          </w:p>
        </w:tc>
      </w:tr>
      <w:tr w14:paraId="4A663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vAlign w:val="center"/>
          </w:tcPr>
          <w:p w14:paraId="32473F37">
            <w:pPr>
              <w:pStyle w:val="6"/>
              <w:numPr>
                <w:ilvl w:val="0"/>
                <w:numId w:val="0"/>
              </w:numPr>
              <w:tabs>
                <w:tab w:val="clear" w:pos="2040"/>
              </w:tabs>
              <w:ind w:left="0" w:leftChars="0" w:firstLine="0" w:firstLineChars="0"/>
              <w:jc w:val="center"/>
              <w:outlineLvl w:val="9"/>
              <w:rPr>
                <w:rFonts w:hint="default" w:ascii="仿宋_GB2312" w:hAnsi="Times New Roman" w:eastAsia="仿宋_GB2312" w:cs="Times New Roman"/>
                <w:b/>
                <w:bCs/>
                <w:kern w:val="2"/>
                <w:sz w:val="24"/>
                <w:szCs w:val="24"/>
                <w:vertAlign w:val="baseline"/>
                <w:lang w:val="en-US" w:eastAsia="zh-CN" w:bidi="ar-SA"/>
              </w:rPr>
            </w:pPr>
            <w:r>
              <w:rPr>
                <w:rFonts w:hint="eastAsia" w:ascii="仿宋" w:hAnsi="仿宋" w:eastAsia="仿宋" w:cs="仿宋"/>
                <w:kern w:val="2"/>
                <w:sz w:val="21"/>
                <w:szCs w:val="21"/>
                <w:vertAlign w:val="baseline"/>
                <w:lang w:val="en-US" w:eastAsia="zh-CN" w:bidi="ar-SA"/>
              </w:rPr>
              <w:t>2023年-2024年实施船舶贷款贴息</w:t>
            </w:r>
          </w:p>
        </w:tc>
        <w:tc>
          <w:tcPr>
            <w:tcW w:w="3350" w:type="dxa"/>
            <w:vAlign w:val="center"/>
          </w:tcPr>
          <w:p w14:paraId="45A357F0">
            <w:pPr>
              <w:pStyle w:val="6"/>
              <w:numPr>
                <w:ilvl w:val="0"/>
                <w:numId w:val="0"/>
              </w:numPr>
              <w:tabs>
                <w:tab w:val="clear" w:pos="2040"/>
              </w:tabs>
              <w:ind w:left="0" w:leftChars="0" w:firstLine="0" w:firstLineChars="0"/>
              <w:jc w:val="center"/>
              <w:outlineLvl w:val="9"/>
              <w:rPr>
                <w:rFonts w:hint="default" w:ascii="仿宋_GB2312" w:hAnsi="Times New Roman" w:eastAsia="仿宋_GB2312" w:cs="Times New Roman"/>
                <w:b/>
                <w:bCs/>
                <w:kern w:val="2"/>
                <w:sz w:val="24"/>
                <w:szCs w:val="24"/>
                <w:vertAlign w:val="baseline"/>
                <w:lang w:val="en-US" w:eastAsia="zh-CN" w:bidi="ar-SA"/>
              </w:rPr>
            </w:pPr>
            <w:r>
              <w:rPr>
                <w:rFonts w:hint="eastAsia" w:ascii="仿宋" w:hAnsi="仿宋" w:eastAsia="仿宋" w:cs="仿宋"/>
                <w:kern w:val="2"/>
                <w:sz w:val="21"/>
                <w:szCs w:val="21"/>
                <w:vertAlign w:val="baseline"/>
                <w:lang w:val="en-US" w:eastAsia="zh-CN" w:bidi="ar-SA"/>
              </w:rPr>
              <w:t>石狮鼎鑫海运有限公司</w:t>
            </w:r>
          </w:p>
        </w:tc>
        <w:tc>
          <w:tcPr>
            <w:tcW w:w="2055" w:type="dxa"/>
            <w:vAlign w:val="top"/>
          </w:tcPr>
          <w:p w14:paraId="3FE9755A">
            <w:pPr>
              <w:pStyle w:val="6"/>
              <w:numPr>
                <w:ilvl w:val="0"/>
                <w:numId w:val="0"/>
              </w:numPr>
              <w:tabs>
                <w:tab w:val="clear" w:pos="2040"/>
              </w:tabs>
              <w:ind w:left="0" w:leftChars="0" w:firstLine="0" w:firstLineChars="0"/>
              <w:jc w:val="center"/>
              <w:outlineLvl w:val="9"/>
              <w:rPr>
                <w:rFonts w:hint="default" w:ascii="仿宋_GB2312" w:hAnsi="Times New Roman" w:eastAsia="仿宋_GB2312" w:cs="Times New Roman"/>
                <w:b/>
                <w:bCs/>
                <w:kern w:val="2"/>
                <w:sz w:val="24"/>
                <w:szCs w:val="24"/>
                <w:vertAlign w:val="baseline"/>
                <w:lang w:val="en-US" w:eastAsia="zh-CN" w:bidi="ar-SA"/>
              </w:rPr>
            </w:pPr>
            <w:r>
              <w:rPr>
                <w:rFonts w:hint="default" w:ascii="仿宋" w:hAnsi="仿宋" w:eastAsia="仿宋" w:cs="仿宋"/>
                <w:kern w:val="2"/>
                <w:sz w:val="21"/>
                <w:szCs w:val="21"/>
                <w:vertAlign w:val="baseline"/>
                <w:lang w:val="en-US" w:eastAsia="zh-CN" w:bidi="ar-SA"/>
              </w:rPr>
              <w:t>31.5577</w:t>
            </w:r>
          </w:p>
        </w:tc>
      </w:tr>
      <w:tr w14:paraId="25C04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vAlign w:val="center"/>
          </w:tcPr>
          <w:p w14:paraId="4919C796">
            <w:pPr>
              <w:pStyle w:val="6"/>
              <w:numPr>
                <w:ilvl w:val="0"/>
                <w:numId w:val="0"/>
              </w:numPr>
              <w:tabs>
                <w:tab w:val="clear" w:pos="2040"/>
              </w:tabs>
              <w:ind w:left="0" w:leftChars="0" w:firstLine="0" w:firstLineChars="0"/>
              <w:jc w:val="center"/>
              <w:outlineLvl w:val="9"/>
              <w:rPr>
                <w:rFonts w:hint="default" w:ascii="仿宋_GB2312" w:hAnsi="Times New Roman" w:eastAsia="仿宋_GB2312" w:cs="Times New Roman"/>
                <w:b/>
                <w:bCs/>
                <w:kern w:val="2"/>
                <w:sz w:val="24"/>
                <w:szCs w:val="24"/>
                <w:vertAlign w:val="baseline"/>
                <w:lang w:val="en-US" w:eastAsia="zh-CN" w:bidi="ar-SA"/>
              </w:rPr>
            </w:pPr>
            <w:r>
              <w:rPr>
                <w:rFonts w:hint="eastAsia" w:ascii="仿宋" w:hAnsi="仿宋" w:eastAsia="仿宋" w:cs="仿宋"/>
                <w:kern w:val="2"/>
                <w:sz w:val="21"/>
                <w:szCs w:val="21"/>
                <w:vertAlign w:val="baseline"/>
                <w:lang w:val="en-US" w:eastAsia="zh-CN" w:bidi="ar-SA"/>
              </w:rPr>
              <w:t>2023年-2024年实施船舶贷款贴息</w:t>
            </w:r>
          </w:p>
        </w:tc>
        <w:tc>
          <w:tcPr>
            <w:tcW w:w="3350" w:type="dxa"/>
            <w:vAlign w:val="center"/>
          </w:tcPr>
          <w:p w14:paraId="65F6EA30">
            <w:pPr>
              <w:pStyle w:val="6"/>
              <w:numPr>
                <w:ilvl w:val="0"/>
                <w:numId w:val="0"/>
              </w:numPr>
              <w:tabs>
                <w:tab w:val="clear" w:pos="2040"/>
              </w:tabs>
              <w:ind w:left="0" w:leftChars="0" w:firstLine="0" w:firstLineChars="0"/>
              <w:jc w:val="center"/>
              <w:outlineLvl w:val="9"/>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石狮昌盛船务有限公司</w:t>
            </w:r>
          </w:p>
        </w:tc>
        <w:tc>
          <w:tcPr>
            <w:tcW w:w="2055" w:type="dxa"/>
            <w:vAlign w:val="center"/>
          </w:tcPr>
          <w:p w14:paraId="3CB3FAC4">
            <w:pPr>
              <w:pStyle w:val="6"/>
              <w:numPr>
                <w:ilvl w:val="0"/>
                <w:numId w:val="0"/>
              </w:numPr>
              <w:tabs>
                <w:tab w:val="clear" w:pos="2040"/>
              </w:tabs>
              <w:ind w:left="0" w:leftChars="0" w:firstLine="0" w:firstLineChars="0"/>
              <w:jc w:val="center"/>
              <w:outlineLvl w:val="9"/>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29.5663</w:t>
            </w:r>
          </w:p>
        </w:tc>
      </w:tr>
      <w:tr w14:paraId="0AEDC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5" w:type="dxa"/>
            <w:gridSpan w:val="2"/>
            <w:vAlign w:val="center"/>
          </w:tcPr>
          <w:p w14:paraId="3DAFF643">
            <w:pPr>
              <w:pStyle w:val="6"/>
              <w:numPr>
                <w:ilvl w:val="0"/>
                <w:numId w:val="0"/>
              </w:numPr>
              <w:tabs>
                <w:tab w:val="clear" w:pos="2040"/>
              </w:tabs>
              <w:ind w:left="0" w:leftChars="0" w:firstLine="0" w:firstLineChars="0"/>
              <w:jc w:val="center"/>
              <w:outlineLvl w:val="9"/>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合计</w:t>
            </w:r>
          </w:p>
        </w:tc>
        <w:tc>
          <w:tcPr>
            <w:tcW w:w="2055" w:type="dxa"/>
            <w:vAlign w:val="center"/>
          </w:tcPr>
          <w:p w14:paraId="39B9D246">
            <w:pPr>
              <w:pStyle w:val="6"/>
              <w:numPr>
                <w:ilvl w:val="0"/>
                <w:numId w:val="0"/>
              </w:numPr>
              <w:tabs>
                <w:tab w:val="clear" w:pos="2040"/>
              </w:tabs>
              <w:ind w:left="0" w:leftChars="0" w:firstLine="0" w:firstLineChars="0"/>
              <w:jc w:val="center"/>
              <w:outlineLvl w:val="9"/>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126.7758</w:t>
            </w:r>
          </w:p>
        </w:tc>
      </w:tr>
    </w:tbl>
    <w:p w14:paraId="0DFD93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sz w:val="24"/>
          <w:szCs w:val="24"/>
          <w:lang w:val="en-US" w:eastAsia="zh-CN"/>
        </w:rPr>
        <w:t>如表1、表2所示，2024年度石狮市水路运输业相关补贴项目的资金共支出6,472.70902万元，补贴15家企业，因船舶迁出石狮市有3家企业退回相应补贴126.7758万元，实际支出6,345.93322万元，实际补贴13家企业。其中补贴资金最多的四家水路运输企业（鼎盛、东亿、鼎鑫、鑫淼）占实际支出补贴比重为90.29%。</w:t>
      </w:r>
    </w:p>
    <w:p w14:paraId="32B70D2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hAnsi="Times New Roman" w:eastAsia="仿宋_GB2312" w:cs="Times New Roman"/>
          <w:b/>
          <w:bCs/>
          <w:sz w:val="24"/>
          <w:szCs w:val="24"/>
        </w:rPr>
      </w:pPr>
      <w:bookmarkStart w:id="14" w:name="_Toc30111"/>
      <w:r>
        <w:rPr>
          <w:rFonts w:hint="eastAsia" w:ascii="仿宋_GB2312" w:hAnsi="Times New Roman" w:eastAsia="仿宋_GB2312" w:cs="Times New Roman"/>
          <w:b/>
          <w:bCs/>
          <w:sz w:val="24"/>
          <w:szCs w:val="24"/>
        </w:rPr>
        <w:t>（二）项目绩效目标</w:t>
      </w:r>
      <w:bookmarkEnd w:id="11"/>
      <w:bookmarkEnd w:id="12"/>
      <w:bookmarkEnd w:id="13"/>
      <w:bookmarkEnd w:id="14"/>
    </w:p>
    <w:p w14:paraId="3851EC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zh-CN" w:eastAsia="zh-CN"/>
        </w:rPr>
        <w:t>本项目旨在通过</w:t>
      </w:r>
      <w:r>
        <w:rPr>
          <w:rFonts w:hint="eastAsia" w:ascii="仿宋_GB2312" w:hAnsi="Times New Roman" w:eastAsia="仿宋_GB2312" w:cs="Times New Roman"/>
          <w:sz w:val="24"/>
          <w:szCs w:val="24"/>
          <w:lang w:val="en-US" w:eastAsia="zh-CN"/>
        </w:rPr>
        <w:t>鼓励企业新增运力、促进企业规模发展和实施船舶贷款贴息三项举措</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优化</w:t>
      </w:r>
      <w:r>
        <w:rPr>
          <w:rFonts w:hint="eastAsia" w:ascii="仿宋_GB2312" w:hAnsi="Times New Roman" w:eastAsia="仿宋_GB2312" w:cs="Times New Roman"/>
          <w:sz w:val="24"/>
          <w:szCs w:val="24"/>
          <w:lang w:val="zh-CN" w:eastAsia="zh-CN"/>
        </w:rPr>
        <w:t>石狮市</w:t>
      </w:r>
      <w:r>
        <w:rPr>
          <w:rFonts w:hint="eastAsia" w:ascii="仿宋_GB2312" w:hAnsi="Times New Roman" w:eastAsia="仿宋_GB2312" w:cs="Times New Roman"/>
          <w:sz w:val="24"/>
          <w:szCs w:val="24"/>
          <w:lang w:val="en-US" w:eastAsia="zh-CN"/>
        </w:rPr>
        <w:t>水路运输企业的船队规模结构，提升船舶装备技术水平，鼓励企业实施兼并重组，推动企业规模化经营发展，短期内促进地区水路运输业持续健康发展，长期内实现地区水路运输业的高质量发展。</w:t>
      </w:r>
    </w:p>
    <w:p w14:paraId="20A4EB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default" w:ascii="仿宋_GB2312" w:hAnsi="Times New Roman" w:eastAsia="仿宋_GB2312" w:cs="Times New Roman"/>
          <w:sz w:val="24"/>
          <w:szCs w:val="24"/>
          <w:lang w:val="en-US" w:eastAsia="zh-CN"/>
        </w:rPr>
      </w:pPr>
    </w:p>
    <w:p w14:paraId="09B013BC">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rPr>
      </w:pPr>
      <w:bookmarkStart w:id="15" w:name="_Toc184981299"/>
      <w:bookmarkStart w:id="16" w:name="_Toc14201"/>
      <w:bookmarkStart w:id="17" w:name="_Toc28086"/>
      <w:bookmarkStart w:id="18" w:name="_Toc184981061"/>
      <w:r>
        <w:rPr>
          <w:rFonts w:hint="eastAsia" w:ascii="仿宋" w:hAnsi="仿宋" w:eastAsia="仿宋" w:cs="仿宋"/>
          <w:b/>
          <w:bCs/>
          <w:sz w:val="28"/>
          <w:szCs w:val="28"/>
        </w:rPr>
        <w:t>二、绩效评价工作开展情况</w:t>
      </w:r>
      <w:bookmarkEnd w:id="15"/>
      <w:bookmarkEnd w:id="16"/>
      <w:bookmarkEnd w:id="17"/>
      <w:bookmarkEnd w:id="18"/>
    </w:p>
    <w:p w14:paraId="695B629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hAnsi="Times New Roman" w:eastAsia="仿宋_GB2312" w:cs="Times New Roman"/>
          <w:b/>
          <w:bCs/>
          <w:sz w:val="24"/>
          <w:szCs w:val="24"/>
        </w:rPr>
      </w:pPr>
      <w:bookmarkStart w:id="19" w:name="_Toc184981062"/>
      <w:bookmarkStart w:id="20" w:name="_Toc8523"/>
      <w:bookmarkStart w:id="21" w:name="_Toc27429"/>
      <w:bookmarkStart w:id="22" w:name="_Toc184981300"/>
      <w:r>
        <w:rPr>
          <w:rFonts w:hint="eastAsia" w:ascii="仿宋_GB2312" w:hAnsi="Times New Roman" w:eastAsia="仿宋_GB2312" w:cs="Times New Roman"/>
          <w:b/>
          <w:bCs/>
          <w:sz w:val="24"/>
          <w:szCs w:val="24"/>
        </w:rPr>
        <w:t>（一）绩效评价目的、对象和范围</w:t>
      </w:r>
      <w:bookmarkEnd w:id="19"/>
      <w:bookmarkEnd w:id="20"/>
      <w:bookmarkEnd w:id="21"/>
      <w:bookmarkEnd w:id="22"/>
    </w:p>
    <w:p w14:paraId="58E9F53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1.绩效评价目的</w:t>
      </w:r>
    </w:p>
    <w:p w14:paraId="17B6CE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工作组对石狮市</w:t>
      </w:r>
      <w:r>
        <w:rPr>
          <w:rFonts w:hint="eastAsia" w:ascii="仿宋_GB2312" w:hAnsi="Times New Roman" w:eastAsia="仿宋_GB2312" w:cs="Times New Roman"/>
          <w:sz w:val="24"/>
          <w:szCs w:val="24"/>
          <w:lang w:val="en-US" w:eastAsia="zh-CN"/>
        </w:rPr>
        <w:t>水路运输业相关补贴项目</w:t>
      </w:r>
      <w:r>
        <w:rPr>
          <w:rFonts w:hint="eastAsia" w:ascii="仿宋_GB2312" w:hAnsi="Times New Roman" w:eastAsia="仿宋_GB2312" w:cs="Times New Roman"/>
          <w:sz w:val="24"/>
          <w:szCs w:val="24"/>
          <w:lang w:val="zh-CN" w:eastAsia="zh-CN"/>
        </w:rPr>
        <w:t>经费进行评价，目的是从决策角度的项目立项、绩效目标设定和资金投入考察资金投入的合规合理性，从过程角度了解资金管理情况和组织实施情况，从产出角度分析资金使用的产出数量和质量是否符合预期，从效益角度分析资金使用是否实现应有的效果和满意度。最终目的是通过对决策、过程、产出和效益四个角度的分析总结经验，为改善政府管理、纠正目标与实际的偏差提供依据。工作组通过对石狮市</w:t>
      </w:r>
      <w:r>
        <w:rPr>
          <w:rFonts w:hint="eastAsia" w:ascii="仿宋_GB2312" w:hAnsi="Times New Roman" w:eastAsia="仿宋_GB2312" w:cs="Times New Roman"/>
          <w:sz w:val="24"/>
          <w:szCs w:val="24"/>
          <w:lang w:val="en-US" w:eastAsia="zh-CN"/>
        </w:rPr>
        <w:t>水路运输业相关补贴项目</w:t>
      </w:r>
      <w:r>
        <w:rPr>
          <w:rFonts w:hint="eastAsia" w:ascii="仿宋_GB2312" w:hAnsi="Times New Roman" w:eastAsia="仿宋_GB2312" w:cs="Times New Roman"/>
          <w:sz w:val="24"/>
          <w:szCs w:val="24"/>
          <w:lang w:val="zh-CN" w:eastAsia="zh-CN"/>
        </w:rPr>
        <w:t>经费拨付、使用和</w:t>
      </w:r>
      <w:r>
        <w:rPr>
          <w:rFonts w:hint="eastAsia" w:ascii="仿宋_GB2312" w:hAnsi="Times New Roman" w:eastAsia="仿宋_GB2312" w:cs="Times New Roman"/>
          <w:sz w:val="24"/>
          <w:szCs w:val="24"/>
          <w:lang w:val="en-US" w:eastAsia="zh-CN"/>
        </w:rPr>
        <w:t>受补贴企业</w:t>
      </w:r>
      <w:r>
        <w:rPr>
          <w:rFonts w:hint="eastAsia" w:ascii="仿宋_GB2312" w:hAnsi="Times New Roman" w:eastAsia="仿宋_GB2312" w:cs="Times New Roman"/>
          <w:sz w:val="24"/>
          <w:szCs w:val="24"/>
          <w:lang w:val="zh-CN" w:eastAsia="zh-CN"/>
        </w:rPr>
        <w:t>情况的调研，拟定该项资金绩效评价指标体系，评价该项资金的绩效目标完成情况，剖析该项资金在决策、管理及项目实施过程中存在的问题，并探讨其可能的原因，最后提出相应的解决对策，为提高专项资金的使用效率提供参考依据。</w:t>
      </w:r>
    </w:p>
    <w:p w14:paraId="6D5AFF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2.绩效评价的对象和范围</w:t>
      </w:r>
    </w:p>
    <w:p w14:paraId="5AF05E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绩效评价对象为石狮市</w:t>
      </w:r>
      <w:r>
        <w:rPr>
          <w:rFonts w:hint="eastAsia" w:ascii="仿宋_GB2312" w:hAnsi="Times New Roman" w:eastAsia="仿宋_GB2312" w:cs="Times New Roman"/>
          <w:sz w:val="24"/>
          <w:szCs w:val="24"/>
          <w:lang w:val="en-US" w:eastAsia="zh-CN"/>
        </w:rPr>
        <w:t>水路运输业相关补贴项目</w:t>
      </w:r>
      <w:r>
        <w:rPr>
          <w:rFonts w:hint="eastAsia" w:ascii="仿宋_GB2312" w:hAnsi="Times New Roman" w:eastAsia="仿宋_GB2312" w:cs="Times New Roman"/>
          <w:sz w:val="24"/>
          <w:szCs w:val="24"/>
          <w:lang w:val="zh-CN" w:eastAsia="zh-CN"/>
        </w:rPr>
        <w:t>经费，本报告所评价资金为202</w:t>
      </w:r>
      <w:r>
        <w:rPr>
          <w:rFonts w:hint="eastAsia" w:ascii="仿宋_GB2312" w:hAnsi="Times New Roman" w:eastAsia="仿宋_GB2312" w:cs="Times New Roman"/>
          <w:sz w:val="24"/>
          <w:szCs w:val="24"/>
          <w:lang w:val="en-US" w:eastAsia="zh-CN"/>
        </w:rPr>
        <w:t>4</w:t>
      </w:r>
      <w:r>
        <w:rPr>
          <w:rFonts w:hint="eastAsia" w:ascii="仿宋_GB2312" w:hAnsi="Times New Roman" w:eastAsia="仿宋_GB2312" w:cs="Times New Roman"/>
          <w:sz w:val="24"/>
          <w:szCs w:val="24"/>
          <w:lang w:val="zh-CN" w:eastAsia="zh-CN"/>
        </w:rPr>
        <w:t>年度项目投入的专项经费。评价范围是项目决策：包括立项程序、绩效目标设定和资金投入情况；项目过程：包括资金管理、组织实施情况等；项目产出：包括产出数量、质量、时效、成本；项目效益：包括带来的社会效益、经济效益、可持续影响和满意度。</w:t>
      </w:r>
    </w:p>
    <w:p w14:paraId="005BAED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hAnsi="Times New Roman" w:eastAsia="仿宋_GB2312" w:cs="Times New Roman"/>
          <w:b/>
          <w:bCs/>
          <w:sz w:val="24"/>
          <w:szCs w:val="24"/>
        </w:rPr>
      </w:pPr>
      <w:bookmarkStart w:id="23" w:name="_Toc14624"/>
      <w:bookmarkStart w:id="24" w:name="_Toc184981301"/>
      <w:bookmarkStart w:id="25" w:name="_Toc22644"/>
      <w:bookmarkStart w:id="26" w:name="_Toc184981063"/>
      <w:r>
        <w:rPr>
          <w:rFonts w:hint="eastAsia" w:ascii="仿宋_GB2312" w:hAnsi="Times New Roman" w:eastAsia="仿宋_GB2312" w:cs="Times New Roman"/>
          <w:b/>
          <w:bCs/>
          <w:sz w:val="24"/>
          <w:szCs w:val="24"/>
        </w:rPr>
        <w:t>（二）绩效评价原则、评价指标体系、评价方法、评价标准</w:t>
      </w:r>
      <w:bookmarkEnd w:id="23"/>
      <w:bookmarkEnd w:id="24"/>
      <w:bookmarkEnd w:id="25"/>
      <w:bookmarkEnd w:id="26"/>
    </w:p>
    <w:p w14:paraId="48341F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1.绩效评价原则</w:t>
      </w:r>
    </w:p>
    <w:p w14:paraId="523222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石狮市</w:t>
      </w:r>
      <w:r>
        <w:rPr>
          <w:rFonts w:hint="eastAsia" w:ascii="仿宋_GB2312" w:hAnsi="Times New Roman" w:eastAsia="仿宋_GB2312" w:cs="Times New Roman"/>
          <w:sz w:val="24"/>
          <w:szCs w:val="24"/>
          <w:lang w:val="en-US" w:eastAsia="zh-CN"/>
        </w:rPr>
        <w:t>水路运输业相关补贴项目</w:t>
      </w:r>
      <w:r>
        <w:rPr>
          <w:rFonts w:hint="eastAsia" w:ascii="仿宋_GB2312" w:hAnsi="Times New Roman" w:eastAsia="仿宋_GB2312" w:cs="Times New Roman"/>
          <w:sz w:val="24"/>
          <w:szCs w:val="24"/>
          <w:lang w:val="zh-CN" w:eastAsia="zh-CN"/>
        </w:rPr>
        <w:t>经费绩效评价应根据设定的绩效目标，运用科学、合理的绩效评价指标、评价标准和评价方法，按照财政支出绩效考评4E原则，对项目经费的经济性、效率性、效果性和公平性进行客观、公正的评价。根据《项目支出绩效评价管理办法》（财预〔2020〕10号），绩效评价指标的确定应当遵循以下基本原则：</w:t>
      </w:r>
    </w:p>
    <w:p w14:paraId="672B98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（1）相关性原则。确定的绩效评价指标应当与绩效目标有直接的联系，能够恰当反映目标的实现程度。</w:t>
      </w:r>
    </w:p>
    <w:p w14:paraId="5C19B3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（2）重要性原则。应当优先使用最具评价对象代表性、最能反映评价要求的核心指标。</w:t>
      </w:r>
    </w:p>
    <w:p w14:paraId="4FD65E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（3）可比性原则。对同类评价对象要设定共性的绩效评价指标，以便于评价结果可以相互比较。</w:t>
      </w:r>
    </w:p>
    <w:p w14:paraId="1E6BF5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（4）系统性原则。应当将定量指标与定性指标相结合，系统反映财政支出所产生的社会效益、经济效益、生态效益和可持续影响等。</w:t>
      </w:r>
    </w:p>
    <w:p w14:paraId="1D8F91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（5）经济性原则。绩效评价指标应当通俗易懂、简便易行，数据的获得应当考虑现实条件和可操作性，符合成本效益原则。</w:t>
      </w:r>
    </w:p>
    <w:p w14:paraId="03CAE2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2.评价指标体系</w:t>
      </w:r>
    </w:p>
    <w:p w14:paraId="21F84C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工作组根据财政部《项目支出绩效评价管理办法》（财预〔2020〕10号）文件的要求，依据上述原则，根据项目立项文件，围绕决策、过程、产出和效益四个方面设计绩效评价指标以及评分标准和分值。指标体系共设置4个一级指标、</w:t>
      </w:r>
      <w:r>
        <w:rPr>
          <w:rFonts w:hint="eastAsia" w:ascii="仿宋_GB2312" w:hAnsi="Times New Roman" w:eastAsia="仿宋_GB2312" w:cs="Times New Roman"/>
          <w:color w:val="auto"/>
          <w:sz w:val="24"/>
          <w:szCs w:val="24"/>
          <w:lang w:val="zh-CN" w:eastAsia="zh-CN"/>
        </w:rPr>
        <w:t>1</w:t>
      </w:r>
      <w:r>
        <w:rPr>
          <w:rFonts w:hint="eastAsia" w:ascii="仿宋_GB2312" w:hAnsi="Times New Roman" w:eastAsia="仿宋_GB2312" w:cs="Times New Roman"/>
          <w:color w:val="auto"/>
          <w:sz w:val="24"/>
          <w:szCs w:val="24"/>
          <w:lang w:val="en-US" w:eastAsia="zh-CN"/>
        </w:rPr>
        <w:t>2</w:t>
      </w:r>
      <w:r>
        <w:rPr>
          <w:rFonts w:hint="eastAsia" w:ascii="仿宋_GB2312" w:hAnsi="Times New Roman" w:eastAsia="仿宋_GB2312" w:cs="Times New Roman"/>
          <w:color w:val="auto"/>
          <w:sz w:val="24"/>
          <w:szCs w:val="24"/>
          <w:lang w:val="zh-CN" w:eastAsia="zh-CN"/>
        </w:rPr>
        <w:t>个二级指标、2</w:t>
      </w:r>
      <w:r>
        <w:rPr>
          <w:rFonts w:hint="eastAsia" w:ascii="仿宋_GB2312" w:hAnsi="Times New Roman" w:eastAsia="仿宋_GB2312" w:cs="Times New Roman"/>
          <w:color w:val="auto"/>
          <w:sz w:val="24"/>
          <w:szCs w:val="24"/>
          <w:lang w:val="en-US" w:eastAsia="zh-CN"/>
        </w:rPr>
        <w:t>3</w:t>
      </w:r>
      <w:r>
        <w:rPr>
          <w:rFonts w:hint="eastAsia" w:ascii="仿宋_GB2312" w:hAnsi="Times New Roman" w:eastAsia="仿宋_GB2312" w:cs="Times New Roman"/>
          <w:color w:val="auto"/>
          <w:sz w:val="24"/>
          <w:szCs w:val="24"/>
          <w:lang w:val="zh-CN" w:eastAsia="zh-CN"/>
        </w:rPr>
        <w:t>个三级指标。指标体系设定满分100分，其中：“决策”</w:t>
      </w:r>
      <w:r>
        <w:rPr>
          <w:rFonts w:hint="eastAsia" w:ascii="仿宋_GB2312" w:hAnsi="Times New Roman" w:eastAsia="仿宋_GB2312" w:cs="Times New Roman"/>
          <w:color w:val="auto"/>
          <w:sz w:val="24"/>
          <w:szCs w:val="24"/>
          <w:lang w:val="en-US" w:eastAsia="zh-CN"/>
        </w:rPr>
        <w:t>20</w:t>
      </w:r>
      <w:r>
        <w:rPr>
          <w:rFonts w:hint="eastAsia" w:ascii="仿宋_GB2312" w:hAnsi="Times New Roman" w:eastAsia="仿宋_GB2312" w:cs="Times New Roman"/>
          <w:color w:val="auto"/>
          <w:sz w:val="24"/>
          <w:szCs w:val="24"/>
          <w:lang w:val="zh-CN" w:eastAsia="zh-CN"/>
        </w:rPr>
        <w:t>分，主要体现项目立项、绩效目标和资金投入情况；“过程”</w:t>
      </w:r>
      <w:r>
        <w:rPr>
          <w:rFonts w:hint="eastAsia" w:ascii="仿宋_GB2312" w:hAnsi="Times New Roman" w:eastAsia="仿宋_GB2312" w:cs="Times New Roman"/>
          <w:color w:val="auto"/>
          <w:sz w:val="24"/>
          <w:szCs w:val="24"/>
          <w:lang w:val="en-US" w:eastAsia="zh-CN"/>
        </w:rPr>
        <w:t>20</w:t>
      </w:r>
      <w:r>
        <w:rPr>
          <w:rFonts w:hint="eastAsia" w:ascii="仿宋_GB2312" w:hAnsi="Times New Roman" w:eastAsia="仿宋_GB2312" w:cs="Times New Roman"/>
          <w:color w:val="auto"/>
          <w:sz w:val="24"/>
          <w:szCs w:val="24"/>
          <w:lang w:val="zh-CN" w:eastAsia="zh-CN"/>
        </w:rPr>
        <w:t>分，主要体现项目的资金管理、组织实施方面的情况；“产出”</w:t>
      </w:r>
      <w:r>
        <w:rPr>
          <w:rFonts w:hint="eastAsia" w:ascii="仿宋_GB2312" w:hAnsi="Times New Roman" w:eastAsia="仿宋_GB2312" w:cs="Times New Roman"/>
          <w:color w:val="auto"/>
          <w:sz w:val="24"/>
          <w:szCs w:val="24"/>
          <w:lang w:val="en-US" w:eastAsia="zh-CN"/>
        </w:rPr>
        <w:t>25</w:t>
      </w:r>
      <w:r>
        <w:rPr>
          <w:rFonts w:hint="eastAsia" w:ascii="仿宋_GB2312" w:hAnsi="Times New Roman" w:eastAsia="仿宋_GB2312" w:cs="Times New Roman"/>
          <w:color w:val="auto"/>
          <w:sz w:val="24"/>
          <w:szCs w:val="24"/>
          <w:lang w:val="zh-CN" w:eastAsia="zh-CN"/>
        </w:rPr>
        <w:t>分，主要体现项目产出数量、产出质量、产出时效；“效益”35分，</w:t>
      </w:r>
      <w:r>
        <w:rPr>
          <w:rFonts w:hint="eastAsia" w:ascii="仿宋_GB2312" w:hAnsi="Times New Roman" w:eastAsia="仿宋_GB2312" w:cs="Times New Roman"/>
          <w:sz w:val="24"/>
          <w:szCs w:val="24"/>
          <w:lang w:val="zh-CN" w:eastAsia="zh-CN"/>
        </w:rPr>
        <w:t>主要体现项目社会效益、</w:t>
      </w:r>
      <w:r>
        <w:rPr>
          <w:rFonts w:hint="eastAsia" w:ascii="仿宋_GB2312" w:hAnsi="Times New Roman" w:eastAsia="仿宋_GB2312" w:cs="Times New Roman"/>
          <w:sz w:val="24"/>
          <w:szCs w:val="24"/>
          <w:lang w:val="en-US" w:eastAsia="zh-CN"/>
        </w:rPr>
        <w:t>经济</w:t>
      </w:r>
      <w:r>
        <w:rPr>
          <w:rFonts w:hint="eastAsia" w:ascii="仿宋_GB2312" w:hAnsi="Times New Roman" w:eastAsia="仿宋_GB2312" w:cs="Times New Roman"/>
          <w:sz w:val="24"/>
          <w:szCs w:val="24"/>
          <w:lang w:val="zh-CN" w:eastAsia="zh-CN"/>
        </w:rPr>
        <w:t>效益、可持续影响和服务对象满意度等。基于第三方独立评价的特点和要求，指标设置和评分标准力求可行性、客观性、科学性与简明性。指标体系和评分标准详见附表</w:t>
      </w:r>
      <w:r>
        <w:rPr>
          <w:rFonts w:hint="eastAsia" w:ascii="仿宋_GB2312" w:hAnsi="Times New Roman" w:eastAsia="仿宋_GB2312" w:cs="Times New Roman"/>
          <w:sz w:val="24"/>
          <w:szCs w:val="24"/>
          <w:lang w:val="en-US" w:eastAsia="zh-CN"/>
        </w:rPr>
        <w:t>1</w:t>
      </w:r>
      <w:r>
        <w:rPr>
          <w:rFonts w:hint="eastAsia" w:ascii="仿宋_GB2312" w:hAnsi="Times New Roman" w:eastAsia="仿宋_GB2312" w:cs="Times New Roman"/>
          <w:sz w:val="24"/>
          <w:szCs w:val="24"/>
          <w:lang w:val="zh-CN" w:eastAsia="zh-CN"/>
        </w:rPr>
        <w:t>。</w:t>
      </w:r>
    </w:p>
    <w:p w14:paraId="5F0DAA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3.绩效评价方法的选用</w:t>
      </w:r>
    </w:p>
    <w:p w14:paraId="4FA6D8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根据财政部《项目支出绩效评价管理办法》（财预〔2020〕10号）规定的绩效评价方法，石狮市</w:t>
      </w:r>
      <w:r>
        <w:rPr>
          <w:rFonts w:hint="eastAsia" w:ascii="仿宋_GB2312" w:hAnsi="Times New Roman" w:eastAsia="仿宋_GB2312" w:cs="Times New Roman"/>
          <w:sz w:val="24"/>
          <w:szCs w:val="24"/>
          <w:lang w:val="en-US" w:eastAsia="zh-CN"/>
        </w:rPr>
        <w:t>水路运输业相关补贴项目</w:t>
      </w:r>
      <w:r>
        <w:rPr>
          <w:rFonts w:hint="eastAsia" w:ascii="仿宋_GB2312" w:hAnsi="Times New Roman" w:eastAsia="仿宋_GB2312" w:cs="Times New Roman"/>
          <w:sz w:val="24"/>
          <w:szCs w:val="24"/>
          <w:lang w:val="zh-CN" w:eastAsia="zh-CN"/>
        </w:rPr>
        <w:t>经费绩效评价主要采用成本效益分析法、比较法、目标评价法等。</w:t>
      </w:r>
    </w:p>
    <w:p w14:paraId="1A571B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color w:val="auto"/>
          <w:sz w:val="24"/>
          <w:szCs w:val="24"/>
          <w:lang w:val="zh-CN" w:eastAsia="zh-CN"/>
        </w:rPr>
        <w:t>（1）成本效益分析法。指将投入与产出、效益进行关联性分析的方法。工作组将通过对项目资金的预算执行情况、项目管理等相关资料进行比较分析，对资金投</w:t>
      </w:r>
      <w:r>
        <w:rPr>
          <w:rFonts w:hint="eastAsia" w:ascii="仿宋_GB2312" w:hAnsi="Times New Roman" w:eastAsia="仿宋_GB2312" w:cs="Times New Roman"/>
          <w:sz w:val="24"/>
          <w:szCs w:val="24"/>
          <w:lang w:val="zh-CN" w:eastAsia="zh-CN"/>
        </w:rPr>
        <w:t>入与产出、效益进行关联性分析，进而评价资金绩效目标的实现程度。</w:t>
      </w:r>
    </w:p>
    <w:p w14:paraId="3AEF1E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（2）比较法。指通过实际支出、实施效果等与绩效目标的比较，综合分析绩效目标实现程度。</w:t>
      </w:r>
      <w:r>
        <w:rPr>
          <w:rFonts w:hint="eastAsia" w:ascii="仿宋_GB2312" w:hAnsi="Times New Roman" w:eastAsia="仿宋_GB2312" w:cs="Times New Roman"/>
          <w:sz w:val="24"/>
          <w:szCs w:val="24"/>
          <w:lang w:val="en-US" w:eastAsia="zh-CN"/>
        </w:rPr>
        <w:t>该项目</w:t>
      </w:r>
      <w:r>
        <w:rPr>
          <w:rFonts w:hint="eastAsia" w:ascii="仿宋_GB2312" w:hAnsi="Times New Roman" w:eastAsia="仿宋_GB2312" w:cs="Times New Roman"/>
          <w:sz w:val="24"/>
          <w:szCs w:val="24"/>
          <w:lang w:val="zh-CN" w:eastAsia="zh-CN"/>
        </w:rPr>
        <w:t>绩效评价</w:t>
      </w:r>
      <w:r>
        <w:rPr>
          <w:rFonts w:hint="eastAsia" w:ascii="仿宋_GB2312" w:hAnsi="Times New Roman" w:eastAsia="仿宋_GB2312" w:cs="Times New Roman"/>
          <w:sz w:val="24"/>
          <w:szCs w:val="24"/>
          <w:lang w:val="en-US" w:eastAsia="zh-CN"/>
        </w:rPr>
        <w:t>主要将补贴前后受补贴企业的情况进行对比，</w:t>
      </w:r>
      <w:r>
        <w:rPr>
          <w:rFonts w:hint="eastAsia" w:ascii="仿宋_GB2312" w:hAnsi="Times New Roman" w:eastAsia="仿宋_GB2312" w:cs="Times New Roman"/>
          <w:sz w:val="24"/>
          <w:szCs w:val="24"/>
          <w:lang w:val="zh-CN" w:eastAsia="zh-CN"/>
        </w:rPr>
        <w:t>综合分析绩效目标实现程度。</w:t>
      </w:r>
    </w:p>
    <w:p w14:paraId="05E633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zh-CN" w:eastAsia="zh-CN"/>
        </w:rPr>
        <w:t>（3）公众评判法。指通过专家评估、公众问卷及抽样调查等方式进行评判的方法。</w:t>
      </w:r>
      <w:r>
        <w:rPr>
          <w:rFonts w:hint="eastAsia" w:ascii="仿宋_GB2312" w:hAnsi="Times New Roman" w:eastAsia="仿宋_GB2312" w:cs="Times New Roman"/>
          <w:sz w:val="24"/>
          <w:szCs w:val="24"/>
          <w:lang w:val="en-US" w:eastAsia="zh-CN"/>
        </w:rPr>
        <w:t>工作组将对2024年受补贴企业开展全面的问卷调查，了解受补贴企业的满意度及对政策的看法。</w:t>
      </w:r>
    </w:p>
    <w:p w14:paraId="3D5FFC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4.评价标准</w:t>
      </w:r>
    </w:p>
    <w:p w14:paraId="2F1117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专项资金绩效评价标准是衡量专项资金绩效目标完成程度的尺度。依据财政部制定的《项目支出绩效评价管理办法》（财预〔2020〕10号）、福建省财政厅制定的《福建省财政支出绩效评价管理办法》（闽财绩〔2015〕4号）文件精神，绩效评价标准有以下4种：</w:t>
      </w:r>
    </w:p>
    <w:p w14:paraId="5737E1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（1）计划标准。是指以预先制定的目标、计划、预算、定额等数据作为评价的标准。</w:t>
      </w:r>
    </w:p>
    <w:p w14:paraId="574E6F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（2）行业标准。是指参照国家公布的行业指标数据制定的评价标准。</w:t>
      </w:r>
    </w:p>
    <w:p w14:paraId="6BE2C8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（3）历史标准。是指参照同类指标的历史数据制定的评价标准。</w:t>
      </w:r>
    </w:p>
    <w:p w14:paraId="07ED6C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（4）其他经财政部门确认的标准。</w:t>
      </w:r>
    </w:p>
    <w:p w14:paraId="5009BE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工作组根据石狮市水路运输业相关补贴项目实施的实际情况，主要是参照计划标准和</w:t>
      </w:r>
      <w:r>
        <w:rPr>
          <w:rFonts w:hint="eastAsia" w:ascii="仿宋_GB2312" w:hAnsi="Times New Roman" w:eastAsia="仿宋_GB2312" w:cs="Times New Roman"/>
          <w:sz w:val="24"/>
          <w:szCs w:val="24"/>
          <w:lang w:val="en-US" w:eastAsia="zh-CN"/>
        </w:rPr>
        <w:t>历史</w:t>
      </w:r>
      <w:r>
        <w:rPr>
          <w:rFonts w:hint="eastAsia" w:ascii="仿宋_GB2312" w:hAnsi="Times New Roman" w:eastAsia="仿宋_GB2312" w:cs="Times New Roman"/>
          <w:sz w:val="24"/>
          <w:szCs w:val="24"/>
          <w:lang w:val="zh-CN" w:eastAsia="zh-CN"/>
        </w:rPr>
        <w:t>标准，对于事先已制定了相应目标、计划、预算的指标，采用计划标准进行评价，</w:t>
      </w:r>
      <w:r>
        <w:rPr>
          <w:rFonts w:hint="eastAsia" w:ascii="仿宋_GB2312" w:hAnsi="Times New Roman" w:eastAsia="仿宋_GB2312" w:cs="Times New Roman"/>
          <w:sz w:val="24"/>
          <w:szCs w:val="24"/>
          <w:lang w:val="en-US" w:eastAsia="zh-CN"/>
        </w:rPr>
        <w:t>并</w:t>
      </w:r>
      <w:r>
        <w:rPr>
          <w:rFonts w:hint="eastAsia" w:ascii="仿宋_GB2312" w:hAnsi="Times New Roman" w:eastAsia="仿宋_GB2312" w:cs="Times New Roman"/>
          <w:sz w:val="24"/>
          <w:szCs w:val="24"/>
          <w:lang w:val="zh-CN" w:eastAsia="zh-CN"/>
        </w:rPr>
        <w:t>将实际情况与</w:t>
      </w:r>
      <w:r>
        <w:rPr>
          <w:rFonts w:hint="eastAsia" w:ascii="仿宋_GB2312" w:hAnsi="Times New Roman" w:eastAsia="仿宋_GB2312" w:cs="Times New Roman"/>
          <w:sz w:val="24"/>
          <w:szCs w:val="24"/>
          <w:lang w:val="en-US" w:eastAsia="zh-CN"/>
        </w:rPr>
        <w:t>历史</w:t>
      </w:r>
      <w:r>
        <w:rPr>
          <w:rFonts w:hint="eastAsia" w:ascii="仿宋_GB2312" w:hAnsi="Times New Roman" w:eastAsia="仿宋_GB2312" w:cs="Times New Roman"/>
          <w:sz w:val="24"/>
          <w:szCs w:val="24"/>
          <w:lang w:val="zh-CN" w:eastAsia="zh-CN"/>
        </w:rPr>
        <w:t>情况相比较。</w:t>
      </w:r>
    </w:p>
    <w:p w14:paraId="36ACAEB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hAnsi="Times New Roman" w:eastAsia="仿宋_GB2312" w:cs="Times New Roman"/>
          <w:b/>
          <w:bCs/>
          <w:sz w:val="24"/>
          <w:szCs w:val="24"/>
          <w:lang w:val="zh-CN" w:eastAsia="zh-CN"/>
        </w:rPr>
      </w:pPr>
      <w:bookmarkStart w:id="27" w:name="_Toc184981064"/>
      <w:bookmarkStart w:id="28" w:name="_Toc184981302"/>
      <w:bookmarkStart w:id="29" w:name="_Toc1908"/>
      <w:r>
        <w:rPr>
          <w:rFonts w:hint="eastAsia" w:ascii="仿宋_GB2312" w:hAnsi="Times New Roman" w:eastAsia="仿宋_GB2312" w:cs="Times New Roman"/>
          <w:b/>
          <w:bCs/>
          <w:sz w:val="24"/>
          <w:szCs w:val="24"/>
          <w:lang w:val="zh-CN" w:eastAsia="zh-CN"/>
        </w:rPr>
        <w:t>（三）绩效评价工作过程</w:t>
      </w:r>
      <w:bookmarkEnd w:id="27"/>
      <w:bookmarkEnd w:id="28"/>
      <w:bookmarkEnd w:id="29"/>
    </w:p>
    <w:p w14:paraId="46AAC3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根据《项目支出绩效评价管理办法》（财预〔2020〕10号）要求，为开展石狮市水路运输业相关补贴项目经费绩效评价，成立专项评价工作组，制定工作实施方案。</w:t>
      </w:r>
    </w:p>
    <w:p w14:paraId="19D588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第一阶段，评价工作组应通过对项目资料进行初步收集整理，形成调研及初步拟定绩效评价指标的思路。</w:t>
      </w:r>
    </w:p>
    <w:p w14:paraId="2A0401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第二阶段，工作组开展实地调研，与相关工作人员进行座谈，查阅相关的档案、资料，深入了解项目建设及资金使用情况等。工作组拟定项目绩效评价指标体系，与石狮市财政局相关科室商讨指标体系，根据反馈意见，修订绩效评价指标体系；根据评价需要补充新的数据资料。</w:t>
      </w:r>
    </w:p>
    <w:p w14:paraId="4F937C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第三阶段，工作组全面分析并撰写报告初稿。根据已确定的指标体系，对项目</w:t>
      </w:r>
      <w:r>
        <w:rPr>
          <w:rFonts w:hint="eastAsia" w:ascii="仿宋_GB2312" w:hAnsi="Times New Roman" w:eastAsia="仿宋_GB2312" w:cs="Times New Roman"/>
          <w:sz w:val="24"/>
          <w:szCs w:val="24"/>
          <w:lang w:val="en-US" w:eastAsia="zh-CN"/>
        </w:rPr>
        <w:t>资金</w:t>
      </w:r>
      <w:r>
        <w:rPr>
          <w:rFonts w:hint="eastAsia" w:ascii="仿宋_GB2312" w:hAnsi="Times New Roman" w:eastAsia="仿宋_GB2312" w:cs="Times New Roman"/>
          <w:sz w:val="24"/>
          <w:szCs w:val="24"/>
          <w:lang w:val="zh-CN" w:eastAsia="zh-CN"/>
        </w:rPr>
        <w:t>的使用情况、使用效益和服务对象满意度进行全面分析，完成绩效评价报告初稿。初稿应征询石狮市财政局、石狮市</w:t>
      </w:r>
      <w:r>
        <w:rPr>
          <w:rFonts w:hint="eastAsia" w:ascii="仿宋_GB2312" w:hAnsi="Times New Roman" w:eastAsia="仿宋_GB2312" w:cs="Times New Roman"/>
          <w:sz w:val="24"/>
          <w:szCs w:val="24"/>
          <w:lang w:val="en-US" w:eastAsia="zh-CN"/>
        </w:rPr>
        <w:t>交通</w:t>
      </w:r>
      <w:r>
        <w:rPr>
          <w:rFonts w:hint="eastAsia" w:ascii="仿宋_GB2312" w:hAnsi="Times New Roman" w:eastAsia="仿宋_GB2312" w:cs="Times New Roman"/>
          <w:sz w:val="24"/>
          <w:szCs w:val="24"/>
          <w:lang w:val="zh-CN" w:eastAsia="zh-CN"/>
        </w:rPr>
        <w:t>和</w:t>
      </w:r>
      <w:r>
        <w:rPr>
          <w:rFonts w:hint="eastAsia" w:ascii="仿宋_GB2312" w:hAnsi="Times New Roman" w:eastAsia="仿宋_GB2312" w:cs="Times New Roman"/>
          <w:sz w:val="24"/>
          <w:szCs w:val="24"/>
          <w:lang w:val="en-US" w:eastAsia="zh-CN"/>
        </w:rPr>
        <w:t>港口发展</w:t>
      </w:r>
      <w:r>
        <w:rPr>
          <w:rFonts w:hint="eastAsia" w:ascii="仿宋_GB2312" w:hAnsi="Times New Roman" w:eastAsia="仿宋_GB2312" w:cs="Times New Roman"/>
          <w:sz w:val="24"/>
          <w:szCs w:val="24"/>
          <w:lang w:val="zh-CN" w:eastAsia="zh-CN"/>
        </w:rPr>
        <w:t>局等相关部门的意见，及时根据反馈意见进行修改并完成报告终稿。</w:t>
      </w:r>
    </w:p>
    <w:p w14:paraId="09A619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p>
    <w:p w14:paraId="57C3E3CF">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lang w:val="zh-CN" w:eastAsia="zh-CN"/>
        </w:rPr>
      </w:pPr>
      <w:bookmarkStart w:id="30" w:name="_Toc184981303"/>
      <w:bookmarkStart w:id="31" w:name="_Toc23023"/>
      <w:bookmarkStart w:id="32" w:name="_Toc184981065"/>
      <w:bookmarkStart w:id="33" w:name="_Toc11043"/>
      <w:r>
        <w:rPr>
          <w:rFonts w:hint="eastAsia" w:ascii="仿宋" w:hAnsi="仿宋" w:eastAsia="仿宋" w:cs="仿宋"/>
          <w:b/>
          <w:bCs/>
          <w:sz w:val="28"/>
          <w:szCs w:val="28"/>
          <w:lang w:val="zh-CN" w:eastAsia="zh-CN"/>
        </w:rPr>
        <w:t>三、综合评价情况及评价结论</w:t>
      </w:r>
      <w:bookmarkEnd w:id="30"/>
      <w:bookmarkEnd w:id="31"/>
      <w:bookmarkEnd w:id="32"/>
      <w:bookmarkEnd w:id="33"/>
    </w:p>
    <w:p w14:paraId="0925785E">
      <w:pPr>
        <w:spacing w:line="360" w:lineRule="auto"/>
        <w:ind w:firstLine="480" w:firstLineChars="200"/>
        <w:jc w:val="both"/>
        <w:rPr>
          <w:rFonts w:hint="eastAsia" w:ascii="仿宋" w:hAnsi="仿宋" w:eastAsia="仿宋" w:cs="Times New Roman"/>
          <w:sz w:val="24"/>
          <w:lang w:val="zh-CN" w:eastAsia="zh-CN"/>
        </w:rPr>
      </w:pPr>
      <w:r>
        <w:rPr>
          <w:rFonts w:hint="eastAsia" w:ascii="仿宋" w:hAnsi="仿宋" w:eastAsia="仿宋" w:cs="Times New Roman"/>
          <w:sz w:val="24"/>
          <w:lang w:val="en-US" w:eastAsia="zh-CN"/>
        </w:rPr>
        <w:t>2024年度</w:t>
      </w:r>
      <w:r>
        <w:rPr>
          <w:rFonts w:hint="eastAsia" w:ascii="仿宋" w:hAnsi="仿宋" w:eastAsia="仿宋" w:cs="Times New Roman"/>
          <w:sz w:val="24"/>
          <w:lang w:val="zh-CN" w:eastAsia="zh-CN"/>
        </w:rPr>
        <w:t>石狮市</w:t>
      </w:r>
      <w:r>
        <w:rPr>
          <w:rFonts w:hint="eastAsia" w:ascii="仿宋" w:hAnsi="仿宋" w:eastAsia="仿宋" w:cs="Times New Roman"/>
          <w:sz w:val="24"/>
          <w:lang w:val="en-US" w:eastAsia="zh-CN"/>
        </w:rPr>
        <w:t>水路运输业相关补贴项目</w:t>
      </w:r>
      <w:r>
        <w:rPr>
          <w:rFonts w:hint="eastAsia" w:ascii="仿宋" w:hAnsi="仿宋" w:eastAsia="仿宋" w:cs="Times New Roman"/>
          <w:sz w:val="24"/>
          <w:lang w:val="zh-CN" w:eastAsia="zh-CN"/>
        </w:rPr>
        <w:t>经费</w:t>
      </w:r>
      <w:r>
        <w:rPr>
          <w:rFonts w:hint="eastAsia" w:ascii="仿宋" w:hAnsi="仿宋" w:eastAsia="仿宋" w:cs="Times New Roman"/>
          <w:sz w:val="24"/>
          <w:lang w:val="en-US" w:eastAsia="zh-CN"/>
        </w:rPr>
        <w:t>虽然在一定程度上促进了当地水路运输企业的规模化发展</w:t>
      </w:r>
      <w:r>
        <w:rPr>
          <w:rFonts w:hint="eastAsia" w:ascii="仿宋" w:hAnsi="仿宋" w:eastAsia="仿宋" w:cs="Times New Roman"/>
          <w:sz w:val="24"/>
          <w:lang w:val="zh-CN" w:eastAsia="zh-CN"/>
        </w:rPr>
        <w:t>，但在</w:t>
      </w:r>
      <w:r>
        <w:rPr>
          <w:rFonts w:hint="eastAsia" w:ascii="仿宋" w:hAnsi="仿宋" w:eastAsia="仿宋" w:cs="Times New Roman"/>
          <w:sz w:val="24"/>
          <w:lang w:val="en-US" w:eastAsia="zh-CN"/>
        </w:rPr>
        <w:t>绩效目标、资金分配、</w:t>
      </w:r>
      <w:r>
        <w:rPr>
          <w:rFonts w:hint="eastAsia" w:ascii="仿宋" w:hAnsi="仿宋" w:eastAsia="仿宋" w:cs="Times New Roman"/>
          <w:sz w:val="24"/>
          <w:lang w:val="zh-CN" w:eastAsia="zh-CN"/>
        </w:rPr>
        <w:t>项目</w:t>
      </w:r>
      <w:r>
        <w:rPr>
          <w:rFonts w:hint="eastAsia" w:ascii="仿宋" w:hAnsi="仿宋" w:eastAsia="仿宋" w:cs="Times New Roman"/>
          <w:sz w:val="24"/>
          <w:lang w:val="en-US" w:eastAsia="zh-CN"/>
        </w:rPr>
        <w:t>产出质量、项目效益</w:t>
      </w:r>
      <w:r>
        <w:rPr>
          <w:rFonts w:hint="eastAsia" w:ascii="仿宋" w:hAnsi="仿宋" w:eastAsia="仿宋" w:cs="Times New Roman"/>
          <w:sz w:val="24"/>
          <w:lang w:val="zh-CN" w:eastAsia="zh-CN"/>
        </w:rPr>
        <w:t>等方面</w:t>
      </w:r>
      <w:r>
        <w:rPr>
          <w:rFonts w:hint="eastAsia" w:ascii="仿宋" w:hAnsi="仿宋" w:eastAsia="仿宋" w:cs="Times New Roman"/>
          <w:sz w:val="24"/>
          <w:lang w:val="en-US" w:eastAsia="zh-CN"/>
        </w:rPr>
        <w:t>均</w:t>
      </w:r>
      <w:r>
        <w:rPr>
          <w:rFonts w:hint="eastAsia" w:ascii="仿宋" w:hAnsi="仿宋" w:eastAsia="仿宋" w:cs="Times New Roman"/>
          <w:sz w:val="24"/>
          <w:lang w:val="zh-CN" w:eastAsia="zh-CN"/>
        </w:rPr>
        <w:t>存在不足。经过工作组的审慎和科学评估，该项目总得分</w:t>
      </w:r>
      <w:r>
        <w:rPr>
          <w:rFonts w:hint="eastAsia" w:ascii="仿宋" w:hAnsi="仿宋" w:eastAsia="仿宋" w:cs="Times New Roman"/>
          <w:sz w:val="24"/>
          <w:lang w:val="en-US" w:eastAsia="zh-CN"/>
        </w:rPr>
        <w:t>79.46</w:t>
      </w:r>
      <w:r>
        <w:rPr>
          <w:rFonts w:hint="eastAsia" w:ascii="仿宋" w:hAnsi="仿宋" w:eastAsia="仿宋" w:cs="Times New Roman"/>
          <w:sz w:val="24"/>
          <w:lang w:val="zh-CN" w:eastAsia="zh-CN"/>
        </w:rPr>
        <w:t>分，评价等级结果为</w:t>
      </w:r>
      <w:r>
        <w:rPr>
          <w:rFonts w:hint="eastAsia" w:ascii="仿宋" w:hAnsi="仿宋" w:eastAsia="仿宋" w:cs="Times New Roman"/>
          <w:sz w:val="24"/>
          <w:lang w:val="en-US" w:eastAsia="zh-CN"/>
        </w:rPr>
        <w:t>中</w:t>
      </w:r>
      <w:r>
        <w:rPr>
          <w:rFonts w:hint="eastAsia" w:ascii="仿宋" w:hAnsi="仿宋" w:eastAsia="仿宋" w:cs="Times New Roman"/>
          <w:sz w:val="24"/>
          <w:lang w:val="zh-CN" w:eastAsia="zh-CN"/>
        </w:rPr>
        <w:t>，分指标分析详见第四部分。</w:t>
      </w:r>
    </w:p>
    <w:p w14:paraId="430C0CBC">
      <w:pPr>
        <w:spacing w:line="360" w:lineRule="auto"/>
        <w:ind w:firstLine="480" w:firstLineChars="200"/>
        <w:jc w:val="both"/>
        <w:rPr>
          <w:rFonts w:hint="eastAsia" w:ascii="仿宋" w:hAnsi="仿宋" w:eastAsia="仿宋" w:cs="Times New Roman"/>
          <w:sz w:val="24"/>
          <w:lang w:val="zh-CN" w:eastAsia="zh-CN"/>
        </w:rPr>
      </w:pPr>
    </w:p>
    <w:p w14:paraId="296A634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lang w:val="zh-CN" w:eastAsia="zh-CN"/>
        </w:rPr>
      </w:pPr>
      <w:bookmarkStart w:id="34" w:name="_Toc27977"/>
      <w:bookmarkStart w:id="35" w:name="_Toc184981066"/>
      <w:bookmarkStart w:id="36" w:name="_Toc16626"/>
      <w:bookmarkStart w:id="37" w:name="_Toc184981304"/>
      <w:r>
        <w:rPr>
          <w:rFonts w:hint="eastAsia" w:ascii="仿宋" w:hAnsi="仿宋" w:eastAsia="仿宋" w:cs="仿宋"/>
          <w:b/>
          <w:bCs/>
          <w:sz w:val="28"/>
          <w:szCs w:val="28"/>
          <w:lang w:val="zh-CN" w:eastAsia="zh-CN"/>
        </w:rPr>
        <w:t>四、绩效评价指标分析</w:t>
      </w:r>
      <w:bookmarkEnd w:id="34"/>
      <w:bookmarkEnd w:id="35"/>
      <w:bookmarkEnd w:id="36"/>
      <w:bookmarkEnd w:id="37"/>
    </w:p>
    <w:p w14:paraId="7A5A0F6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hAnsi="Times New Roman" w:eastAsia="仿宋_GB2312" w:cs="Times New Roman"/>
          <w:b/>
          <w:bCs/>
          <w:sz w:val="24"/>
          <w:szCs w:val="24"/>
        </w:rPr>
      </w:pPr>
      <w:bookmarkStart w:id="38" w:name="_Toc184981305"/>
      <w:bookmarkStart w:id="39" w:name="_Toc184981067"/>
      <w:bookmarkStart w:id="40" w:name="_Toc31967"/>
      <w:bookmarkStart w:id="41" w:name="_Toc2379"/>
      <w:r>
        <w:rPr>
          <w:rFonts w:hint="eastAsia" w:ascii="仿宋_GB2312" w:hAnsi="Times New Roman" w:eastAsia="仿宋_GB2312" w:cs="Times New Roman"/>
          <w:b/>
          <w:bCs/>
          <w:sz w:val="24"/>
          <w:szCs w:val="24"/>
        </w:rPr>
        <w:t>（一）项目决策情况</w:t>
      </w:r>
      <w:bookmarkEnd w:id="38"/>
      <w:bookmarkEnd w:id="39"/>
      <w:r>
        <w:rPr>
          <w:rFonts w:hint="eastAsia" w:ascii="仿宋_GB2312" w:hAnsi="Times New Roman" w:eastAsia="仿宋_GB2312" w:cs="Times New Roman"/>
          <w:b/>
          <w:bCs/>
          <w:sz w:val="24"/>
          <w:szCs w:val="24"/>
        </w:rPr>
        <w:t>（分值</w:t>
      </w:r>
      <w:r>
        <w:rPr>
          <w:rFonts w:hint="eastAsia" w:ascii="仿宋_GB2312" w:hAnsi="Times New Roman" w:eastAsia="仿宋_GB2312" w:cs="Times New Roman"/>
          <w:b/>
          <w:bCs/>
          <w:sz w:val="24"/>
          <w:szCs w:val="24"/>
          <w:lang w:val="en-US" w:eastAsia="zh-CN"/>
        </w:rPr>
        <w:t>20</w:t>
      </w:r>
      <w:r>
        <w:rPr>
          <w:rFonts w:hint="eastAsia" w:ascii="仿宋_GB2312" w:hAnsi="Times New Roman" w:eastAsia="仿宋_GB2312" w:cs="Times New Roman"/>
          <w:b/>
          <w:bCs/>
          <w:sz w:val="24"/>
          <w:szCs w:val="24"/>
        </w:rPr>
        <w:t>分，得分</w:t>
      </w:r>
      <w:r>
        <w:rPr>
          <w:rFonts w:hint="eastAsia" w:ascii="仿宋_GB2312" w:hAnsi="Times New Roman" w:eastAsia="仿宋_GB2312" w:cs="Times New Roman"/>
          <w:b/>
          <w:bCs/>
          <w:sz w:val="24"/>
          <w:szCs w:val="24"/>
          <w:lang w:val="en-US" w:eastAsia="zh-CN"/>
        </w:rPr>
        <w:t>16</w:t>
      </w:r>
      <w:r>
        <w:rPr>
          <w:rFonts w:hint="eastAsia" w:ascii="仿宋_GB2312" w:hAnsi="Times New Roman" w:eastAsia="仿宋_GB2312" w:cs="Times New Roman"/>
          <w:b/>
          <w:bCs/>
          <w:sz w:val="24"/>
          <w:szCs w:val="24"/>
        </w:rPr>
        <w:t>分）</w:t>
      </w:r>
      <w:bookmarkEnd w:id="40"/>
      <w:bookmarkEnd w:id="41"/>
    </w:p>
    <w:p w14:paraId="7B44C1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1.项目立项（</w:t>
      </w:r>
      <w:r>
        <w:rPr>
          <w:rFonts w:hint="eastAsia" w:ascii="仿宋_GB2312" w:hAnsi="Times New Roman" w:eastAsia="仿宋_GB2312" w:cs="Times New Roman"/>
          <w:sz w:val="24"/>
          <w:szCs w:val="24"/>
          <w:lang w:val="en-US" w:eastAsia="zh-CN"/>
        </w:rPr>
        <w:t>分值8</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8</w:t>
      </w:r>
      <w:r>
        <w:rPr>
          <w:rFonts w:hint="eastAsia" w:ascii="仿宋_GB2312" w:hAnsi="Times New Roman" w:eastAsia="仿宋_GB2312" w:cs="Times New Roman"/>
          <w:sz w:val="24"/>
          <w:szCs w:val="24"/>
          <w:lang w:val="zh-CN" w:eastAsia="zh-CN"/>
        </w:rPr>
        <w:t>分）</w:t>
      </w:r>
    </w:p>
    <w:p w14:paraId="252383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（1）立项依据充分性（</w:t>
      </w:r>
      <w:r>
        <w:rPr>
          <w:rFonts w:hint="eastAsia" w:ascii="仿宋_GB2312" w:hAnsi="Times New Roman" w:eastAsia="仿宋_GB2312" w:cs="Times New Roman"/>
          <w:sz w:val="24"/>
          <w:szCs w:val="24"/>
          <w:lang w:val="en-US" w:eastAsia="zh-CN"/>
        </w:rPr>
        <w:t>分值5</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5</w:t>
      </w:r>
      <w:r>
        <w:rPr>
          <w:rFonts w:hint="eastAsia" w:ascii="仿宋_GB2312" w:hAnsi="Times New Roman" w:eastAsia="仿宋_GB2312" w:cs="Times New Roman"/>
          <w:sz w:val="24"/>
          <w:szCs w:val="24"/>
          <w:lang w:val="zh-CN" w:eastAsia="zh-CN"/>
        </w:rPr>
        <w:t>分）</w:t>
      </w:r>
    </w:p>
    <w:p w14:paraId="553A22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“立项依据充分性”方面，</w:t>
      </w:r>
      <w:r>
        <w:rPr>
          <w:rFonts w:hint="eastAsia" w:ascii="仿宋_GB2312" w:hAnsi="Times New Roman" w:eastAsia="仿宋_GB2312" w:cs="Times New Roman"/>
          <w:sz w:val="24"/>
          <w:szCs w:val="24"/>
          <w:lang w:val="en-US" w:eastAsia="zh-CN"/>
        </w:rPr>
        <w:t>水路运输业相关补贴项目</w:t>
      </w:r>
      <w:r>
        <w:rPr>
          <w:rFonts w:hint="eastAsia" w:ascii="仿宋_GB2312" w:hAnsi="Times New Roman" w:eastAsia="仿宋_GB2312" w:cs="Times New Roman"/>
          <w:sz w:val="24"/>
          <w:szCs w:val="24"/>
          <w:lang w:val="zh-CN" w:eastAsia="zh-CN"/>
        </w:rPr>
        <w:t>立项</w:t>
      </w:r>
      <w:r>
        <w:rPr>
          <w:rFonts w:hint="eastAsia" w:ascii="仿宋_GB2312" w:hAnsi="Times New Roman" w:eastAsia="仿宋_GB2312" w:cs="Times New Roman"/>
          <w:sz w:val="24"/>
          <w:szCs w:val="24"/>
          <w:lang w:val="en-US" w:eastAsia="zh-CN"/>
        </w:rPr>
        <w:t>响应交水发〔2020〕18号文件的政策</w:t>
      </w:r>
      <w:r>
        <w:rPr>
          <w:rFonts w:hint="eastAsia" w:ascii="仿宋_GB2312" w:hAnsi="Times New Roman" w:eastAsia="仿宋_GB2312" w:cs="Times New Roman"/>
          <w:sz w:val="24"/>
          <w:szCs w:val="24"/>
          <w:lang w:val="zh-CN" w:eastAsia="zh-CN"/>
        </w:rPr>
        <w:t>要求；符合</w:t>
      </w:r>
      <w:r>
        <w:rPr>
          <w:rFonts w:hint="eastAsia" w:ascii="仿宋_GB2312" w:hAnsi="Times New Roman" w:eastAsia="仿宋_GB2312" w:cs="Times New Roman"/>
          <w:sz w:val="24"/>
          <w:szCs w:val="24"/>
          <w:lang w:val="en-US" w:eastAsia="zh-CN"/>
        </w:rPr>
        <w:t>发展地方水路运输业的发展规划，属于</w:t>
      </w:r>
      <w:r>
        <w:rPr>
          <w:rFonts w:hint="eastAsia" w:ascii="仿宋_GB2312" w:hAnsi="Times New Roman" w:eastAsia="仿宋_GB2312" w:cs="Times New Roman"/>
          <w:sz w:val="24"/>
          <w:szCs w:val="24"/>
          <w:lang w:val="zh-CN" w:eastAsia="zh-CN"/>
        </w:rPr>
        <w:t>石狮市</w:t>
      </w:r>
      <w:r>
        <w:rPr>
          <w:rFonts w:hint="eastAsia" w:ascii="仿宋_GB2312" w:hAnsi="Times New Roman" w:eastAsia="仿宋_GB2312" w:cs="Times New Roman"/>
          <w:sz w:val="24"/>
          <w:szCs w:val="24"/>
          <w:lang w:val="en-US" w:eastAsia="zh-CN"/>
        </w:rPr>
        <w:t>交通和港口发展局的</w:t>
      </w:r>
      <w:r>
        <w:rPr>
          <w:rFonts w:hint="eastAsia" w:ascii="仿宋_GB2312" w:hAnsi="Times New Roman" w:eastAsia="仿宋_GB2312" w:cs="Times New Roman"/>
          <w:sz w:val="24"/>
          <w:szCs w:val="24"/>
          <w:lang w:val="zh-CN" w:eastAsia="zh-CN"/>
        </w:rPr>
        <w:t>管理</w:t>
      </w:r>
      <w:r>
        <w:rPr>
          <w:rFonts w:hint="eastAsia" w:ascii="仿宋_GB2312" w:hAnsi="Times New Roman" w:eastAsia="仿宋_GB2312" w:cs="Times New Roman"/>
          <w:sz w:val="24"/>
          <w:szCs w:val="24"/>
          <w:lang w:val="en-US" w:eastAsia="zh-CN"/>
        </w:rPr>
        <w:t>范围</w:t>
      </w:r>
      <w:r>
        <w:rPr>
          <w:rFonts w:hint="eastAsia" w:ascii="仿宋_GB2312" w:hAnsi="Times New Roman" w:eastAsia="仿宋_GB2312" w:cs="Times New Roman"/>
          <w:sz w:val="24"/>
          <w:szCs w:val="24"/>
          <w:lang w:val="zh-CN" w:eastAsia="zh-CN"/>
        </w:rPr>
        <w:t>，属于部门履职所需，属于公共财政支持范围，符合中央、地方事权支出责任划分原则，未与相关部门同类项目或部门内部相关项目重复。该项指标可得满分</w:t>
      </w:r>
      <w:r>
        <w:rPr>
          <w:rFonts w:hint="eastAsia" w:ascii="仿宋_GB2312" w:hAnsi="Times New Roman" w:eastAsia="仿宋_GB2312" w:cs="Times New Roman"/>
          <w:sz w:val="24"/>
          <w:szCs w:val="24"/>
          <w:lang w:val="en-US" w:eastAsia="zh-CN"/>
        </w:rPr>
        <w:t>5</w:t>
      </w:r>
      <w:r>
        <w:rPr>
          <w:rFonts w:hint="eastAsia" w:ascii="仿宋_GB2312" w:hAnsi="Times New Roman" w:eastAsia="仿宋_GB2312" w:cs="Times New Roman"/>
          <w:sz w:val="24"/>
          <w:szCs w:val="24"/>
          <w:lang w:val="zh-CN" w:eastAsia="zh-CN"/>
        </w:rPr>
        <w:t>分。</w:t>
      </w:r>
    </w:p>
    <w:p w14:paraId="5437EF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（2）立项程序规范性（</w:t>
      </w:r>
      <w:r>
        <w:rPr>
          <w:rFonts w:hint="eastAsia" w:ascii="仿宋_GB2312" w:hAnsi="Times New Roman" w:eastAsia="仿宋_GB2312" w:cs="Times New Roman"/>
          <w:sz w:val="24"/>
          <w:szCs w:val="24"/>
          <w:lang w:val="en-US" w:eastAsia="zh-CN"/>
        </w:rPr>
        <w:t>分值</w:t>
      </w:r>
      <w:r>
        <w:rPr>
          <w:rFonts w:hint="eastAsia" w:ascii="仿宋_GB2312" w:hAnsi="Times New Roman" w:eastAsia="仿宋_GB2312" w:cs="Times New Roman"/>
          <w:sz w:val="24"/>
          <w:szCs w:val="24"/>
          <w:lang w:val="zh-CN" w:eastAsia="zh-CN"/>
        </w:rPr>
        <w:t>3分，得分</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lang w:val="zh-CN" w:eastAsia="zh-CN"/>
        </w:rPr>
        <w:t>分）</w:t>
      </w:r>
    </w:p>
    <w:p w14:paraId="7C7F21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石狮市</w:t>
      </w:r>
      <w:r>
        <w:rPr>
          <w:rFonts w:hint="eastAsia" w:ascii="仿宋_GB2312" w:hAnsi="Times New Roman" w:eastAsia="仿宋_GB2312" w:cs="Times New Roman"/>
          <w:sz w:val="24"/>
          <w:szCs w:val="24"/>
          <w:lang w:val="en-US" w:eastAsia="zh-CN"/>
        </w:rPr>
        <w:t>水路运输业相关补贴项目依据泉州市人民政府发布的泉政文〔2021〕15号文件进行立项</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石狮市本级未涉及立项的事前可研、论证、集体决策等环节。</w:t>
      </w:r>
      <w:r>
        <w:rPr>
          <w:rFonts w:hint="eastAsia" w:ascii="仿宋_GB2312" w:hAnsi="Times New Roman" w:eastAsia="仿宋_GB2312" w:cs="Times New Roman"/>
          <w:sz w:val="24"/>
          <w:szCs w:val="24"/>
          <w:lang w:val="zh-CN" w:eastAsia="zh-CN"/>
        </w:rPr>
        <w:t>该指标</w:t>
      </w:r>
      <w:r>
        <w:rPr>
          <w:rFonts w:hint="eastAsia" w:ascii="仿宋_GB2312" w:hAnsi="Times New Roman" w:eastAsia="仿宋_GB2312" w:cs="Times New Roman"/>
          <w:sz w:val="24"/>
          <w:szCs w:val="24"/>
          <w:lang w:val="en-US" w:eastAsia="zh-CN"/>
        </w:rPr>
        <w:t>不予扣分，得满分。</w:t>
      </w:r>
    </w:p>
    <w:p w14:paraId="369870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2.绩效目标（</w:t>
      </w:r>
      <w:r>
        <w:rPr>
          <w:rFonts w:hint="eastAsia" w:ascii="仿宋_GB2312" w:hAnsi="Times New Roman" w:eastAsia="仿宋_GB2312" w:cs="Times New Roman"/>
          <w:sz w:val="24"/>
          <w:szCs w:val="24"/>
          <w:lang w:val="en-US" w:eastAsia="zh-CN"/>
        </w:rPr>
        <w:t>分值</w:t>
      </w:r>
      <w:r>
        <w:rPr>
          <w:rFonts w:hint="eastAsia" w:ascii="仿宋_GB2312" w:hAnsi="Times New Roman" w:eastAsia="仿宋_GB2312" w:cs="Times New Roman"/>
          <w:sz w:val="24"/>
          <w:szCs w:val="24"/>
          <w:lang w:val="zh-CN" w:eastAsia="zh-CN"/>
        </w:rPr>
        <w:t>6分，得分</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lang w:val="zh-CN" w:eastAsia="zh-CN"/>
        </w:rPr>
        <w:t>分）</w:t>
      </w:r>
    </w:p>
    <w:p w14:paraId="2DDB99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（1）绩效目标合理性（</w:t>
      </w:r>
      <w:r>
        <w:rPr>
          <w:rFonts w:hint="eastAsia" w:ascii="仿宋_GB2312" w:hAnsi="Times New Roman" w:eastAsia="仿宋_GB2312" w:cs="Times New Roman"/>
          <w:sz w:val="24"/>
          <w:szCs w:val="24"/>
          <w:lang w:val="en-US" w:eastAsia="zh-CN"/>
        </w:rPr>
        <w:t>分值</w:t>
      </w:r>
      <w:r>
        <w:rPr>
          <w:rFonts w:hint="eastAsia" w:ascii="仿宋_GB2312" w:hAnsi="Times New Roman" w:eastAsia="仿宋_GB2312" w:cs="Times New Roman"/>
          <w:sz w:val="24"/>
          <w:szCs w:val="24"/>
          <w:lang w:val="zh-CN" w:eastAsia="zh-CN"/>
        </w:rPr>
        <w:t>3分，得分</w:t>
      </w:r>
      <w:r>
        <w:rPr>
          <w:rFonts w:hint="eastAsia" w:ascii="仿宋_GB2312" w:hAnsi="Times New Roman" w:eastAsia="仿宋_GB2312" w:cs="Times New Roman"/>
          <w:sz w:val="24"/>
          <w:szCs w:val="24"/>
          <w:lang w:val="en-US" w:eastAsia="zh-CN"/>
        </w:rPr>
        <w:t>1</w:t>
      </w:r>
      <w:r>
        <w:rPr>
          <w:rFonts w:hint="eastAsia" w:ascii="仿宋_GB2312" w:hAnsi="Times New Roman" w:eastAsia="仿宋_GB2312" w:cs="Times New Roman"/>
          <w:sz w:val="24"/>
          <w:szCs w:val="24"/>
          <w:lang w:val="zh-CN" w:eastAsia="zh-CN"/>
        </w:rPr>
        <w:t>分）</w:t>
      </w:r>
    </w:p>
    <w:p w14:paraId="0FB59F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“绩效目标合理性”评价项目绩效目标的设置情况。</w:t>
      </w:r>
      <w:r>
        <w:rPr>
          <w:rFonts w:hint="eastAsia" w:ascii="仿宋_GB2312" w:hAnsi="Times New Roman" w:eastAsia="仿宋_GB2312" w:cs="Times New Roman"/>
          <w:sz w:val="24"/>
          <w:szCs w:val="24"/>
          <w:lang w:val="en-US" w:eastAsia="zh-CN"/>
        </w:rPr>
        <w:t>因为2024年补贴资金为补充2023年度未兑现的部分，</w:t>
      </w:r>
      <w:r>
        <w:rPr>
          <w:rFonts w:hint="eastAsia" w:ascii="仿宋_GB2312" w:hAnsi="Times New Roman" w:eastAsia="仿宋_GB2312" w:cs="Times New Roman"/>
          <w:sz w:val="24"/>
          <w:szCs w:val="24"/>
          <w:lang w:val="zh-CN" w:eastAsia="zh-CN"/>
        </w:rPr>
        <w:t>根据石狮市</w:t>
      </w:r>
      <w:r>
        <w:rPr>
          <w:rFonts w:hint="eastAsia" w:ascii="仿宋_GB2312" w:hAnsi="Times New Roman" w:eastAsia="仿宋_GB2312" w:cs="Times New Roman"/>
          <w:sz w:val="24"/>
          <w:szCs w:val="24"/>
          <w:lang w:val="en-US" w:eastAsia="zh-CN"/>
        </w:rPr>
        <w:t>交通和港口发展局</w:t>
      </w:r>
      <w:r>
        <w:rPr>
          <w:rFonts w:hint="eastAsia" w:ascii="仿宋_GB2312" w:hAnsi="Times New Roman" w:eastAsia="仿宋_GB2312" w:cs="Times New Roman"/>
          <w:sz w:val="24"/>
          <w:szCs w:val="24"/>
          <w:lang w:val="zh-CN" w:eastAsia="zh-CN"/>
        </w:rPr>
        <w:t>提供的2023年度水路运输企业新增船舶运力规模补助及贷款贴息奖励资金绩效目标表（如表</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lang w:val="zh-CN" w:eastAsia="zh-CN"/>
        </w:rPr>
        <w:t>所示），共设置了7个三级指标，</w:t>
      </w:r>
      <w:r>
        <w:rPr>
          <w:rFonts w:hint="eastAsia" w:ascii="仿宋_GB2312" w:hAnsi="Times New Roman" w:eastAsia="仿宋_GB2312" w:cs="Times New Roman"/>
          <w:sz w:val="24"/>
          <w:szCs w:val="24"/>
          <w:lang w:val="en-US" w:eastAsia="zh-CN"/>
        </w:rPr>
        <w:t>绩效目标设置与当年度工作内容具有一定的相关性，但指标目标仍拘泥于简单的数量目标，未达到实现水路运输业的高质量发展的长远目标</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此外还存在个别指标与目标值不匹配，“成本指标”为“购置船舶费用”，而设定的目标值为项目预算的“7100万”。</w:t>
      </w:r>
      <w:r>
        <w:rPr>
          <w:rFonts w:hint="eastAsia" w:ascii="仿宋_GB2312" w:hAnsi="Times New Roman" w:eastAsia="仿宋_GB2312" w:cs="Times New Roman"/>
          <w:sz w:val="24"/>
          <w:szCs w:val="24"/>
          <w:lang w:val="zh-CN" w:eastAsia="zh-CN"/>
        </w:rPr>
        <w:t>综上所述，“绩效目标合理性”指标扣</w:t>
      </w:r>
      <w:r>
        <w:rPr>
          <w:rFonts w:hint="eastAsia" w:ascii="仿宋_GB2312" w:hAnsi="Times New Roman" w:eastAsia="仿宋_GB2312" w:cs="Times New Roman"/>
          <w:sz w:val="24"/>
          <w:szCs w:val="24"/>
          <w:lang w:val="en-US" w:eastAsia="zh-CN"/>
        </w:rPr>
        <w:t>2</w:t>
      </w:r>
      <w:r>
        <w:rPr>
          <w:rFonts w:hint="eastAsia" w:ascii="仿宋_GB2312" w:hAnsi="Times New Roman" w:eastAsia="仿宋_GB2312" w:cs="Times New Roman"/>
          <w:sz w:val="24"/>
          <w:szCs w:val="24"/>
          <w:lang w:val="zh-CN" w:eastAsia="zh-CN"/>
        </w:rPr>
        <w:t>分。</w:t>
      </w:r>
    </w:p>
    <w:p w14:paraId="7EEE6030">
      <w:pPr>
        <w:pStyle w:val="8"/>
        <w:jc w:val="center"/>
        <w:rPr>
          <w:rFonts w:cs="宋体"/>
          <w:szCs w:val="24"/>
        </w:rPr>
      </w:pPr>
      <w:r>
        <w:rPr>
          <w:rFonts w:hint="eastAsia" w:ascii="仿宋_GB2312" w:hAnsi="Times New Roman" w:eastAsia="仿宋_GB2312" w:cs="Times New Roman"/>
          <w:b/>
          <w:bCs/>
          <w:kern w:val="2"/>
          <w:sz w:val="24"/>
          <w:szCs w:val="24"/>
          <w:lang w:val="zh-CN" w:eastAsia="zh-CN" w:bidi="ar-SA"/>
        </w:rPr>
        <w:t>表</w:t>
      </w:r>
      <w:r>
        <w:rPr>
          <w:rFonts w:hint="eastAsia" w:ascii="仿宋_GB2312" w:hAnsi="Times New Roman" w:eastAsia="仿宋_GB2312" w:cs="Times New Roman"/>
          <w:b/>
          <w:bCs/>
          <w:kern w:val="2"/>
          <w:sz w:val="24"/>
          <w:szCs w:val="24"/>
          <w:lang w:val="en-US" w:eastAsia="zh-CN" w:bidi="ar-SA"/>
        </w:rPr>
        <w:t xml:space="preserve">3  </w:t>
      </w:r>
      <w:r>
        <w:rPr>
          <w:rFonts w:hint="eastAsia" w:ascii="仿宋_GB2312" w:hAnsi="Times New Roman" w:eastAsia="仿宋_GB2312" w:cs="Times New Roman"/>
          <w:b/>
          <w:bCs/>
          <w:kern w:val="2"/>
          <w:sz w:val="24"/>
          <w:szCs w:val="24"/>
          <w:lang w:val="zh-CN" w:eastAsia="zh-CN" w:bidi="ar-SA"/>
        </w:rPr>
        <w:t>202</w:t>
      </w:r>
      <w:r>
        <w:rPr>
          <w:rFonts w:hint="eastAsia" w:ascii="仿宋_GB2312" w:hAnsi="Times New Roman" w:eastAsia="仿宋_GB2312" w:cs="Times New Roman"/>
          <w:b/>
          <w:bCs/>
          <w:kern w:val="2"/>
          <w:sz w:val="24"/>
          <w:szCs w:val="24"/>
          <w:lang w:val="en-US" w:eastAsia="zh-CN" w:bidi="ar-SA"/>
        </w:rPr>
        <w:t>3</w:t>
      </w:r>
      <w:r>
        <w:rPr>
          <w:rFonts w:hint="eastAsia" w:ascii="仿宋_GB2312" w:hAnsi="Times New Roman" w:eastAsia="仿宋_GB2312" w:cs="Times New Roman"/>
          <w:b/>
          <w:bCs/>
          <w:kern w:val="2"/>
          <w:sz w:val="24"/>
          <w:szCs w:val="24"/>
          <w:lang w:val="zh-CN" w:eastAsia="zh-CN" w:bidi="ar-SA"/>
        </w:rPr>
        <w:t>年度石狮市水路运输企业新增船舶运力规模补助及贷款贴息奖励资金绩效目标</w:t>
      </w:r>
      <w:r>
        <w:rPr>
          <w:rFonts w:hint="eastAsia" w:ascii="仿宋_GB2312" w:hAnsi="Times New Roman" w:eastAsia="仿宋_GB2312" w:cs="Times New Roman"/>
          <w:b/>
          <w:bCs/>
          <w:kern w:val="2"/>
          <w:sz w:val="24"/>
          <w:szCs w:val="24"/>
          <w:lang w:val="en-US" w:eastAsia="zh-CN" w:bidi="ar-SA"/>
        </w:rPr>
        <w:t>申报</w:t>
      </w:r>
      <w:r>
        <w:rPr>
          <w:rFonts w:hint="eastAsia" w:ascii="仿宋_GB2312" w:hAnsi="Times New Roman" w:eastAsia="仿宋_GB2312" w:cs="Times New Roman"/>
          <w:b/>
          <w:bCs/>
          <w:kern w:val="2"/>
          <w:sz w:val="24"/>
          <w:szCs w:val="24"/>
          <w:lang w:val="zh-CN" w:eastAsia="zh-CN" w:bidi="ar-SA"/>
        </w:rPr>
        <w:t>表</w:t>
      </w:r>
    </w:p>
    <w:tbl>
      <w:tblPr>
        <w:tblStyle w:val="15"/>
        <w:tblW w:w="8820"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350"/>
        <w:gridCol w:w="1812"/>
        <w:gridCol w:w="1140"/>
        <w:gridCol w:w="3696"/>
      </w:tblGrid>
      <w:tr w14:paraId="224A6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trPr>
        <w:tc>
          <w:tcPr>
            <w:tcW w:w="822" w:type="dxa"/>
            <w:tcBorders>
              <w:tl2br w:val="nil"/>
              <w:tr2bl w:val="nil"/>
            </w:tcBorders>
            <w:shd w:val="clear" w:color="auto" w:fill="auto"/>
            <w:vAlign w:val="center"/>
          </w:tcPr>
          <w:p w14:paraId="0A5B4FC8">
            <w:pPr>
              <w:pStyle w:val="6"/>
              <w:numPr>
                <w:ilvl w:val="0"/>
                <w:numId w:val="0"/>
              </w:numPr>
              <w:tabs>
                <w:tab w:val="clear" w:pos="2040"/>
              </w:tabs>
              <w:jc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zh-CN" w:eastAsia="zh-CN" w:bidi="ar-SA"/>
              </w:rPr>
              <w:t>一级指标</w:t>
            </w:r>
          </w:p>
        </w:tc>
        <w:tc>
          <w:tcPr>
            <w:tcW w:w="1350" w:type="dxa"/>
            <w:tcBorders>
              <w:tl2br w:val="nil"/>
              <w:tr2bl w:val="nil"/>
            </w:tcBorders>
            <w:shd w:val="clear" w:color="auto" w:fill="auto"/>
            <w:vAlign w:val="center"/>
          </w:tcPr>
          <w:p w14:paraId="0BC8DC71">
            <w:pPr>
              <w:pStyle w:val="6"/>
              <w:numPr>
                <w:ilvl w:val="0"/>
                <w:numId w:val="0"/>
              </w:numPr>
              <w:tabs>
                <w:tab w:val="clear" w:pos="2040"/>
              </w:tabs>
              <w:jc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zh-CN" w:eastAsia="zh-CN" w:bidi="ar-SA"/>
              </w:rPr>
              <w:t>二级指标</w:t>
            </w:r>
          </w:p>
        </w:tc>
        <w:tc>
          <w:tcPr>
            <w:tcW w:w="1812" w:type="dxa"/>
            <w:tcBorders>
              <w:tl2br w:val="nil"/>
              <w:tr2bl w:val="nil"/>
            </w:tcBorders>
            <w:shd w:val="clear" w:color="auto" w:fill="auto"/>
            <w:vAlign w:val="center"/>
          </w:tcPr>
          <w:p w14:paraId="3975423A">
            <w:pPr>
              <w:pStyle w:val="6"/>
              <w:numPr>
                <w:ilvl w:val="0"/>
                <w:numId w:val="0"/>
              </w:numPr>
              <w:tabs>
                <w:tab w:val="clear" w:pos="2040"/>
              </w:tabs>
              <w:jc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zh-CN" w:eastAsia="zh-CN" w:bidi="ar-SA"/>
              </w:rPr>
              <w:t>三级指标</w:t>
            </w:r>
          </w:p>
        </w:tc>
        <w:tc>
          <w:tcPr>
            <w:tcW w:w="1140" w:type="dxa"/>
            <w:tcBorders>
              <w:tl2br w:val="nil"/>
              <w:tr2bl w:val="nil"/>
            </w:tcBorders>
            <w:shd w:val="clear" w:color="auto" w:fill="auto"/>
            <w:vAlign w:val="center"/>
          </w:tcPr>
          <w:p w14:paraId="42AA38F4">
            <w:pPr>
              <w:pStyle w:val="6"/>
              <w:numPr>
                <w:ilvl w:val="0"/>
                <w:numId w:val="0"/>
              </w:numPr>
              <w:tabs>
                <w:tab w:val="clear" w:pos="2040"/>
              </w:tabs>
              <w:jc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zh-CN" w:eastAsia="zh-CN" w:bidi="ar-SA"/>
              </w:rPr>
              <w:t>目标值</w:t>
            </w:r>
          </w:p>
        </w:tc>
        <w:tc>
          <w:tcPr>
            <w:tcW w:w="3696" w:type="dxa"/>
            <w:tcBorders>
              <w:tl2br w:val="nil"/>
              <w:tr2bl w:val="nil"/>
            </w:tcBorders>
            <w:shd w:val="clear" w:color="auto" w:fill="auto"/>
            <w:noWrap/>
            <w:vAlign w:val="center"/>
          </w:tcPr>
          <w:p w14:paraId="4DD31C38">
            <w:pPr>
              <w:pStyle w:val="6"/>
              <w:numPr>
                <w:ilvl w:val="0"/>
                <w:numId w:val="0"/>
              </w:numPr>
              <w:tabs>
                <w:tab w:val="clear" w:pos="2040"/>
              </w:tabs>
              <w:jc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评分标准</w:t>
            </w:r>
          </w:p>
        </w:tc>
      </w:tr>
      <w:tr w14:paraId="65691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22" w:type="dxa"/>
            <w:vMerge w:val="restart"/>
            <w:tcBorders>
              <w:tl2br w:val="nil"/>
              <w:tr2bl w:val="nil"/>
            </w:tcBorders>
            <w:shd w:val="clear" w:color="auto" w:fill="auto"/>
            <w:noWrap/>
            <w:vAlign w:val="center"/>
          </w:tcPr>
          <w:p w14:paraId="4D9B550F">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zh-CN" w:eastAsia="zh-CN" w:bidi="ar-SA"/>
              </w:rPr>
              <w:t>产出指标</w:t>
            </w:r>
          </w:p>
        </w:tc>
        <w:tc>
          <w:tcPr>
            <w:tcW w:w="1350" w:type="dxa"/>
            <w:tcBorders>
              <w:tl2br w:val="nil"/>
              <w:tr2bl w:val="nil"/>
            </w:tcBorders>
            <w:shd w:val="clear" w:color="auto" w:fill="auto"/>
            <w:noWrap/>
            <w:vAlign w:val="center"/>
          </w:tcPr>
          <w:p w14:paraId="1F5F6FDB">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时效指标</w:t>
            </w:r>
          </w:p>
        </w:tc>
        <w:tc>
          <w:tcPr>
            <w:tcW w:w="1812" w:type="dxa"/>
            <w:tcBorders>
              <w:tl2br w:val="nil"/>
              <w:tr2bl w:val="nil"/>
            </w:tcBorders>
            <w:shd w:val="clear" w:color="auto" w:fill="auto"/>
            <w:noWrap/>
            <w:vAlign w:val="center"/>
          </w:tcPr>
          <w:p w14:paraId="2DCD813C">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项目按期完成率</w:t>
            </w:r>
          </w:p>
        </w:tc>
        <w:tc>
          <w:tcPr>
            <w:tcW w:w="1140" w:type="dxa"/>
            <w:tcBorders>
              <w:tl2br w:val="nil"/>
              <w:tr2bl w:val="nil"/>
            </w:tcBorders>
            <w:shd w:val="clear" w:color="auto" w:fill="auto"/>
            <w:vAlign w:val="center"/>
          </w:tcPr>
          <w:p w14:paraId="19935B67">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100%</w:t>
            </w:r>
          </w:p>
        </w:tc>
        <w:tc>
          <w:tcPr>
            <w:tcW w:w="3696" w:type="dxa"/>
            <w:tcBorders>
              <w:tl2br w:val="nil"/>
              <w:tr2bl w:val="nil"/>
            </w:tcBorders>
            <w:shd w:val="clear" w:color="auto" w:fill="auto"/>
            <w:noWrap/>
            <w:vAlign w:val="center"/>
          </w:tcPr>
          <w:p w14:paraId="7143683A">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i w:val="0"/>
                <w:iCs w:val="0"/>
                <w:color w:val="000000"/>
                <w:kern w:val="0"/>
                <w:sz w:val="21"/>
                <w:szCs w:val="21"/>
                <w:u w:val="none"/>
                <w:lang w:val="en-US" w:eastAsia="zh-CN" w:bidi="ar"/>
              </w:rPr>
              <w:t>按期完成当年目标得满分，否则不得分</w:t>
            </w:r>
          </w:p>
        </w:tc>
      </w:tr>
      <w:tr w14:paraId="18E4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22" w:type="dxa"/>
            <w:vMerge w:val="continue"/>
            <w:tcBorders>
              <w:tl2br w:val="nil"/>
              <w:tr2bl w:val="nil"/>
            </w:tcBorders>
            <w:shd w:val="clear" w:color="auto" w:fill="auto"/>
            <w:noWrap/>
            <w:vAlign w:val="center"/>
          </w:tcPr>
          <w:p w14:paraId="6A6841EF">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p>
        </w:tc>
        <w:tc>
          <w:tcPr>
            <w:tcW w:w="1350" w:type="dxa"/>
            <w:tcBorders>
              <w:tl2br w:val="nil"/>
              <w:tr2bl w:val="nil"/>
            </w:tcBorders>
            <w:shd w:val="clear" w:color="auto" w:fill="auto"/>
            <w:noWrap/>
            <w:vAlign w:val="center"/>
          </w:tcPr>
          <w:p w14:paraId="59FCED6D">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成本指标</w:t>
            </w:r>
          </w:p>
        </w:tc>
        <w:tc>
          <w:tcPr>
            <w:tcW w:w="1812" w:type="dxa"/>
            <w:tcBorders>
              <w:tl2br w:val="nil"/>
              <w:tr2bl w:val="nil"/>
            </w:tcBorders>
            <w:shd w:val="clear" w:color="auto" w:fill="auto"/>
            <w:noWrap/>
            <w:vAlign w:val="center"/>
          </w:tcPr>
          <w:p w14:paraId="673F0961">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购置船舶费用</w:t>
            </w:r>
          </w:p>
        </w:tc>
        <w:tc>
          <w:tcPr>
            <w:tcW w:w="1140" w:type="dxa"/>
            <w:tcBorders>
              <w:tl2br w:val="nil"/>
              <w:tr2bl w:val="nil"/>
            </w:tcBorders>
            <w:shd w:val="clear" w:color="auto" w:fill="auto"/>
            <w:vAlign w:val="center"/>
          </w:tcPr>
          <w:p w14:paraId="682FE26F">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7100万</w:t>
            </w:r>
          </w:p>
        </w:tc>
        <w:tc>
          <w:tcPr>
            <w:tcW w:w="3696" w:type="dxa"/>
            <w:tcBorders>
              <w:tl2br w:val="nil"/>
              <w:tr2bl w:val="nil"/>
            </w:tcBorders>
            <w:shd w:val="clear" w:color="auto" w:fill="auto"/>
            <w:noWrap/>
            <w:vAlign w:val="center"/>
          </w:tcPr>
          <w:p w14:paraId="7ED34E25">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i w:val="0"/>
                <w:iCs w:val="0"/>
                <w:color w:val="000000"/>
                <w:kern w:val="0"/>
                <w:sz w:val="21"/>
                <w:szCs w:val="21"/>
                <w:u w:val="none"/>
                <w:lang w:val="en-US" w:eastAsia="zh-CN" w:bidi="ar"/>
              </w:rPr>
              <w:t>合理支出得满分，不合理不得分</w:t>
            </w:r>
          </w:p>
        </w:tc>
      </w:tr>
      <w:tr w14:paraId="1554E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22" w:type="dxa"/>
            <w:vMerge w:val="continue"/>
            <w:tcBorders>
              <w:tl2br w:val="nil"/>
              <w:tr2bl w:val="nil"/>
            </w:tcBorders>
            <w:vAlign w:val="center"/>
          </w:tcPr>
          <w:p w14:paraId="11A35F97">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p>
        </w:tc>
        <w:tc>
          <w:tcPr>
            <w:tcW w:w="1350" w:type="dxa"/>
            <w:tcBorders>
              <w:tl2br w:val="nil"/>
              <w:tr2bl w:val="nil"/>
            </w:tcBorders>
            <w:shd w:val="clear" w:color="auto" w:fill="auto"/>
            <w:noWrap/>
            <w:vAlign w:val="center"/>
          </w:tcPr>
          <w:p w14:paraId="2A58ACAB">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质量指标</w:t>
            </w:r>
          </w:p>
        </w:tc>
        <w:tc>
          <w:tcPr>
            <w:tcW w:w="1812" w:type="dxa"/>
            <w:tcBorders>
              <w:tl2br w:val="nil"/>
              <w:tr2bl w:val="nil"/>
            </w:tcBorders>
            <w:shd w:val="clear" w:color="auto" w:fill="auto"/>
            <w:noWrap/>
            <w:vAlign w:val="center"/>
          </w:tcPr>
          <w:p w14:paraId="6B981505">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资金使用合规性</w:t>
            </w:r>
          </w:p>
        </w:tc>
        <w:tc>
          <w:tcPr>
            <w:tcW w:w="1140" w:type="dxa"/>
            <w:tcBorders>
              <w:tl2br w:val="nil"/>
              <w:tr2bl w:val="nil"/>
            </w:tcBorders>
            <w:shd w:val="clear" w:color="auto" w:fill="auto"/>
            <w:vAlign w:val="center"/>
          </w:tcPr>
          <w:p w14:paraId="5C672871">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100%</w:t>
            </w:r>
          </w:p>
        </w:tc>
        <w:tc>
          <w:tcPr>
            <w:tcW w:w="3696" w:type="dxa"/>
            <w:tcBorders>
              <w:tl2br w:val="nil"/>
              <w:tr2bl w:val="nil"/>
            </w:tcBorders>
            <w:shd w:val="clear" w:color="auto" w:fill="auto"/>
            <w:noWrap/>
            <w:vAlign w:val="center"/>
          </w:tcPr>
          <w:p w14:paraId="26F05E38">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i w:val="0"/>
                <w:iCs w:val="0"/>
                <w:color w:val="000000"/>
                <w:kern w:val="0"/>
                <w:sz w:val="21"/>
                <w:szCs w:val="21"/>
                <w:u w:val="none"/>
                <w:lang w:val="en-US" w:eastAsia="zh-CN" w:bidi="ar"/>
              </w:rPr>
              <w:t>合规率为100%，得满分，否则不得分</w:t>
            </w:r>
          </w:p>
        </w:tc>
      </w:tr>
      <w:tr w14:paraId="71A4A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22" w:type="dxa"/>
            <w:vMerge w:val="continue"/>
            <w:tcBorders>
              <w:tl2br w:val="nil"/>
              <w:tr2bl w:val="nil"/>
            </w:tcBorders>
            <w:shd w:val="clear" w:color="auto" w:fill="auto"/>
            <w:noWrap/>
            <w:vAlign w:val="center"/>
          </w:tcPr>
          <w:p w14:paraId="272279F2">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p>
        </w:tc>
        <w:tc>
          <w:tcPr>
            <w:tcW w:w="1350" w:type="dxa"/>
            <w:tcBorders>
              <w:tl2br w:val="nil"/>
              <w:tr2bl w:val="nil"/>
            </w:tcBorders>
            <w:shd w:val="clear" w:color="auto" w:fill="auto"/>
            <w:noWrap/>
            <w:vAlign w:val="center"/>
          </w:tcPr>
          <w:p w14:paraId="69F2F52C">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数量指标</w:t>
            </w:r>
          </w:p>
        </w:tc>
        <w:tc>
          <w:tcPr>
            <w:tcW w:w="1812" w:type="dxa"/>
            <w:tcBorders>
              <w:tl2br w:val="nil"/>
              <w:tr2bl w:val="nil"/>
            </w:tcBorders>
            <w:shd w:val="clear" w:color="auto" w:fill="auto"/>
            <w:noWrap/>
            <w:vAlign w:val="center"/>
          </w:tcPr>
          <w:p w14:paraId="72290E54">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新增船舶16艘</w:t>
            </w:r>
          </w:p>
        </w:tc>
        <w:tc>
          <w:tcPr>
            <w:tcW w:w="1140" w:type="dxa"/>
            <w:tcBorders>
              <w:tl2br w:val="nil"/>
              <w:tr2bl w:val="nil"/>
            </w:tcBorders>
            <w:shd w:val="clear" w:color="auto" w:fill="auto"/>
            <w:vAlign w:val="center"/>
          </w:tcPr>
          <w:p w14:paraId="323A1AA1">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18艘</w:t>
            </w:r>
          </w:p>
        </w:tc>
        <w:tc>
          <w:tcPr>
            <w:tcW w:w="3696" w:type="dxa"/>
            <w:tcBorders>
              <w:tl2br w:val="nil"/>
              <w:tr2bl w:val="nil"/>
            </w:tcBorders>
            <w:shd w:val="clear" w:color="auto" w:fill="auto"/>
            <w:noWrap/>
            <w:vAlign w:val="center"/>
          </w:tcPr>
          <w:p w14:paraId="30331205">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i w:val="0"/>
                <w:iCs w:val="0"/>
                <w:color w:val="000000"/>
                <w:kern w:val="0"/>
                <w:sz w:val="21"/>
                <w:szCs w:val="21"/>
                <w:u w:val="none"/>
                <w:lang w:val="en-US" w:eastAsia="zh-CN" w:bidi="ar"/>
              </w:rPr>
              <w:t>完成目标得满分，少1艘扣1分</w:t>
            </w:r>
          </w:p>
        </w:tc>
      </w:tr>
      <w:tr w14:paraId="43925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22" w:type="dxa"/>
            <w:vMerge w:val="restart"/>
            <w:tcBorders>
              <w:tl2br w:val="nil"/>
              <w:tr2bl w:val="nil"/>
            </w:tcBorders>
            <w:shd w:val="clear" w:color="auto" w:fill="auto"/>
            <w:noWrap/>
            <w:vAlign w:val="center"/>
          </w:tcPr>
          <w:p w14:paraId="37CDB5AC">
            <w:pPr>
              <w:pStyle w:val="6"/>
              <w:keepNext w:val="0"/>
              <w:keepLines w:val="0"/>
              <w:pageBreakBefore w:val="0"/>
              <w:widowControl w:val="0"/>
              <w:numPr>
                <w:ilvl w:val="0"/>
                <w:numId w:val="0"/>
              </w:numPr>
              <w:tabs>
                <w:tab w:val="clear" w:pos="2040"/>
              </w:tabs>
              <w:kinsoku/>
              <w:wordWrap/>
              <w:overflowPunct/>
              <w:topLinePunct w:val="0"/>
              <w:autoSpaceDE/>
              <w:autoSpaceDN/>
              <w:bidi w:val="0"/>
              <w:adjustRightInd/>
              <w:snapToGrid/>
              <w:jc w:val="center"/>
              <w:textAlignment w:val="auto"/>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效益指标</w:t>
            </w:r>
          </w:p>
        </w:tc>
        <w:tc>
          <w:tcPr>
            <w:tcW w:w="1350" w:type="dxa"/>
            <w:tcBorders>
              <w:tl2br w:val="nil"/>
              <w:tr2bl w:val="nil"/>
            </w:tcBorders>
            <w:shd w:val="clear" w:color="auto" w:fill="auto"/>
            <w:noWrap/>
            <w:vAlign w:val="center"/>
          </w:tcPr>
          <w:p w14:paraId="670BD365">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经济效益指标</w:t>
            </w:r>
          </w:p>
        </w:tc>
        <w:tc>
          <w:tcPr>
            <w:tcW w:w="1812" w:type="dxa"/>
            <w:tcBorders>
              <w:tl2br w:val="nil"/>
              <w:tr2bl w:val="nil"/>
            </w:tcBorders>
            <w:shd w:val="clear" w:color="auto" w:fill="auto"/>
            <w:noWrap/>
            <w:vAlign w:val="center"/>
          </w:tcPr>
          <w:p w14:paraId="7C3B9F2D">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税收1000万元</w:t>
            </w:r>
          </w:p>
        </w:tc>
        <w:tc>
          <w:tcPr>
            <w:tcW w:w="1140" w:type="dxa"/>
            <w:tcBorders>
              <w:tl2br w:val="nil"/>
              <w:tr2bl w:val="nil"/>
            </w:tcBorders>
            <w:shd w:val="clear" w:color="auto" w:fill="auto"/>
            <w:vAlign w:val="center"/>
          </w:tcPr>
          <w:p w14:paraId="69C0106D">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1000万</w:t>
            </w:r>
          </w:p>
        </w:tc>
        <w:tc>
          <w:tcPr>
            <w:tcW w:w="3696" w:type="dxa"/>
            <w:tcBorders>
              <w:tl2br w:val="nil"/>
              <w:tr2bl w:val="nil"/>
            </w:tcBorders>
            <w:shd w:val="clear" w:color="auto" w:fill="auto"/>
            <w:noWrap/>
            <w:vAlign w:val="center"/>
          </w:tcPr>
          <w:p w14:paraId="72439306">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i w:val="0"/>
                <w:iCs w:val="0"/>
                <w:color w:val="000000"/>
                <w:kern w:val="0"/>
                <w:sz w:val="21"/>
                <w:szCs w:val="21"/>
                <w:u w:val="none"/>
                <w:lang w:val="en-US" w:eastAsia="zh-CN" w:bidi="ar"/>
              </w:rPr>
              <w:t>增加税收1000万得满分，少5%扣1分</w:t>
            </w:r>
          </w:p>
        </w:tc>
      </w:tr>
      <w:tr w14:paraId="664F7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22" w:type="dxa"/>
            <w:vMerge w:val="continue"/>
            <w:tcBorders>
              <w:tl2br w:val="nil"/>
              <w:tr2bl w:val="nil"/>
            </w:tcBorders>
            <w:vAlign w:val="center"/>
          </w:tcPr>
          <w:p w14:paraId="6B0E1747">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p>
        </w:tc>
        <w:tc>
          <w:tcPr>
            <w:tcW w:w="1350" w:type="dxa"/>
            <w:tcBorders>
              <w:tl2br w:val="nil"/>
              <w:tr2bl w:val="nil"/>
            </w:tcBorders>
            <w:shd w:val="clear" w:color="auto" w:fill="auto"/>
            <w:noWrap/>
            <w:vAlign w:val="center"/>
          </w:tcPr>
          <w:p w14:paraId="3988F0E4">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社会效益指标</w:t>
            </w:r>
          </w:p>
        </w:tc>
        <w:tc>
          <w:tcPr>
            <w:tcW w:w="1812" w:type="dxa"/>
            <w:tcBorders>
              <w:tl2br w:val="nil"/>
              <w:tr2bl w:val="nil"/>
            </w:tcBorders>
            <w:shd w:val="clear" w:color="auto" w:fill="auto"/>
            <w:noWrap/>
            <w:vAlign w:val="center"/>
          </w:tcPr>
          <w:p w14:paraId="7D32FFF9">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增加就业200人</w:t>
            </w:r>
          </w:p>
        </w:tc>
        <w:tc>
          <w:tcPr>
            <w:tcW w:w="1140" w:type="dxa"/>
            <w:tcBorders>
              <w:tl2br w:val="nil"/>
              <w:tr2bl w:val="nil"/>
            </w:tcBorders>
            <w:shd w:val="clear" w:color="auto" w:fill="auto"/>
            <w:vAlign w:val="center"/>
          </w:tcPr>
          <w:p w14:paraId="329E96AB">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200人</w:t>
            </w:r>
          </w:p>
        </w:tc>
        <w:tc>
          <w:tcPr>
            <w:tcW w:w="3696" w:type="dxa"/>
            <w:tcBorders>
              <w:tl2br w:val="nil"/>
              <w:tr2bl w:val="nil"/>
            </w:tcBorders>
            <w:shd w:val="clear" w:color="auto" w:fill="auto"/>
            <w:noWrap/>
            <w:vAlign w:val="center"/>
          </w:tcPr>
          <w:p w14:paraId="5288A0D1">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i w:val="0"/>
                <w:iCs w:val="0"/>
                <w:color w:val="000000"/>
                <w:kern w:val="0"/>
                <w:sz w:val="21"/>
                <w:szCs w:val="21"/>
                <w:u w:val="none"/>
                <w:lang w:val="en-US" w:eastAsia="zh-CN" w:bidi="ar"/>
              </w:rPr>
              <w:t>增加就业200人得满分，少5%扣1分</w:t>
            </w:r>
          </w:p>
        </w:tc>
      </w:tr>
      <w:tr w14:paraId="75A4E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22" w:type="dxa"/>
            <w:tcBorders>
              <w:tl2br w:val="nil"/>
              <w:tr2bl w:val="nil"/>
            </w:tcBorders>
            <w:vAlign w:val="center"/>
          </w:tcPr>
          <w:p w14:paraId="34A3BD15">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满意度指标</w:t>
            </w:r>
          </w:p>
        </w:tc>
        <w:tc>
          <w:tcPr>
            <w:tcW w:w="1350" w:type="dxa"/>
            <w:tcBorders>
              <w:tl2br w:val="nil"/>
              <w:tr2bl w:val="nil"/>
            </w:tcBorders>
            <w:shd w:val="clear" w:color="auto" w:fill="auto"/>
            <w:noWrap/>
            <w:vAlign w:val="center"/>
          </w:tcPr>
          <w:p w14:paraId="6E56171A">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服务对象满意度指标</w:t>
            </w:r>
          </w:p>
        </w:tc>
        <w:tc>
          <w:tcPr>
            <w:tcW w:w="1812" w:type="dxa"/>
            <w:tcBorders>
              <w:tl2br w:val="nil"/>
              <w:tr2bl w:val="nil"/>
            </w:tcBorders>
            <w:shd w:val="clear" w:color="auto" w:fill="auto"/>
            <w:noWrap/>
            <w:vAlign w:val="center"/>
          </w:tcPr>
          <w:p w14:paraId="56BEE494">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大于等于90%</w:t>
            </w:r>
          </w:p>
        </w:tc>
        <w:tc>
          <w:tcPr>
            <w:tcW w:w="1140" w:type="dxa"/>
            <w:tcBorders>
              <w:tl2br w:val="nil"/>
              <w:tr2bl w:val="nil"/>
            </w:tcBorders>
            <w:shd w:val="clear" w:color="auto" w:fill="auto"/>
            <w:vAlign w:val="center"/>
          </w:tcPr>
          <w:p w14:paraId="45A6E3CA">
            <w:pPr>
              <w:pStyle w:val="6"/>
              <w:keepNext w:val="0"/>
              <w:keepLines w:val="0"/>
              <w:pageBreakBefore w:val="0"/>
              <w:numPr>
                <w:ilvl w:val="0"/>
                <w:numId w:val="0"/>
              </w:numPr>
              <w:tabs>
                <w:tab w:val="clear" w:pos="2040"/>
              </w:tabs>
              <w:kinsoku/>
              <w:wordWrap/>
              <w:overflowPunct/>
              <w:topLinePunct w:val="0"/>
              <w:autoSpaceDE/>
              <w:autoSpaceDN/>
              <w:bidi w:val="0"/>
              <w:adjustRightInd/>
              <w:snapToGrid/>
              <w:jc w:val="center"/>
              <w:rPr>
                <w:rFonts w:hint="eastAsia" w:ascii="仿宋" w:hAnsi="仿宋" w:eastAsia="仿宋" w:cs="仿宋"/>
                <w:kern w:val="2"/>
                <w:sz w:val="21"/>
                <w:szCs w:val="21"/>
                <w:vertAlign w:val="baseline"/>
                <w:lang w:val="zh-CN" w:eastAsia="zh-CN" w:bidi="ar-SA"/>
              </w:rPr>
            </w:pPr>
            <w:r>
              <w:rPr>
                <w:rFonts w:hint="eastAsia" w:ascii="仿宋" w:hAnsi="仿宋" w:eastAsia="仿宋" w:cs="仿宋"/>
                <w:kern w:val="2"/>
                <w:sz w:val="21"/>
                <w:szCs w:val="21"/>
                <w:vertAlign w:val="baseline"/>
                <w:lang w:val="en-US" w:eastAsia="zh-CN" w:bidi="ar-SA"/>
              </w:rPr>
              <w:t>90%</w:t>
            </w:r>
          </w:p>
        </w:tc>
        <w:tc>
          <w:tcPr>
            <w:tcW w:w="3696" w:type="dxa"/>
            <w:tcBorders>
              <w:tl2br w:val="nil"/>
              <w:tr2bl w:val="nil"/>
            </w:tcBorders>
            <w:shd w:val="clear" w:color="auto" w:fill="auto"/>
            <w:noWrap/>
            <w:vAlign w:val="center"/>
          </w:tcPr>
          <w:p w14:paraId="318DC6AB">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仿宋" w:hAnsi="仿宋" w:eastAsia="仿宋" w:cs="仿宋"/>
                <w:kern w:val="2"/>
                <w:sz w:val="24"/>
                <w:szCs w:val="24"/>
                <w:vertAlign w:val="baseline"/>
                <w:lang w:val="zh-CN" w:eastAsia="zh-CN" w:bidi="ar-SA"/>
              </w:rPr>
            </w:pPr>
            <w:r>
              <w:rPr>
                <w:rFonts w:hint="eastAsia" w:ascii="仿宋" w:hAnsi="仿宋" w:eastAsia="仿宋" w:cs="仿宋"/>
                <w:i w:val="0"/>
                <w:iCs w:val="0"/>
                <w:color w:val="000000"/>
                <w:kern w:val="0"/>
                <w:sz w:val="21"/>
                <w:szCs w:val="21"/>
                <w:u w:val="none"/>
                <w:lang w:val="en-US" w:eastAsia="zh-CN" w:bidi="ar"/>
              </w:rPr>
              <w:t>满意度大于等于90%得满分，每下降5%扣１分</w:t>
            </w:r>
          </w:p>
        </w:tc>
      </w:tr>
    </w:tbl>
    <w:p w14:paraId="2C6A8C83">
      <w:pPr>
        <w:pStyle w:val="6"/>
        <w:numPr>
          <w:ilvl w:val="0"/>
          <w:numId w:val="0"/>
        </w:numPr>
        <w:tabs>
          <w:tab w:val="clear" w:pos="2040"/>
        </w:tabs>
        <w:spacing w:line="360" w:lineRule="auto"/>
        <w:ind w:left="0" w:leftChars="0" w:firstLine="0" w:firstLineChars="0"/>
        <w:rPr>
          <w:rFonts w:hint="default" w:ascii="FangSong_GB2312" w:hAnsi="FangSong_GB2312" w:eastAsiaTheme="minorEastAsia"/>
          <w:sz w:val="24"/>
          <w:lang w:val="en-US" w:eastAsia="zh-CN"/>
        </w:rPr>
      </w:pPr>
      <w:r>
        <w:rPr>
          <w:rFonts w:hint="eastAsia" w:ascii="仿宋_GB2312" w:hAnsi="Times New Roman" w:eastAsia="仿宋_GB2312" w:cs="Times New Roman"/>
          <w:kern w:val="2"/>
          <w:sz w:val="21"/>
          <w:szCs w:val="21"/>
          <w:lang w:val="en-US" w:eastAsia="zh-CN" w:bidi="ar-SA"/>
        </w:rPr>
        <w:t>资料来源：石狮市交通和港口发展局提供。</w:t>
      </w:r>
    </w:p>
    <w:p w14:paraId="56FA18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（2）绩效指标明确性（</w:t>
      </w:r>
      <w:r>
        <w:rPr>
          <w:rFonts w:hint="eastAsia" w:ascii="仿宋_GB2312" w:hAnsi="Times New Roman" w:eastAsia="仿宋_GB2312" w:cs="Times New Roman"/>
          <w:sz w:val="24"/>
          <w:szCs w:val="24"/>
          <w:lang w:val="en-US" w:eastAsia="zh-CN"/>
        </w:rPr>
        <w:t>分值</w:t>
      </w:r>
      <w:r>
        <w:rPr>
          <w:rFonts w:hint="eastAsia" w:ascii="仿宋_GB2312" w:hAnsi="Times New Roman" w:eastAsia="仿宋_GB2312" w:cs="Times New Roman"/>
          <w:sz w:val="24"/>
          <w:szCs w:val="24"/>
          <w:lang w:val="zh-CN" w:eastAsia="zh-CN"/>
        </w:rPr>
        <w:t>3分，得分2分）</w:t>
      </w:r>
    </w:p>
    <w:p w14:paraId="2B5520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en-US" w:eastAsia="zh-CN"/>
        </w:rPr>
        <w:t>表3</w:t>
      </w:r>
      <w:r>
        <w:rPr>
          <w:rFonts w:hint="eastAsia" w:ascii="仿宋_GB2312" w:hAnsi="Times New Roman" w:eastAsia="仿宋_GB2312" w:cs="Times New Roman"/>
          <w:sz w:val="24"/>
          <w:szCs w:val="24"/>
          <w:lang w:val="zh-CN" w:eastAsia="zh-CN"/>
        </w:rPr>
        <w:t>明确将绩效目标细化分解，7个三级指标</w:t>
      </w:r>
      <w:r>
        <w:rPr>
          <w:rFonts w:hint="eastAsia" w:ascii="仿宋_GB2312" w:hAnsi="Times New Roman" w:eastAsia="仿宋_GB2312" w:cs="Times New Roman"/>
          <w:sz w:val="24"/>
          <w:szCs w:val="24"/>
          <w:lang w:val="en-US" w:eastAsia="zh-CN"/>
        </w:rPr>
        <w:t>都有</w:t>
      </w:r>
      <w:r>
        <w:rPr>
          <w:rFonts w:hint="eastAsia" w:ascii="仿宋_GB2312" w:hAnsi="Times New Roman" w:eastAsia="仿宋_GB2312" w:cs="Times New Roman"/>
          <w:sz w:val="24"/>
          <w:szCs w:val="24"/>
          <w:lang w:val="zh-CN" w:eastAsia="zh-CN"/>
        </w:rPr>
        <w:t>可衡量的</w:t>
      </w:r>
      <w:r>
        <w:rPr>
          <w:rFonts w:hint="eastAsia" w:ascii="仿宋_GB2312" w:hAnsi="Times New Roman" w:eastAsia="仿宋_GB2312" w:cs="Times New Roman"/>
          <w:sz w:val="24"/>
          <w:szCs w:val="24"/>
          <w:lang w:val="en-US" w:eastAsia="zh-CN"/>
        </w:rPr>
        <w:t>目标值</w:t>
      </w:r>
      <w:r>
        <w:rPr>
          <w:rFonts w:hint="eastAsia" w:ascii="仿宋_GB2312" w:hAnsi="Times New Roman" w:eastAsia="仿宋_GB2312" w:cs="Times New Roman"/>
          <w:sz w:val="24"/>
          <w:szCs w:val="24"/>
          <w:lang w:val="zh-CN" w:eastAsia="zh-CN"/>
        </w:rPr>
        <w:t>；与目标任务数据可对应；与年度任务数据可对应，基本建立了可量化的指标体系。</w:t>
      </w:r>
      <w:r>
        <w:rPr>
          <w:rFonts w:hint="eastAsia" w:ascii="仿宋_GB2312" w:hAnsi="Times New Roman" w:eastAsia="仿宋_GB2312" w:cs="Times New Roman"/>
          <w:sz w:val="24"/>
          <w:szCs w:val="24"/>
          <w:lang w:val="en-US" w:eastAsia="zh-CN"/>
        </w:rPr>
        <w:t>但多个三级指标直接设置为“指标+目标值”或“目标值”，如“新增船舶16艘”“税收1000万元”“增加就业200人”“大于等于90%”。还有个别指标指向不够明确，评分标准说明不够精准，如“项目按期完成率”评分标准为“按期完成当年目标得满分，否则不得分”，“当年目标”指向不明确，如果为其他设定的指标目标，则出现指标上的重复性</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在指标衡量上难以精准把握</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因此，</w:t>
      </w:r>
      <w:r>
        <w:rPr>
          <w:rFonts w:hint="eastAsia" w:ascii="仿宋_GB2312" w:hAnsi="Times New Roman" w:eastAsia="仿宋_GB2312" w:cs="Times New Roman"/>
          <w:sz w:val="24"/>
          <w:szCs w:val="24"/>
          <w:lang w:val="zh-CN" w:eastAsia="zh-CN"/>
        </w:rPr>
        <w:t>该指标扣1分。</w:t>
      </w:r>
    </w:p>
    <w:p w14:paraId="32373F3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3.资金投入（</w:t>
      </w:r>
      <w:r>
        <w:rPr>
          <w:rFonts w:hint="eastAsia" w:ascii="仿宋_GB2312" w:hAnsi="Times New Roman" w:eastAsia="仿宋_GB2312" w:cs="Times New Roman"/>
          <w:sz w:val="24"/>
          <w:szCs w:val="24"/>
          <w:lang w:val="en-US" w:eastAsia="zh-CN"/>
        </w:rPr>
        <w:t>分值</w:t>
      </w:r>
      <w:r>
        <w:rPr>
          <w:rFonts w:hint="eastAsia" w:ascii="仿宋_GB2312" w:hAnsi="Times New Roman" w:eastAsia="仿宋_GB2312" w:cs="Times New Roman"/>
          <w:sz w:val="24"/>
          <w:szCs w:val="24"/>
          <w:lang w:val="zh-CN" w:eastAsia="zh-CN"/>
        </w:rPr>
        <w:t>6分，得分</w:t>
      </w:r>
      <w:r>
        <w:rPr>
          <w:rFonts w:hint="eastAsia" w:ascii="仿宋_GB2312" w:hAnsi="Times New Roman" w:eastAsia="仿宋_GB2312" w:cs="Times New Roman"/>
          <w:sz w:val="24"/>
          <w:szCs w:val="24"/>
          <w:lang w:val="en-US" w:eastAsia="zh-CN"/>
        </w:rPr>
        <w:t>5</w:t>
      </w:r>
      <w:r>
        <w:rPr>
          <w:rFonts w:hint="eastAsia" w:ascii="仿宋_GB2312" w:hAnsi="Times New Roman" w:eastAsia="仿宋_GB2312" w:cs="Times New Roman"/>
          <w:sz w:val="24"/>
          <w:szCs w:val="24"/>
          <w:lang w:val="zh-CN" w:eastAsia="zh-CN"/>
        </w:rPr>
        <w:t>分）</w:t>
      </w:r>
    </w:p>
    <w:p w14:paraId="140755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（1）预算编制科学性（</w:t>
      </w:r>
      <w:r>
        <w:rPr>
          <w:rFonts w:hint="eastAsia" w:ascii="仿宋_GB2312" w:hAnsi="Times New Roman" w:eastAsia="仿宋_GB2312" w:cs="Times New Roman"/>
          <w:sz w:val="24"/>
          <w:szCs w:val="24"/>
          <w:lang w:val="en-US" w:eastAsia="zh-CN"/>
        </w:rPr>
        <w:t>分值</w:t>
      </w:r>
      <w:r>
        <w:rPr>
          <w:rFonts w:hint="eastAsia" w:ascii="仿宋_GB2312" w:hAnsi="Times New Roman" w:eastAsia="仿宋_GB2312" w:cs="Times New Roman"/>
          <w:sz w:val="24"/>
          <w:szCs w:val="24"/>
          <w:lang w:val="zh-CN" w:eastAsia="zh-CN"/>
        </w:rPr>
        <w:t>4分，得分</w:t>
      </w:r>
      <w:r>
        <w:rPr>
          <w:rFonts w:hint="eastAsia" w:ascii="仿宋_GB2312" w:hAnsi="Times New Roman" w:eastAsia="仿宋_GB2312" w:cs="Times New Roman"/>
          <w:sz w:val="24"/>
          <w:szCs w:val="24"/>
          <w:lang w:val="en-US" w:eastAsia="zh-CN"/>
        </w:rPr>
        <w:t>4</w:t>
      </w:r>
      <w:r>
        <w:rPr>
          <w:rFonts w:hint="eastAsia" w:ascii="仿宋_GB2312" w:hAnsi="Times New Roman" w:eastAsia="仿宋_GB2312" w:cs="Times New Roman"/>
          <w:sz w:val="24"/>
          <w:szCs w:val="24"/>
          <w:lang w:val="zh-CN" w:eastAsia="zh-CN"/>
        </w:rPr>
        <w:t>分）</w:t>
      </w:r>
    </w:p>
    <w:p w14:paraId="302E3C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en-US" w:eastAsia="zh-CN"/>
        </w:rPr>
        <w:t>石狮市交通和港口发展局设置的</w:t>
      </w:r>
      <w:r>
        <w:rPr>
          <w:rFonts w:hint="eastAsia" w:ascii="仿宋_GB2312" w:hAnsi="Times New Roman" w:eastAsia="仿宋_GB2312" w:cs="Times New Roman"/>
          <w:sz w:val="24"/>
          <w:szCs w:val="24"/>
          <w:lang w:val="zh-CN" w:eastAsia="zh-CN"/>
        </w:rPr>
        <w:t>202</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lang w:val="zh-CN" w:eastAsia="zh-CN"/>
        </w:rPr>
        <w:t>年度石狮市水路运输企业新增船舶运力规模补助及贷款贴息奖励资金绩效目标</w:t>
      </w:r>
      <w:r>
        <w:rPr>
          <w:rFonts w:hint="eastAsia" w:ascii="仿宋_GB2312" w:hAnsi="Times New Roman" w:eastAsia="仿宋_GB2312" w:cs="Times New Roman"/>
          <w:sz w:val="24"/>
          <w:szCs w:val="24"/>
          <w:lang w:val="en-US" w:eastAsia="zh-CN"/>
        </w:rPr>
        <w:t>申报</w:t>
      </w:r>
      <w:r>
        <w:rPr>
          <w:rFonts w:hint="eastAsia" w:ascii="仿宋_GB2312" w:hAnsi="Times New Roman" w:eastAsia="仿宋_GB2312" w:cs="Times New Roman"/>
          <w:sz w:val="24"/>
          <w:szCs w:val="24"/>
          <w:lang w:val="zh-CN" w:eastAsia="zh-CN"/>
        </w:rPr>
        <w:t>表</w:t>
      </w:r>
      <w:r>
        <w:rPr>
          <w:rFonts w:hint="eastAsia" w:ascii="仿宋_GB2312" w:hAnsi="Times New Roman" w:eastAsia="仿宋_GB2312" w:cs="Times New Roman"/>
          <w:sz w:val="24"/>
          <w:szCs w:val="24"/>
          <w:lang w:val="en-US" w:eastAsia="zh-CN"/>
        </w:rPr>
        <w:t>申报预算</w:t>
      </w:r>
      <w:r>
        <w:rPr>
          <w:rFonts w:hint="eastAsia" w:ascii="仿宋_GB2312" w:hAnsi="Times New Roman" w:eastAsia="仿宋_GB2312" w:cs="Times New Roman"/>
          <w:sz w:val="24"/>
          <w:szCs w:val="24"/>
          <w:lang w:val="zh-CN" w:eastAsia="zh-CN"/>
        </w:rPr>
        <w:t>为</w:t>
      </w:r>
      <w:r>
        <w:rPr>
          <w:rFonts w:hint="eastAsia" w:ascii="仿宋_GB2312" w:hAnsi="Times New Roman" w:eastAsia="仿宋_GB2312" w:cs="Times New Roman"/>
          <w:sz w:val="24"/>
          <w:szCs w:val="24"/>
          <w:lang w:val="en-US" w:eastAsia="zh-CN"/>
        </w:rPr>
        <w:t>7100</w:t>
      </w:r>
      <w:r>
        <w:rPr>
          <w:rFonts w:hint="eastAsia" w:ascii="仿宋_GB2312" w:hAnsi="Times New Roman" w:eastAsia="仿宋_GB2312" w:cs="Times New Roman"/>
          <w:sz w:val="24"/>
          <w:szCs w:val="24"/>
          <w:lang w:val="zh-CN" w:eastAsia="zh-CN"/>
        </w:rPr>
        <w:t>万元，</w:t>
      </w:r>
      <w:r>
        <w:rPr>
          <w:rFonts w:hint="eastAsia" w:ascii="仿宋_GB2312" w:hAnsi="Times New Roman" w:eastAsia="仿宋_GB2312" w:cs="Times New Roman"/>
          <w:sz w:val="24"/>
          <w:szCs w:val="24"/>
          <w:lang w:val="en-US" w:eastAsia="zh-CN"/>
        </w:rPr>
        <w:t>该预算是根据实施意见补贴范围，通过对石狮市下属各水路运输企业进行摸底测算得出的</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前期摸底工作较为扎实，预算内容与项目内容相匹配，</w:t>
      </w:r>
      <w:r>
        <w:rPr>
          <w:rFonts w:hint="eastAsia" w:ascii="仿宋_GB2312" w:hAnsi="Times New Roman" w:eastAsia="仿宋_GB2312" w:cs="Times New Roman"/>
          <w:sz w:val="24"/>
          <w:szCs w:val="24"/>
          <w:lang w:val="zh-CN" w:eastAsia="zh-CN"/>
        </w:rPr>
        <w:t>该指标</w:t>
      </w:r>
      <w:r>
        <w:rPr>
          <w:rFonts w:hint="eastAsia" w:ascii="仿宋_GB2312" w:hAnsi="Times New Roman" w:eastAsia="仿宋_GB2312" w:cs="Times New Roman"/>
          <w:sz w:val="24"/>
          <w:szCs w:val="24"/>
          <w:lang w:val="en-US" w:eastAsia="zh-CN"/>
        </w:rPr>
        <w:t>可得满</w:t>
      </w:r>
      <w:r>
        <w:rPr>
          <w:rFonts w:hint="eastAsia" w:ascii="仿宋_GB2312" w:hAnsi="Times New Roman" w:eastAsia="仿宋_GB2312" w:cs="Times New Roman"/>
          <w:sz w:val="24"/>
          <w:szCs w:val="24"/>
          <w:lang w:val="zh-CN" w:eastAsia="zh-CN"/>
        </w:rPr>
        <w:t>分。</w:t>
      </w:r>
    </w:p>
    <w:p w14:paraId="41EB1D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highlight w:val="none"/>
          <w:lang w:val="zh-CN" w:eastAsia="zh-CN"/>
        </w:rPr>
      </w:pPr>
      <w:r>
        <w:rPr>
          <w:rFonts w:hint="eastAsia" w:ascii="仿宋_GB2312" w:hAnsi="Times New Roman" w:eastAsia="仿宋_GB2312" w:cs="Times New Roman"/>
          <w:sz w:val="24"/>
          <w:szCs w:val="24"/>
          <w:highlight w:val="none"/>
          <w:lang w:val="zh-CN" w:eastAsia="zh-CN"/>
        </w:rPr>
        <w:t>（2）资金分配合理性（</w:t>
      </w:r>
      <w:r>
        <w:rPr>
          <w:rFonts w:hint="eastAsia" w:ascii="仿宋_GB2312" w:hAnsi="Times New Roman" w:eastAsia="仿宋_GB2312" w:cs="Times New Roman"/>
          <w:sz w:val="24"/>
          <w:szCs w:val="24"/>
          <w:highlight w:val="none"/>
          <w:lang w:val="en-US" w:eastAsia="zh-CN"/>
        </w:rPr>
        <w:t>分值</w:t>
      </w:r>
      <w:r>
        <w:rPr>
          <w:rFonts w:hint="eastAsia" w:ascii="仿宋_GB2312" w:hAnsi="Times New Roman" w:eastAsia="仿宋_GB2312" w:cs="Times New Roman"/>
          <w:sz w:val="24"/>
          <w:szCs w:val="24"/>
          <w:highlight w:val="none"/>
          <w:lang w:val="zh-CN" w:eastAsia="zh-CN"/>
        </w:rPr>
        <w:t>2分，得分</w:t>
      </w:r>
      <w:r>
        <w:rPr>
          <w:rFonts w:hint="eastAsia" w:ascii="仿宋_GB2312" w:hAnsi="Times New Roman" w:eastAsia="仿宋_GB2312" w:cs="Times New Roman"/>
          <w:sz w:val="24"/>
          <w:szCs w:val="24"/>
          <w:highlight w:val="none"/>
          <w:lang w:val="en-US" w:eastAsia="zh-CN"/>
        </w:rPr>
        <w:t>1</w:t>
      </w:r>
      <w:r>
        <w:rPr>
          <w:rFonts w:hint="eastAsia" w:ascii="仿宋_GB2312" w:hAnsi="Times New Roman" w:eastAsia="仿宋_GB2312" w:cs="Times New Roman"/>
          <w:sz w:val="24"/>
          <w:szCs w:val="24"/>
          <w:highlight w:val="none"/>
          <w:lang w:val="zh-CN" w:eastAsia="zh-CN"/>
        </w:rPr>
        <w:t>分）</w:t>
      </w:r>
    </w:p>
    <w:p w14:paraId="59F091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highlight w:val="none"/>
          <w:lang w:val="en-US" w:eastAsia="zh-CN"/>
        </w:rPr>
        <w:t>项目预算</w:t>
      </w:r>
      <w:r>
        <w:rPr>
          <w:rFonts w:hint="eastAsia" w:ascii="仿宋_GB2312" w:hAnsi="Times New Roman" w:eastAsia="仿宋_GB2312" w:cs="Times New Roman"/>
          <w:sz w:val="24"/>
          <w:szCs w:val="24"/>
          <w:highlight w:val="none"/>
          <w:lang w:val="zh-CN" w:eastAsia="zh-CN"/>
        </w:rPr>
        <w:t>经费</w:t>
      </w:r>
      <w:r>
        <w:rPr>
          <w:rFonts w:hint="eastAsia" w:ascii="仿宋_GB2312" w:hAnsi="Times New Roman" w:eastAsia="仿宋_GB2312" w:cs="Times New Roman"/>
          <w:sz w:val="24"/>
          <w:szCs w:val="24"/>
          <w:highlight w:val="none"/>
          <w:lang w:val="en-US" w:eastAsia="zh-CN"/>
        </w:rPr>
        <w:t>基于各水路运输企业申报的实际情况考虑资金的补贴数额，预算资金分配依据较为充分。</w:t>
      </w:r>
      <w:r>
        <w:rPr>
          <w:rFonts w:hint="eastAsia" w:ascii="仿宋_GB2312" w:hAnsi="Times New Roman" w:eastAsia="仿宋_GB2312" w:cs="Times New Roman"/>
          <w:sz w:val="24"/>
          <w:szCs w:val="24"/>
          <w:highlight w:val="none"/>
          <w:lang w:val="zh-CN" w:eastAsia="zh-CN"/>
        </w:rPr>
        <w:t>资金分配</w:t>
      </w:r>
      <w:r>
        <w:rPr>
          <w:rFonts w:hint="eastAsia" w:ascii="仿宋_GB2312" w:hAnsi="Times New Roman" w:eastAsia="仿宋_GB2312" w:cs="Times New Roman"/>
          <w:sz w:val="24"/>
          <w:szCs w:val="24"/>
          <w:highlight w:val="none"/>
          <w:lang w:val="en-US" w:eastAsia="zh-CN"/>
        </w:rPr>
        <w:t>额度与工作任务</w:t>
      </w:r>
      <w:r>
        <w:rPr>
          <w:rFonts w:hint="eastAsia" w:ascii="仿宋_GB2312" w:hAnsi="Times New Roman" w:eastAsia="仿宋_GB2312" w:cs="Times New Roman"/>
          <w:sz w:val="24"/>
          <w:szCs w:val="24"/>
          <w:highlight w:val="none"/>
          <w:lang w:val="zh-CN" w:eastAsia="zh-CN"/>
        </w:rPr>
        <w:t>基本相匹配，</w:t>
      </w:r>
      <w:r>
        <w:rPr>
          <w:rFonts w:hint="eastAsia" w:ascii="仿宋_GB2312" w:hAnsi="Times New Roman" w:eastAsia="仿宋_GB2312" w:cs="Times New Roman"/>
          <w:sz w:val="24"/>
          <w:szCs w:val="24"/>
          <w:lang w:val="en-US" w:eastAsia="zh-CN"/>
        </w:rPr>
        <w:t>但在执行过程中，预算安排的支付落实环节出现延迟，使得原属2023年度的补贴额度延期至2024年完成，未能完全实现预算年度内的同步执行。因此该指标扣1分。</w:t>
      </w:r>
    </w:p>
    <w:p w14:paraId="53455B5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hAnsi="Times New Roman" w:eastAsia="仿宋_GB2312" w:cs="Times New Roman"/>
          <w:b/>
          <w:bCs/>
          <w:sz w:val="24"/>
          <w:szCs w:val="24"/>
        </w:rPr>
      </w:pPr>
      <w:bookmarkStart w:id="42" w:name="_Toc184981068"/>
      <w:bookmarkStart w:id="43" w:name="_Toc184981306"/>
      <w:bookmarkStart w:id="44" w:name="_Toc4037"/>
      <w:bookmarkStart w:id="45" w:name="_Toc7228"/>
      <w:r>
        <w:rPr>
          <w:rFonts w:hint="eastAsia" w:ascii="仿宋_GB2312" w:hAnsi="Times New Roman" w:eastAsia="仿宋_GB2312" w:cs="Times New Roman"/>
          <w:b/>
          <w:bCs/>
          <w:sz w:val="24"/>
          <w:szCs w:val="24"/>
        </w:rPr>
        <w:t>（二）项目过程情况</w:t>
      </w:r>
      <w:bookmarkEnd w:id="42"/>
      <w:bookmarkEnd w:id="43"/>
      <w:r>
        <w:rPr>
          <w:rFonts w:hint="eastAsia" w:ascii="仿宋_GB2312" w:hAnsi="Times New Roman" w:eastAsia="仿宋_GB2312" w:cs="Times New Roman"/>
          <w:b/>
          <w:bCs/>
          <w:sz w:val="24"/>
          <w:szCs w:val="24"/>
          <w:lang w:val="zh-CN" w:eastAsia="zh-CN"/>
        </w:rPr>
        <w:t>（</w:t>
      </w:r>
      <w:r>
        <w:rPr>
          <w:rFonts w:hint="eastAsia" w:ascii="仿宋_GB2312" w:hAnsi="Times New Roman" w:eastAsia="仿宋_GB2312" w:cs="Times New Roman"/>
          <w:b/>
          <w:bCs/>
          <w:sz w:val="24"/>
          <w:szCs w:val="24"/>
          <w:lang w:val="en-US" w:eastAsia="zh-CN"/>
        </w:rPr>
        <w:t>分值20</w:t>
      </w:r>
      <w:r>
        <w:rPr>
          <w:rFonts w:hint="eastAsia" w:ascii="仿宋_GB2312" w:hAnsi="Times New Roman" w:eastAsia="仿宋_GB2312" w:cs="Times New Roman"/>
          <w:b/>
          <w:bCs/>
          <w:sz w:val="24"/>
          <w:szCs w:val="24"/>
          <w:lang w:val="zh-CN" w:eastAsia="zh-CN"/>
        </w:rPr>
        <w:t>分，得分1</w:t>
      </w:r>
      <w:r>
        <w:rPr>
          <w:rFonts w:hint="eastAsia" w:ascii="仿宋_GB2312" w:hAnsi="Times New Roman" w:eastAsia="仿宋_GB2312" w:cs="Times New Roman"/>
          <w:b/>
          <w:bCs/>
          <w:sz w:val="24"/>
          <w:szCs w:val="24"/>
          <w:lang w:val="en-US" w:eastAsia="zh-CN"/>
        </w:rPr>
        <w:t>8</w:t>
      </w:r>
      <w:r>
        <w:rPr>
          <w:rFonts w:hint="eastAsia" w:ascii="仿宋_GB2312" w:hAnsi="Times New Roman" w:eastAsia="仿宋_GB2312" w:cs="Times New Roman"/>
          <w:b/>
          <w:bCs/>
          <w:sz w:val="24"/>
          <w:szCs w:val="24"/>
          <w:lang w:val="zh-CN" w:eastAsia="zh-CN"/>
        </w:rPr>
        <w:t>分）</w:t>
      </w:r>
      <w:bookmarkEnd w:id="44"/>
      <w:bookmarkEnd w:id="45"/>
    </w:p>
    <w:p w14:paraId="47C8E2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1.资金管理（</w:t>
      </w:r>
      <w:r>
        <w:rPr>
          <w:rFonts w:hint="eastAsia" w:ascii="仿宋_GB2312" w:hAnsi="Times New Roman" w:eastAsia="仿宋_GB2312" w:cs="Times New Roman"/>
          <w:sz w:val="24"/>
          <w:szCs w:val="24"/>
          <w:lang w:val="en-US" w:eastAsia="zh-CN"/>
        </w:rPr>
        <w:t>分值</w:t>
      </w:r>
      <w:r>
        <w:rPr>
          <w:rFonts w:hint="eastAsia" w:ascii="仿宋_GB2312" w:hAnsi="Times New Roman" w:eastAsia="仿宋_GB2312" w:cs="Times New Roman"/>
          <w:sz w:val="24"/>
          <w:szCs w:val="24"/>
          <w:lang w:val="zh-CN" w:eastAsia="zh-CN"/>
        </w:rPr>
        <w:t>1</w:t>
      </w:r>
      <w:r>
        <w:rPr>
          <w:rFonts w:hint="eastAsia" w:ascii="仿宋_GB2312" w:hAnsi="Times New Roman" w:eastAsia="仿宋_GB2312" w:cs="Times New Roman"/>
          <w:sz w:val="24"/>
          <w:szCs w:val="24"/>
          <w:lang w:val="en-US" w:eastAsia="zh-CN"/>
        </w:rPr>
        <w:t>4</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12</w:t>
      </w:r>
      <w:r>
        <w:rPr>
          <w:rFonts w:hint="eastAsia" w:ascii="仿宋_GB2312" w:hAnsi="Times New Roman" w:eastAsia="仿宋_GB2312" w:cs="Times New Roman"/>
          <w:sz w:val="24"/>
          <w:szCs w:val="24"/>
          <w:lang w:val="zh-CN" w:eastAsia="zh-CN"/>
        </w:rPr>
        <w:t>分）</w:t>
      </w:r>
    </w:p>
    <w:p w14:paraId="5F4C84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highlight w:val="none"/>
          <w:lang w:val="zh-CN" w:eastAsia="zh-CN"/>
        </w:rPr>
      </w:pPr>
      <w:r>
        <w:rPr>
          <w:rFonts w:hint="eastAsia" w:ascii="仿宋_GB2312" w:hAnsi="Times New Roman" w:eastAsia="仿宋_GB2312" w:cs="Times New Roman"/>
          <w:sz w:val="24"/>
          <w:szCs w:val="24"/>
          <w:highlight w:val="none"/>
          <w:lang w:val="zh-CN" w:eastAsia="zh-CN"/>
        </w:rPr>
        <w:t>（1）资金到位率（</w:t>
      </w:r>
      <w:r>
        <w:rPr>
          <w:rFonts w:hint="eastAsia" w:ascii="仿宋_GB2312" w:hAnsi="Times New Roman" w:eastAsia="仿宋_GB2312" w:cs="Times New Roman"/>
          <w:sz w:val="24"/>
          <w:szCs w:val="24"/>
          <w:highlight w:val="none"/>
          <w:lang w:val="en-US" w:eastAsia="zh-CN"/>
        </w:rPr>
        <w:t>分值4</w:t>
      </w:r>
      <w:r>
        <w:rPr>
          <w:rFonts w:hint="eastAsia" w:ascii="仿宋_GB2312" w:hAnsi="Times New Roman" w:eastAsia="仿宋_GB2312" w:cs="Times New Roman"/>
          <w:sz w:val="24"/>
          <w:szCs w:val="24"/>
          <w:highlight w:val="none"/>
          <w:lang w:val="zh-CN" w:eastAsia="zh-CN"/>
        </w:rPr>
        <w:t>分，得分</w:t>
      </w:r>
      <w:r>
        <w:rPr>
          <w:rFonts w:hint="eastAsia" w:ascii="仿宋_GB2312" w:hAnsi="Times New Roman" w:eastAsia="仿宋_GB2312" w:cs="Times New Roman"/>
          <w:sz w:val="24"/>
          <w:szCs w:val="24"/>
          <w:highlight w:val="none"/>
          <w:lang w:val="en-US" w:eastAsia="zh-CN"/>
        </w:rPr>
        <w:t>2</w:t>
      </w:r>
      <w:r>
        <w:rPr>
          <w:rFonts w:hint="eastAsia" w:ascii="仿宋_GB2312" w:hAnsi="Times New Roman" w:eastAsia="仿宋_GB2312" w:cs="Times New Roman"/>
          <w:sz w:val="24"/>
          <w:szCs w:val="24"/>
          <w:highlight w:val="none"/>
          <w:lang w:val="zh-CN" w:eastAsia="zh-CN"/>
        </w:rPr>
        <w:t>分）</w:t>
      </w:r>
    </w:p>
    <w:p w14:paraId="68C80D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“资金到位率”用于评估资金按计划保障项目实施的能力。</w:t>
      </w:r>
      <w:r>
        <w:rPr>
          <w:rFonts w:hint="eastAsia" w:ascii="仿宋_GB2312" w:hAnsi="Times New Roman" w:eastAsia="仿宋_GB2312" w:cs="Times New Roman"/>
          <w:sz w:val="24"/>
          <w:szCs w:val="24"/>
          <w:lang w:val="en-US" w:eastAsia="zh-CN"/>
        </w:rPr>
        <w:t>工作组是对2024年度石狮市水路运输业相关补贴项目开展评价，其预算计划于2023年确定，但</w:t>
      </w:r>
      <w:r>
        <w:rPr>
          <w:rFonts w:hint="eastAsia" w:ascii="仿宋_GB2312" w:hAnsi="Times New Roman" w:eastAsia="仿宋_GB2312" w:cs="Times New Roman"/>
          <w:sz w:val="24"/>
          <w:szCs w:val="24"/>
          <w:lang w:val="zh-CN" w:eastAsia="zh-CN"/>
        </w:rPr>
        <w:t>资金的实际拨付进度与预算计划在时序上严重脱节，影响了资金保障的整体效率。该指标</w:t>
      </w:r>
      <w:r>
        <w:rPr>
          <w:rFonts w:hint="eastAsia" w:ascii="仿宋_GB2312" w:hAnsi="Times New Roman" w:eastAsia="仿宋_GB2312" w:cs="Times New Roman"/>
          <w:sz w:val="24"/>
          <w:szCs w:val="24"/>
          <w:lang w:val="en-US" w:eastAsia="zh-CN"/>
        </w:rPr>
        <w:t>酌情扣2分</w:t>
      </w:r>
      <w:r>
        <w:rPr>
          <w:rFonts w:hint="eastAsia" w:ascii="仿宋_GB2312" w:hAnsi="Times New Roman" w:eastAsia="仿宋_GB2312" w:cs="Times New Roman"/>
          <w:sz w:val="24"/>
          <w:szCs w:val="24"/>
          <w:lang w:val="zh-CN" w:eastAsia="zh-CN"/>
        </w:rPr>
        <w:t>。</w:t>
      </w:r>
    </w:p>
    <w:p w14:paraId="01DE86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（2）预算执行率（</w:t>
      </w:r>
      <w:r>
        <w:rPr>
          <w:rFonts w:hint="eastAsia" w:ascii="仿宋_GB2312" w:hAnsi="Times New Roman" w:eastAsia="仿宋_GB2312" w:cs="Times New Roman"/>
          <w:sz w:val="24"/>
          <w:szCs w:val="24"/>
          <w:lang w:val="en-US" w:eastAsia="zh-CN"/>
        </w:rPr>
        <w:t>分值5</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5</w:t>
      </w:r>
      <w:r>
        <w:rPr>
          <w:rFonts w:hint="eastAsia" w:ascii="仿宋_GB2312" w:hAnsi="Times New Roman" w:eastAsia="仿宋_GB2312" w:cs="Times New Roman"/>
          <w:sz w:val="24"/>
          <w:szCs w:val="24"/>
          <w:lang w:val="zh-CN" w:eastAsia="zh-CN"/>
        </w:rPr>
        <w:t>分）</w:t>
      </w:r>
    </w:p>
    <w:p w14:paraId="56254F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“预算执行率”指标用于考察项目实施年度财政资金预算执行率，预算执行率=实际支出资金/实际到位资金×100%。202</w:t>
      </w:r>
      <w:r>
        <w:rPr>
          <w:rFonts w:hint="eastAsia" w:ascii="仿宋_GB2312" w:hAnsi="Times New Roman" w:eastAsia="仿宋_GB2312" w:cs="Times New Roman"/>
          <w:sz w:val="24"/>
          <w:szCs w:val="24"/>
          <w:lang w:val="en-US" w:eastAsia="zh-CN"/>
        </w:rPr>
        <w:t>4</w:t>
      </w:r>
      <w:r>
        <w:rPr>
          <w:rFonts w:hint="eastAsia" w:ascii="仿宋_GB2312" w:hAnsi="Times New Roman" w:eastAsia="仿宋_GB2312" w:cs="Times New Roman"/>
          <w:sz w:val="24"/>
          <w:szCs w:val="24"/>
          <w:lang w:val="zh-CN" w:eastAsia="zh-CN"/>
        </w:rPr>
        <w:t>年石狮市</w:t>
      </w:r>
      <w:r>
        <w:rPr>
          <w:rFonts w:hint="eastAsia" w:ascii="仿宋_GB2312" w:hAnsi="Times New Roman" w:eastAsia="仿宋_GB2312" w:cs="Times New Roman"/>
          <w:sz w:val="24"/>
          <w:szCs w:val="24"/>
          <w:lang w:val="en-US" w:eastAsia="zh-CN"/>
        </w:rPr>
        <w:t>水路运输业相关补贴项目</w:t>
      </w:r>
      <w:r>
        <w:rPr>
          <w:rFonts w:hint="eastAsia" w:ascii="仿宋_GB2312" w:hAnsi="Times New Roman" w:eastAsia="仿宋_GB2312" w:cs="Times New Roman"/>
          <w:sz w:val="24"/>
          <w:szCs w:val="24"/>
          <w:lang w:val="zh-CN" w:eastAsia="zh-CN"/>
        </w:rPr>
        <w:t>实际</w:t>
      </w:r>
      <w:r>
        <w:rPr>
          <w:rFonts w:hint="eastAsia" w:ascii="仿宋_GB2312" w:hAnsi="Times New Roman" w:eastAsia="仿宋_GB2312" w:cs="Times New Roman"/>
          <w:sz w:val="24"/>
          <w:szCs w:val="24"/>
          <w:lang w:val="en-US" w:eastAsia="zh-CN"/>
        </w:rPr>
        <w:t>拨付补贴经费6,472.70902</w:t>
      </w:r>
      <w:r>
        <w:rPr>
          <w:rFonts w:hint="eastAsia" w:ascii="仿宋_GB2312" w:hAnsi="Times New Roman" w:eastAsia="仿宋_GB2312" w:cs="Times New Roman"/>
          <w:sz w:val="24"/>
          <w:szCs w:val="24"/>
          <w:lang w:val="zh-CN" w:eastAsia="zh-CN"/>
        </w:rPr>
        <w:t>万元，至202</w:t>
      </w:r>
      <w:r>
        <w:rPr>
          <w:rFonts w:hint="eastAsia" w:ascii="仿宋_GB2312" w:hAnsi="Times New Roman" w:eastAsia="仿宋_GB2312" w:cs="Times New Roman"/>
          <w:sz w:val="24"/>
          <w:szCs w:val="24"/>
          <w:lang w:val="en-US" w:eastAsia="zh-CN"/>
        </w:rPr>
        <w:t>4</w:t>
      </w:r>
      <w:r>
        <w:rPr>
          <w:rFonts w:hint="eastAsia" w:ascii="仿宋_GB2312" w:hAnsi="Times New Roman" w:eastAsia="仿宋_GB2312" w:cs="Times New Roman"/>
          <w:sz w:val="24"/>
          <w:szCs w:val="24"/>
          <w:lang w:val="zh-CN" w:eastAsia="zh-CN"/>
        </w:rPr>
        <w:t>年年末已全部</w:t>
      </w:r>
      <w:r>
        <w:rPr>
          <w:rFonts w:hint="eastAsia" w:ascii="仿宋_GB2312" w:hAnsi="Times New Roman" w:eastAsia="仿宋_GB2312" w:cs="Times New Roman"/>
          <w:sz w:val="24"/>
          <w:szCs w:val="24"/>
          <w:lang w:val="en-US" w:eastAsia="zh-CN"/>
        </w:rPr>
        <w:t>拨付至受补贴企业</w:t>
      </w:r>
      <w:r>
        <w:rPr>
          <w:rFonts w:hint="eastAsia" w:ascii="仿宋_GB2312" w:hAnsi="Times New Roman" w:eastAsia="仿宋_GB2312" w:cs="Times New Roman"/>
          <w:sz w:val="24"/>
          <w:szCs w:val="24"/>
          <w:lang w:val="zh-CN" w:eastAsia="zh-CN"/>
        </w:rPr>
        <w:t>，预算执行率100%。根据评分标准，该项指标得满分</w:t>
      </w:r>
      <w:r>
        <w:rPr>
          <w:rFonts w:hint="eastAsia" w:ascii="仿宋_GB2312" w:hAnsi="Times New Roman" w:eastAsia="仿宋_GB2312" w:cs="Times New Roman"/>
          <w:sz w:val="24"/>
          <w:szCs w:val="24"/>
          <w:lang w:val="en-US" w:eastAsia="zh-CN"/>
        </w:rPr>
        <w:t>5</w:t>
      </w:r>
      <w:r>
        <w:rPr>
          <w:rFonts w:hint="eastAsia" w:ascii="仿宋_GB2312" w:hAnsi="Times New Roman" w:eastAsia="仿宋_GB2312" w:cs="Times New Roman"/>
          <w:sz w:val="24"/>
          <w:szCs w:val="24"/>
          <w:lang w:val="zh-CN" w:eastAsia="zh-CN"/>
        </w:rPr>
        <w:t>分。</w:t>
      </w:r>
    </w:p>
    <w:p w14:paraId="43FB25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（3）资金使用合规性（</w:t>
      </w:r>
      <w:r>
        <w:rPr>
          <w:rFonts w:hint="eastAsia" w:ascii="仿宋_GB2312" w:hAnsi="Times New Roman" w:eastAsia="仿宋_GB2312" w:cs="Times New Roman"/>
          <w:sz w:val="24"/>
          <w:szCs w:val="24"/>
          <w:lang w:val="en-US" w:eastAsia="zh-CN"/>
        </w:rPr>
        <w:t>分值5</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5</w:t>
      </w:r>
      <w:r>
        <w:rPr>
          <w:rFonts w:hint="eastAsia" w:ascii="仿宋_GB2312" w:hAnsi="Times New Roman" w:eastAsia="仿宋_GB2312" w:cs="Times New Roman"/>
          <w:sz w:val="24"/>
          <w:szCs w:val="24"/>
          <w:lang w:val="zh-CN" w:eastAsia="zh-CN"/>
        </w:rPr>
        <w:t>分）</w:t>
      </w:r>
    </w:p>
    <w:p w14:paraId="3D0582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“资金使用合规性”指标用于评价资金使用是否违规。评价工作组通过</w:t>
      </w:r>
      <w:r>
        <w:rPr>
          <w:rFonts w:hint="eastAsia" w:ascii="仿宋_GB2312" w:hAnsi="Times New Roman" w:eastAsia="仿宋_GB2312" w:cs="Times New Roman"/>
          <w:sz w:val="24"/>
          <w:szCs w:val="24"/>
          <w:lang w:val="en-US" w:eastAsia="zh-CN"/>
        </w:rPr>
        <w:t>前期梳理石狮市交通和港口发展局提交的材料，并进一步</w:t>
      </w:r>
      <w:r>
        <w:rPr>
          <w:rFonts w:hint="eastAsia" w:ascii="仿宋_GB2312" w:hAnsi="Times New Roman" w:eastAsia="仿宋_GB2312" w:cs="Times New Roman"/>
          <w:sz w:val="24"/>
          <w:szCs w:val="24"/>
          <w:lang w:val="zh-CN" w:eastAsia="zh-CN"/>
        </w:rPr>
        <w:t>对</w:t>
      </w:r>
      <w:r>
        <w:rPr>
          <w:rFonts w:hint="eastAsia" w:ascii="仿宋_GB2312" w:hAnsi="Times New Roman" w:eastAsia="仿宋_GB2312" w:cs="Times New Roman"/>
          <w:sz w:val="24"/>
          <w:szCs w:val="24"/>
          <w:lang w:val="en-US" w:eastAsia="zh-CN"/>
        </w:rPr>
        <w:t>项目所提交受补贴企业的审核材料、资金</w:t>
      </w:r>
      <w:r>
        <w:rPr>
          <w:rFonts w:hint="eastAsia" w:ascii="仿宋_GB2312" w:hAnsi="Times New Roman" w:eastAsia="仿宋_GB2312" w:cs="Times New Roman"/>
          <w:sz w:val="24"/>
          <w:szCs w:val="24"/>
          <w:lang w:val="zh-CN" w:eastAsia="zh-CN"/>
        </w:rPr>
        <w:t>的拨付情况等基本数据</w:t>
      </w:r>
      <w:r>
        <w:rPr>
          <w:rFonts w:hint="eastAsia" w:ascii="仿宋_GB2312" w:hAnsi="Times New Roman" w:eastAsia="仿宋_GB2312" w:cs="Times New Roman"/>
          <w:sz w:val="24"/>
          <w:szCs w:val="24"/>
          <w:lang w:val="en-US" w:eastAsia="zh-CN"/>
        </w:rPr>
        <w:t>进行</w:t>
      </w:r>
      <w:r>
        <w:rPr>
          <w:rFonts w:hint="eastAsia" w:ascii="仿宋_GB2312" w:hAnsi="Times New Roman" w:eastAsia="仿宋_GB2312" w:cs="Times New Roman"/>
          <w:sz w:val="24"/>
          <w:szCs w:val="24"/>
          <w:lang w:val="zh-CN" w:eastAsia="zh-CN"/>
        </w:rPr>
        <w:t>实地</w:t>
      </w:r>
      <w:r>
        <w:rPr>
          <w:rFonts w:hint="eastAsia" w:ascii="仿宋_GB2312" w:hAnsi="Times New Roman" w:eastAsia="仿宋_GB2312" w:cs="Times New Roman"/>
          <w:sz w:val="24"/>
          <w:szCs w:val="24"/>
          <w:lang w:val="en-US" w:eastAsia="zh-CN"/>
        </w:rPr>
        <w:t>核查</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确认</w:t>
      </w:r>
      <w:r>
        <w:rPr>
          <w:rFonts w:hint="eastAsia" w:ascii="仿宋_GB2312" w:hAnsi="Times New Roman" w:eastAsia="仿宋_GB2312" w:cs="Times New Roman"/>
          <w:sz w:val="24"/>
          <w:szCs w:val="24"/>
          <w:lang w:val="zh-CN" w:eastAsia="zh-CN"/>
        </w:rPr>
        <w:t>资金使用符合项目立项文件中列明的</w:t>
      </w:r>
      <w:r>
        <w:rPr>
          <w:rFonts w:hint="eastAsia" w:ascii="仿宋_GB2312" w:hAnsi="Times New Roman" w:eastAsia="仿宋_GB2312" w:cs="Times New Roman"/>
          <w:sz w:val="24"/>
          <w:szCs w:val="24"/>
          <w:lang w:val="en-US" w:eastAsia="zh-CN"/>
        </w:rPr>
        <w:t>补贴范围并有详实的佐证材料</w:t>
      </w:r>
      <w:r>
        <w:rPr>
          <w:rFonts w:hint="eastAsia" w:ascii="仿宋_GB2312" w:hAnsi="Times New Roman" w:eastAsia="仿宋_GB2312" w:cs="Times New Roman"/>
          <w:sz w:val="24"/>
          <w:szCs w:val="24"/>
          <w:lang w:val="zh-CN" w:eastAsia="zh-CN"/>
        </w:rPr>
        <w:t>，资金拨付有完整的审批程序和手续。</w:t>
      </w:r>
      <w:r>
        <w:rPr>
          <w:rFonts w:hint="eastAsia" w:ascii="仿宋_GB2312" w:hAnsi="Times New Roman" w:eastAsia="仿宋_GB2312" w:cs="Times New Roman"/>
          <w:sz w:val="24"/>
          <w:szCs w:val="24"/>
          <w:lang w:val="en-US" w:eastAsia="zh-CN"/>
        </w:rPr>
        <w:t>因此</w:t>
      </w:r>
      <w:r>
        <w:rPr>
          <w:rFonts w:hint="eastAsia" w:ascii="仿宋_GB2312" w:hAnsi="Times New Roman" w:eastAsia="仿宋_GB2312" w:cs="Times New Roman"/>
          <w:sz w:val="24"/>
          <w:szCs w:val="24"/>
          <w:lang w:val="zh-CN" w:eastAsia="zh-CN"/>
        </w:rPr>
        <w:t>，该项指标</w:t>
      </w:r>
      <w:r>
        <w:rPr>
          <w:rFonts w:hint="eastAsia" w:ascii="仿宋_GB2312" w:hAnsi="Times New Roman" w:eastAsia="仿宋_GB2312" w:cs="Times New Roman"/>
          <w:sz w:val="24"/>
          <w:szCs w:val="24"/>
          <w:lang w:val="en-US" w:eastAsia="zh-CN"/>
        </w:rPr>
        <w:t>可得满</w:t>
      </w:r>
      <w:r>
        <w:rPr>
          <w:rFonts w:hint="eastAsia" w:ascii="仿宋_GB2312" w:hAnsi="Times New Roman" w:eastAsia="仿宋_GB2312" w:cs="Times New Roman"/>
          <w:sz w:val="24"/>
          <w:szCs w:val="24"/>
          <w:lang w:val="zh-CN" w:eastAsia="zh-CN"/>
        </w:rPr>
        <w:t>分。</w:t>
      </w:r>
    </w:p>
    <w:p w14:paraId="0BB392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2.组织实施（</w:t>
      </w:r>
      <w:r>
        <w:rPr>
          <w:rFonts w:hint="eastAsia" w:ascii="仿宋_GB2312" w:hAnsi="Times New Roman" w:eastAsia="仿宋_GB2312" w:cs="Times New Roman"/>
          <w:sz w:val="24"/>
          <w:szCs w:val="24"/>
          <w:lang w:val="en-US" w:eastAsia="zh-CN"/>
        </w:rPr>
        <w:t>分值</w:t>
      </w:r>
      <w:r>
        <w:rPr>
          <w:rFonts w:hint="eastAsia" w:ascii="仿宋_GB2312" w:hAnsi="Times New Roman" w:eastAsia="仿宋_GB2312" w:cs="Times New Roman"/>
          <w:sz w:val="24"/>
          <w:szCs w:val="24"/>
          <w:lang w:val="zh-CN" w:eastAsia="zh-CN"/>
        </w:rPr>
        <w:t>6分，得分</w:t>
      </w:r>
      <w:r>
        <w:rPr>
          <w:rFonts w:hint="eastAsia" w:ascii="仿宋_GB2312" w:hAnsi="Times New Roman" w:eastAsia="仿宋_GB2312" w:cs="Times New Roman"/>
          <w:sz w:val="24"/>
          <w:szCs w:val="24"/>
          <w:lang w:val="en-US" w:eastAsia="zh-CN"/>
        </w:rPr>
        <w:t>6</w:t>
      </w:r>
      <w:r>
        <w:rPr>
          <w:rFonts w:hint="eastAsia" w:ascii="仿宋_GB2312" w:hAnsi="Times New Roman" w:eastAsia="仿宋_GB2312" w:cs="Times New Roman"/>
          <w:sz w:val="24"/>
          <w:szCs w:val="24"/>
          <w:lang w:val="zh-CN" w:eastAsia="zh-CN"/>
        </w:rPr>
        <w:t>分）</w:t>
      </w:r>
    </w:p>
    <w:p w14:paraId="24CD78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（1）管理制度健全性（</w:t>
      </w:r>
      <w:r>
        <w:rPr>
          <w:rFonts w:hint="eastAsia" w:ascii="仿宋_GB2312" w:hAnsi="Times New Roman" w:eastAsia="仿宋_GB2312" w:cs="Times New Roman"/>
          <w:sz w:val="24"/>
          <w:szCs w:val="24"/>
          <w:lang w:val="en-US" w:eastAsia="zh-CN"/>
        </w:rPr>
        <w:t>分值</w:t>
      </w:r>
      <w:r>
        <w:rPr>
          <w:rFonts w:hint="eastAsia" w:ascii="仿宋_GB2312" w:hAnsi="Times New Roman" w:eastAsia="仿宋_GB2312" w:cs="Times New Roman"/>
          <w:sz w:val="24"/>
          <w:szCs w:val="24"/>
          <w:lang w:val="zh-CN" w:eastAsia="zh-CN"/>
        </w:rPr>
        <w:t>3分，得分3分）</w:t>
      </w:r>
    </w:p>
    <w:p w14:paraId="022F2D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“管理制度健全性”指标评价项目支出是否已制定或具有相应的财务和业务管理制度，财务和业务管理制度是否合法、合规、完整。</w:t>
      </w:r>
      <w:r>
        <w:rPr>
          <w:rFonts w:hint="eastAsia" w:ascii="仿宋_GB2312" w:hAnsi="Times New Roman" w:eastAsia="仿宋_GB2312" w:cs="Times New Roman"/>
          <w:sz w:val="24"/>
          <w:szCs w:val="24"/>
          <w:lang w:val="en-US" w:eastAsia="zh-CN"/>
        </w:rPr>
        <w:t>项目的财务和业务管理制度规范完整，受补贴企业通过惠企平台提交申报材料，石狮市交通和港口发展局制定了完整的</w:t>
      </w:r>
      <w:r>
        <w:rPr>
          <w:rFonts w:hint="eastAsia" w:ascii="仿宋_GB2312" w:hAnsi="Times New Roman" w:eastAsia="仿宋_GB2312" w:cs="Times New Roman"/>
          <w:sz w:val="24"/>
          <w:szCs w:val="24"/>
          <w:lang w:val="zh-CN" w:eastAsia="zh-CN"/>
        </w:rPr>
        <w:t>惠企政策</w:t>
      </w:r>
      <w:r>
        <w:rPr>
          <w:rFonts w:hint="eastAsia" w:ascii="仿宋_GB2312" w:hAnsi="Times New Roman" w:eastAsia="仿宋_GB2312" w:cs="Times New Roman"/>
          <w:sz w:val="24"/>
          <w:szCs w:val="24"/>
          <w:lang w:val="en-US" w:eastAsia="zh-CN"/>
        </w:rPr>
        <w:t>审核</w:t>
      </w:r>
      <w:r>
        <w:rPr>
          <w:rFonts w:hint="eastAsia" w:ascii="仿宋_GB2312" w:hAnsi="Times New Roman" w:eastAsia="仿宋_GB2312" w:cs="Times New Roman"/>
          <w:sz w:val="24"/>
          <w:szCs w:val="24"/>
          <w:lang w:val="zh-CN" w:eastAsia="zh-CN"/>
        </w:rPr>
        <w:t>工作流程，</w:t>
      </w:r>
      <w:r>
        <w:rPr>
          <w:rFonts w:hint="eastAsia" w:ascii="仿宋_GB2312" w:hAnsi="Times New Roman" w:eastAsia="仿宋_GB2312" w:cs="Times New Roman"/>
          <w:sz w:val="24"/>
          <w:szCs w:val="24"/>
          <w:lang w:val="en-US" w:eastAsia="zh-CN"/>
        </w:rPr>
        <w:t>从提交资料、审核（包括第三方对申请贴息材料的审核）、兑付等流程都有详细的规范要求</w:t>
      </w:r>
      <w:r>
        <w:rPr>
          <w:rFonts w:hint="eastAsia" w:ascii="仿宋_GB2312" w:hAnsi="Times New Roman" w:eastAsia="仿宋_GB2312" w:cs="Times New Roman"/>
          <w:sz w:val="24"/>
          <w:szCs w:val="24"/>
          <w:lang w:val="zh-CN" w:eastAsia="zh-CN"/>
        </w:rPr>
        <w:t>。该项指标得满分。</w:t>
      </w:r>
    </w:p>
    <w:p w14:paraId="211972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（2）制度执行有效性（</w:t>
      </w:r>
      <w:r>
        <w:rPr>
          <w:rFonts w:hint="eastAsia" w:ascii="仿宋_GB2312" w:hAnsi="Times New Roman" w:eastAsia="仿宋_GB2312" w:cs="Times New Roman"/>
          <w:sz w:val="24"/>
          <w:szCs w:val="24"/>
          <w:lang w:val="en-US" w:eastAsia="zh-CN"/>
        </w:rPr>
        <w:t>分值</w:t>
      </w:r>
      <w:r>
        <w:rPr>
          <w:rFonts w:hint="eastAsia" w:ascii="仿宋_GB2312" w:hAnsi="Times New Roman" w:eastAsia="仿宋_GB2312" w:cs="Times New Roman"/>
          <w:sz w:val="24"/>
          <w:szCs w:val="24"/>
          <w:lang w:val="zh-CN" w:eastAsia="zh-CN"/>
        </w:rPr>
        <w:t>3分，得分</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lang w:val="zh-CN" w:eastAsia="zh-CN"/>
        </w:rPr>
        <w:t>分）</w:t>
      </w:r>
    </w:p>
    <w:p w14:paraId="568316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“制度执行有效性”指标用于评价项目管理是否遵守相关法律法规和业务管理规定，项目资料是否齐全并及时归档，项目实施的人员条件、信息支撑等是否落实到位。通过工作组的实地调研并调阅项目相关资料，</w:t>
      </w:r>
      <w:r>
        <w:rPr>
          <w:rFonts w:hint="eastAsia" w:ascii="仿宋_GB2312" w:hAnsi="Times New Roman" w:eastAsia="仿宋_GB2312" w:cs="Times New Roman"/>
          <w:sz w:val="24"/>
          <w:szCs w:val="24"/>
          <w:lang w:val="en-US" w:eastAsia="zh-CN"/>
        </w:rPr>
        <w:t>项目管理到位，迁出企业退还补贴落实到位，相关材料均保存完整</w:t>
      </w:r>
      <w:r>
        <w:rPr>
          <w:rFonts w:hint="eastAsia" w:ascii="仿宋_GB2312" w:hAnsi="Times New Roman" w:eastAsia="仿宋_GB2312" w:cs="Times New Roman"/>
          <w:sz w:val="24"/>
          <w:szCs w:val="24"/>
          <w:lang w:val="zh-CN" w:eastAsia="zh-CN"/>
        </w:rPr>
        <w:t>。该项指标</w:t>
      </w:r>
      <w:r>
        <w:rPr>
          <w:rFonts w:hint="eastAsia" w:ascii="仿宋_GB2312" w:hAnsi="Times New Roman" w:eastAsia="仿宋_GB2312" w:cs="Times New Roman"/>
          <w:sz w:val="24"/>
          <w:szCs w:val="24"/>
          <w:lang w:val="en-US" w:eastAsia="zh-CN"/>
        </w:rPr>
        <w:t>得满分</w:t>
      </w:r>
      <w:r>
        <w:rPr>
          <w:rFonts w:hint="eastAsia" w:ascii="仿宋_GB2312" w:hAnsi="Times New Roman" w:eastAsia="仿宋_GB2312" w:cs="Times New Roman"/>
          <w:sz w:val="24"/>
          <w:szCs w:val="24"/>
          <w:lang w:val="zh-CN" w:eastAsia="zh-CN"/>
        </w:rPr>
        <w:t>。</w:t>
      </w:r>
    </w:p>
    <w:p w14:paraId="5AA484C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hAnsi="Times New Roman" w:eastAsia="仿宋_GB2312" w:cs="Times New Roman"/>
          <w:b/>
          <w:bCs/>
          <w:sz w:val="24"/>
          <w:szCs w:val="24"/>
        </w:rPr>
      </w:pPr>
      <w:bookmarkStart w:id="46" w:name="_Toc184981307"/>
      <w:bookmarkStart w:id="47" w:name="_Toc184981069"/>
      <w:bookmarkStart w:id="48" w:name="_Toc5828"/>
      <w:bookmarkStart w:id="49" w:name="_Toc8999"/>
      <w:r>
        <w:rPr>
          <w:rFonts w:hint="eastAsia" w:ascii="仿宋_GB2312" w:hAnsi="Times New Roman" w:eastAsia="仿宋_GB2312" w:cs="Times New Roman"/>
          <w:b/>
          <w:bCs/>
          <w:sz w:val="24"/>
          <w:szCs w:val="24"/>
        </w:rPr>
        <w:t>（三）项目产出情况</w:t>
      </w:r>
      <w:bookmarkEnd w:id="46"/>
      <w:bookmarkEnd w:id="47"/>
      <w:r>
        <w:rPr>
          <w:rFonts w:hint="eastAsia" w:ascii="仿宋_GB2312" w:hAnsi="Times New Roman" w:eastAsia="仿宋_GB2312" w:cs="Times New Roman"/>
          <w:b/>
          <w:bCs/>
          <w:sz w:val="24"/>
          <w:szCs w:val="24"/>
        </w:rPr>
        <w:t>（</w:t>
      </w:r>
      <w:r>
        <w:rPr>
          <w:rFonts w:hint="eastAsia" w:ascii="仿宋_GB2312" w:hAnsi="Times New Roman" w:eastAsia="仿宋_GB2312" w:cs="Times New Roman"/>
          <w:b/>
          <w:bCs/>
          <w:sz w:val="24"/>
          <w:szCs w:val="24"/>
          <w:lang w:val="en-US" w:eastAsia="zh-CN"/>
        </w:rPr>
        <w:t>分值25</w:t>
      </w:r>
      <w:r>
        <w:rPr>
          <w:rFonts w:hint="eastAsia" w:ascii="仿宋_GB2312" w:hAnsi="Times New Roman" w:eastAsia="仿宋_GB2312" w:cs="Times New Roman"/>
          <w:b/>
          <w:bCs/>
          <w:sz w:val="24"/>
          <w:szCs w:val="24"/>
        </w:rPr>
        <w:t>分，得分</w:t>
      </w:r>
      <w:r>
        <w:rPr>
          <w:rFonts w:hint="eastAsia" w:ascii="仿宋_GB2312" w:hAnsi="Times New Roman" w:eastAsia="仿宋_GB2312" w:cs="Times New Roman"/>
          <w:b/>
          <w:bCs/>
          <w:sz w:val="24"/>
          <w:szCs w:val="24"/>
          <w:lang w:val="en-US" w:eastAsia="zh-CN"/>
        </w:rPr>
        <w:t>18.56分</w:t>
      </w:r>
      <w:r>
        <w:rPr>
          <w:rFonts w:hint="eastAsia" w:ascii="仿宋_GB2312" w:hAnsi="Times New Roman" w:eastAsia="仿宋_GB2312" w:cs="Times New Roman"/>
          <w:b/>
          <w:bCs/>
          <w:sz w:val="24"/>
          <w:szCs w:val="24"/>
        </w:rPr>
        <w:t>）</w:t>
      </w:r>
      <w:bookmarkEnd w:id="48"/>
      <w:bookmarkEnd w:id="49"/>
    </w:p>
    <w:p w14:paraId="673A45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1.产出数量（</w:t>
      </w:r>
      <w:r>
        <w:rPr>
          <w:rFonts w:hint="eastAsia" w:ascii="仿宋_GB2312" w:hAnsi="Times New Roman" w:eastAsia="仿宋_GB2312" w:cs="Times New Roman"/>
          <w:sz w:val="24"/>
          <w:szCs w:val="24"/>
          <w:lang w:val="en-US" w:eastAsia="zh-CN"/>
        </w:rPr>
        <w:t>分值14</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12</w:t>
      </w:r>
      <w:r>
        <w:rPr>
          <w:rFonts w:hint="eastAsia" w:ascii="仿宋_GB2312" w:hAnsi="Times New Roman" w:eastAsia="仿宋_GB2312" w:cs="Times New Roman"/>
          <w:sz w:val="24"/>
          <w:szCs w:val="24"/>
          <w:lang w:val="zh-CN" w:eastAsia="zh-CN"/>
        </w:rPr>
        <w:t>分）</w:t>
      </w:r>
    </w:p>
    <w:p w14:paraId="7BB51A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（1）</w:t>
      </w:r>
      <w:r>
        <w:rPr>
          <w:rFonts w:hint="eastAsia" w:ascii="仿宋_GB2312" w:hAnsi="Times New Roman" w:eastAsia="仿宋_GB2312" w:cs="Times New Roman"/>
          <w:sz w:val="24"/>
          <w:szCs w:val="24"/>
          <w:lang w:val="en-US" w:eastAsia="zh-CN"/>
        </w:rPr>
        <w:t>新增运力增长</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分值6</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6</w:t>
      </w:r>
      <w:r>
        <w:rPr>
          <w:rFonts w:hint="eastAsia" w:ascii="仿宋_GB2312" w:hAnsi="Times New Roman" w:eastAsia="仿宋_GB2312" w:cs="Times New Roman"/>
          <w:sz w:val="24"/>
          <w:szCs w:val="24"/>
          <w:lang w:val="zh-CN" w:eastAsia="zh-CN"/>
        </w:rPr>
        <w:t>分）</w:t>
      </w:r>
    </w:p>
    <w:p w14:paraId="427FEC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本指标的评分根据</w:t>
      </w:r>
      <w:r>
        <w:rPr>
          <w:rFonts w:hint="eastAsia" w:ascii="仿宋_GB2312" w:hAnsi="Times New Roman" w:eastAsia="仿宋_GB2312" w:cs="Times New Roman"/>
          <w:sz w:val="24"/>
          <w:szCs w:val="24"/>
          <w:lang w:val="en-US" w:eastAsia="zh-CN"/>
        </w:rPr>
        <w:t>新增运力增长情况从补贴的企业数量、船舶数量、总运力变化三个维度</w:t>
      </w:r>
      <w:r>
        <w:rPr>
          <w:rFonts w:hint="eastAsia" w:ascii="仿宋_GB2312" w:hAnsi="Times New Roman" w:eastAsia="仿宋_GB2312" w:cs="Times New Roman"/>
          <w:sz w:val="24"/>
          <w:szCs w:val="24"/>
          <w:lang w:val="zh-CN" w:eastAsia="zh-CN"/>
        </w:rPr>
        <w:t>进行考核。</w:t>
      </w:r>
      <w:r>
        <w:rPr>
          <w:rFonts w:hint="eastAsia" w:ascii="仿宋_GB2312" w:hAnsi="Times New Roman" w:eastAsia="仿宋_GB2312" w:cs="Times New Roman"/>
          <w:sz w:val="24"/>
          <w:szCs w:val="24"/>
          <w:lang w:val="en-US" w:eastAsia="zh-CN"/>
        </w:rPr>
        <w:t>如表4、表5所示，本轮石狮市新增运力补贴涉及13家企业18艘船舶750567载重吨，较上一轮补贴的8家企业9艘船舶276994载重吨，从企业数量、船舶数量和载重吨量上均有所增长</w:t>
      </w:r>
      <w:r>
        <w:rPr>
          <w:rFonts w:hint="eastAsia" w:ascii="仿宋_GB2312" w:hAnsi="Times New Roman" w:eastAsia="仿宋_GB2312" w:cs="Times New Roman"/>
          <w:sz w:val="24"/>
          <w:szCs w:val="24"/>
          <w:lang w:val="zh-CN" w:eastAsia="zh-CN"/>
        </w:rPr>
        <w:t>。该项指标</w:t>
      </w:r>
      <w:r>
        <w:rPr>
          <w:rFonts w:hint="eastAsia" w:ascii="仿宋_GB2312" w:hAnsi="Times New Roman" w:eastAsia="仿宋_GB2312" w:cs="Times New Roman"/>
          <w:sz w:val="24"/>
          <w:szCs w:val="24"/>
          <w:lang w:val="en-US" w:eastAsia="zh-CN"/>
        </w:rPr>
        <w:t>可得6</w:t>
      </w:r>
      <w:r>
        <w:rPr>
          <w:rFonts w:hint="eastAsia" w:ascii="仿宋_GB2312" w:hAnsi="Times New Roman" w:eastAsia="仿宋_GB2312" w:cs="Times New Roman"/>
          <w:sz w:val="24"/>
          <w:szCs w:val="24"/>
          <w:lang w:val="zh-CN" w:eastAsia="zh-CN"/>
        </w:rPr>
        <w:t>分。</w:t>
      </w:r>
    </w:p>
    <w:p w14:paraId="68C1D086">
      <w:pPr>
        <w:pStyle w:val="8"/>
        <w:jc w:val="center"/>
        <w:rPr>
          <w:rFonts w:hint="default"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zh-CN" w:eastAsia="zh-CN" w:bidi="ar-SA"/>
        </w:rPr>
        <w:t>表</w:t>
      </w:r>
      <w:r>
        <w:rPr>
          <w:rFonts w:hint="eastAsia" w:ascii="仿宋_GB2312" w:hAnsi="Times New Roman" w:eastAsia="仿宋_GB2312" w:cs="Times New Roman"/>
          <w:b/>
          <w:bCs/>
          <w:kern w:val="2"/>
          <w:sz w:val="24"/>
          <w:szCs w:val="24"/>
          <w:lang w:val="en-US" w:eastAsia="zh-CN" w:bidi="ar-SA"/>
        </w:rPr>
        <w:t>4  石狮市2021年申报补贴船舶新增运力与贴息情况</w:t>
      </w:r>
    </w:p>
    <w:tbl>
      <w:tblPr>
        <w:tblStyle w:val="15"/>
        <w:tblW w:w="7600" w:type="dxa"/>
        <w:jc w:val="center"/>
        <w:tblLayout w:type="fixed"/>
        <w:tblCellMar>
          <w:top w:w="0" w:type="dxa"/>
          <w:left w:w="108" w:type="dxa"/>
          <w:bottom w:w="0" w:type="dxa"/>
          <w:right w:w="108" w:type="dxa"/>
        </w:tblCellMar>
      </w:tblPr>
      <w:tblGrid>
        <w:gridCol w:w="1210"/>
        <w:gridCol w:w="1580"/>
        <w:gridCol w:w="1030"/>
        <w:gridCol w:w="1510"/>
        <w:gridCol w:w="880"/>
        <w:gridCol w:w="1390"/>
      </w:tblGrid>
      <w:tr w14:paraId="075C9A39">
        <w:tblPrEx>
          <w:tblCellMar>
            <w:top w:w="0" w:type="dxa"/>
            <w:left w:w="108" w:type="dxa"/>
            <w:bottom w:w="0" w:type="dxa"/>
            <w:right w:w="108" w:type="dxa"/>
          </w:tblCellMar>
        </w:tblPrEx>
        <w:trPr>
          <w:trHeight w:val="856" w:hRule="atLeast"/>
          <w:tblHeader/>
          <w:jc w:val="center"/>
        </w:trPr>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93CE0E">
            <w:pPr>
              <w:pStyle w:val="6"/>
              <w:numPr>
                <w:ilvl w:val="0"/>
                <w:numId w:val="0"/>
              </w:numPr>
              <w:tabs>
                <w:tab w:val="clear" w:pos="2040"/>
              </w:tabs>
              <w:jc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船名</w:t>
            </w:r>
          </w:p>
        </w:tc>
        <w:tc>
          <w:tcPr>
            <w:tcW w:w="1580" w:type="dxa"/>
            <w:tcBorders>
              <w:top w:val="single" w:color="auto" w:sz="4" w:space="0"/>
              <w:left w:val="nil"/>
              <w:bottom w:val="single" w:color="auto" w:sz="4" w:space="0"/>
              <w:right w:val="single" w:color="auto" w:sz="4" w:space="0"/>
            </w:tcBorders>
            <w:shd w:val="clear" w:color="auto" w:fill="auto"/>
            <w:noWrap/>
            <w:vAlign w:val="center"/>
          </w:tcPr>
          <w:p w14:paraId="04DA6124">
            <w:pPr>
              <w:pStyle w:val="6"/>
              <w:numPr>
                <w:ilvl w:val="0"/>
                <w:numId w:val="0"/>
              </w:numPr>
              <w:tabs>
                <w:tab w:val="clear" w:pos="2040"/>
              </w:tabs>
              <w:jc w:val="center"/>
              <w:rPr>
                <w:rFonts w:hint="eastAsia"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所属企业</w:t>
            </w:r>
          </w:p>
          <w:p w14:paraId="6644812B">
            <w:pPr>
              <w:pStyle w:val="6"/>
              <w:numPr>
                <w:ilvl w:val="0"/>
                <w:numId w:val="0"/>
              </w:numPr>
              <w:tabs>
                <w:tab w:val="clear" w:pos="2040"/>
              </w:tabs>
              <w:jc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（简称）</w:t>
            </w:r>
          </w:p>
        </w:tc>
        <w:tc>
          <w:tcPr>
            <w:tcW w:w="1030" w:type="dxa"/>
            <w:tcBorders>
              <w:top w:val="single" w:color="auto" w:sz="4" w:space="0"/>
              <w:left w:val="nil"/>
              <w:bottom w:val="single" w:color="auto" w:sz="4" w:space="0"/>
              <w:right w:val="single" w:color="auto" w:sz="4" w:space="0"/>
            </w:tcBorders>
            <w:shd w:val="clear" w:color="auto" w:fill="auto"/>
            <w:noWrap/>
            <w:vAlign w:val="center"/>
          </w:tcPr>
          <w:p w14:paraId="364BED23">
            <w:pPr>
              <w:pStyle w:val="6"/>
              <w:numPr>
                <w:ilvl w:val="0"/>
                <w:numId w:val="0"/>
              </w:numPr>
              <w:tabs>
                <w:tab w:val="clear" w:pos="2040"/>
              </w:tabs>
              <w:jc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载重吨</w:t>
            </w:r>
          </w:p>
        </w:tc>
        <w:tc>
          <w:tcPr>
            <w:tcW w:w="1510" w:type="dxa"/>
            <w:tcBorders>
              <w:top w:val="single" w:color="auto" w:sz="4" w:space="0"/>
              <w:left w:val="nil"/>
              <w:bottom w:val="single" w:color="auto" w:sz="4" w:space="0"/>
              <w:right w:val="single" w:color="auto" w:sz="4" w:space="0"/>
            </w:tcBorders>
            <w:shd w:val="clear" w:color="auto" w:fill="auto"/>
            <w:vAlign w:val="center"/>
          </w:tcPr>
          <w:p w14:paraId="38458AB5">
            <w:pPr>
              <w:pStyle w:val="6"/>
              <w:numPr>
                <w:ilvl w:val="0"/>
                <w:numId w:val="0"/>
              </w:numPr>
              <w:tabs>
                <w:tab w:val="clear" w:pos="2040"/>
              </w:tabs>
              <w:jc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建成时间</w:t>
            </w:r>
          </w:p>
        </w:tc>
        <w:tc>
          <w:tcPr>
            <w:tcW w:w="880" w:type="dxa"/>
            <w:tcBorders>
              <w:top w:val="single" w:color="auto" w:sz="4" w:space="0"/>
              <w:left w:val="nil"/>
              <w:bottom w:val="single" w:color="auto" w:sz="4" w:space="0"/>
              <w:right w:val="single" w:color="auto" w:sz="4" w:space="0"/>
            </w:tcBorders>
            <w:shd w:val="clear" w:color="auto" w:fill="auto"/>
            <w:vAlign w:val="center"/>
          </w:tcPr>
          <w:p w14:paraId="5937D98B">
            <w:pPr>
              <w:pStyle w:val="6"/>
              <w:numPr>
                <w:ilvl w:val="0"/>
                <w:numId w:val="0"/>
              </w:numPr>
              <w:tabs>
                <w:tab w:val="clear" w:pos="2040"/>
              </w:tabs>
              <w:jc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是否融资租赁</w:t>
            </w:r>
          </w:p>
        </w:tc>
        <w:tc>
          <w:tcPr>
            <w:tcW w:w="1390" w:type="dxa"/>
            <w:tcBorders>
              <w:top w:val="single" w:color="auto" w:sz="4" w:space="0"/>
              <w:left w:val="nil"/>
              <w:bottom w:val="single" w:color="auto" w:sz="4" w:space="0"/>
              <w:right w:val="single" w:color="auto" w:sz="4" w:space="0"/>
            </w:tcBorders>
            <w:shd w:val="clear" w:color="auto" w:fill="auto"/>
            <w:noWrap/>
            <w:vAlign w:val="center"/>
          </w:tcPr>
          <w:p w14:paraId="32CD0C7D">
            <w:pPr>
              <w:pStyle w:val="6"/>
              <w:numPr>
                <w:ilvl w:val="0"/>
                <w:numId w:val="0"/>
              </w:numPr>
              <w:tabs>
                <w:tab w:val="clear" w:pos="2040"/>
              </w:tabs>
              <w:jc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补贴类型</w:t>
            </w:r>
          </w:p>
        </w:tc>
      </w:tr>
      <w:tr w14:paraId="190D6136">
        <w:tblPrEx>
          <w:tblCellMar>
            <w:top w:w="0" w:type="dxa"/>
            <w:left w:w="108" w:type="dxa"/>
            <w:bottom w:w="0" w:type="dxa"/>
            <w:right w:w="108" w:type="dxa"/>
          </w:tblCellMar>
        </w:tblPrEx>
        <w:trPr>
          <w:trHeight w:val="270" w:hRule="atLeast"/>
          <w:jc w:val="center"/>
        </w:trPr>
        <w:tc>
          <w:tcPr>
            <w:tcW w:w="1210" w:type="dxa"/>
            <w:tcBorders>
              <w:top w:val="nil"/>
              <w:left w:val="single" w:color="auto" w:sz="4" w:space="0"/>
              <w:bottom w:val="single" w:color="auto" w:sz="4" w:space="0"/>
              <w:right w:val="single" w:color="auto" w:sz="4" w:space="0"/>
            </w:tcBorders>
            <w:shd w:val="clear" w:color="auto" w:fill="auto"/>
            <w:noWrap/>
            <w:vAlign w:val="center"/>
          </w:tcPr>
          <w:p w14:paraId="4A949BAE">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新永昌19</w:t>
            </w:r>
          </w:p>
        </w:tc>
        <w:tc>
          <w:tcPr>
            <w:tcW w:w="1580" w:type="dxa"/>
            <w:tcBorders>
              <w:top w:val="nil"/>
              <w:left w:val="single" w:color="auto" w:sz="4" w:space="0"/>
              <w:bottom w:val="single" w:color="auto" w:sz="4" w:space="0"/>
              <w:right w:val="single" w:color="auto" w:sz="4" w:space="0"/>
            </w:tcBorders>
            <w:shd w:val="clear" w:color="auto" w:fill="auto"/>
            <w:noWrap/>
            <w:vAlign w:val="center"/>
          </w:tcPr>
          <w:p w14:paraId="09B98B8A">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永益船运</w:t>
            </w:r>
          </w:p>
        </w:tc>
        <w:tc>
          <w:tcPr>
            <w:tcW w:w="1030" w:type="dxa"/>
            <w:tcBorders>
              <w:top w:val="nil"/>
              <w:left w:val="single" w:color="auto" w:sz="4" w:space="0"/>
              <w:bottom w:val="single" w:color="auto" w:sz="4" w:space="0"/>
              <w:right w:val="single" w:color="auto" w:sz="4" w:space="0"/>
            </w:tcBorders>
            <w:shd w:val="clear" w:color="auto" w:fill="auto"/>
            <w:noWrap/>
            <w:vAlign w:val="center"/>
          </w:tcPr>
          <w:p w14:paraId="38E0C702">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35056</w:t>
            </w:r>
          </w:p>
        </w:tc>
        <w:tc>
          <w:tcPr>
            <w:tcW w:w="1510" w:type="dxa"/>
            <w:tcBorders>
              <w:top w:val="nil"/>
              <w:left w:val="nil"/>
              <w:bottom w:val="single" w:color="auto" w:sz="4" w:space="0"/>
              <w:right w:val="single" w:color="auto" w:sz="4" w:space="0"/>
            </w:tcBorders>
            <w:shd w:val="clear" w:color="auto" w:fill="auto"/>
            <w:noWrap/>
            <w:vAlign w:val="center"/>
          </w:tcPr>
          <w:p w14:paraId="691BBF17">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2021.11.9</w:t>
            </w:r>
          </w:p>
        </w:tc>
        <w:tc>
          <w:tcPr>
            <w:tcW w:w="880" w:type="dxa"/>
            <w:tcBorders>
              <w:top w:val="nil"/>
              <w:left w:val="single" w:color="auto" w:sz="4" w:space="0"/>
              <w:bottom w:val="single" w:color="auto" w:sz="4" w:space="0"/>
              <w:right w:val="single" w:color="auto" w:sz="4" w:space="0"/>
            </w:tcBorders>
            <w:shd w:val="clear" w:color="auto" w:fill="auto"/>
            <w:noWrap/>
            <w:vAlign w:val="center"/>
          </w:tcPr>
          <w:p w14:paraId="389AB1DF">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否</w:t>
            </w:r>
          </w:p>
        </w:tc>
        <w:tc>
          <w:tcPr>
            <w:tcW w:w="1390" w:type="dxa"/>
            <w:tcBorders>
              <w:top w:val="nil"/>
              <w:left w:val="single" w:color="auto" w:sz="4" w:space="0"/>
              <w:bottom w:val="single" w:color="auto" w:sz="4" w:space="0"/>
              <w:right w:val="single" w:color="auto" w:sz="4" w:space="0"/>
            </w:tcBorders>
            <w:shd w:val="clear" w:color="auto" w:fill="auto"/>
            <w:noWrap/>
            <w:vAlign w:val="center"/>
          </w:tcPr>
          <w:p w14:paraId="6250DBC3">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新增、贴息</w:t>
            </w:r>
          </w:p>
        </w:tc>
      </w:tr>
      <w:tr w14:paraId="32FDB9E9">
        <w:tblPrEx>
          <w:tblCellMar>
            <w:top w:w="0" w:type="dxa"/>
            <w:left w:w="108" w:type="dxa"/>
            <w:bottom w:w="0" w:type="dxa"/>
            <w:right w:w="108" w:type="dxa"/>
          </w:tblCellMar>
        </w:tblPrEx>
        <w:trPr>
          <w:trHeight w:val="270" w:hRule="atLeast"/>
          <w:jc w:val="center"/>
        </w:trPr>
        <w:tc>
          <w:tcPr>
            <w:tcW w:w="1210" w:type="dxa"/>
            <w:tcBorders>
              <w:top w:val="nil"/>
              <w:left w:val="single" w:color="auto" w:sz="4" w:space="0"/>
              <w:bottom w:val="single" w:color="auto" w:sz="4" w:space="0"/>
              <w:right w:val="single" w:color="auto" w:sz="4" w:space="0"/>
            </w:tcBorders>
            <w:shd w:val="clear" w:color="auto" w:fill="auto"/>
            <w:noWrap/>
            <w:vAlign w:val="center"/>
          </w:tcPr>
          <w:p w14:paraId="2D5888CA">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鼎鑫105</w:t>
            </w:r>
          </w:p>
        </w:tc>
        <w:tc>
          <w:tcPr>
            <w:tcW w:w="1580" w:type="dxa"/>
            <w:tcBorders>
              <w:top w:val="nil"/>
              <w:left w:val="single" w:color="auto" w:sz="4" w:space="0"/>
              <w:bottom w:val="single" w:color="auto" w:sz="4" w:space="0"/>
              <w:right w:val="single" w:color="auto" w:sz="4" w:space="0"/>
            </w:tcBorders>
            <w:shd w:val="clear" w:color="auto" w:fill="auto"/>
            <w:noWrap/>
            <w:vAlign w:val="center"/>
          </w:tcPr>
          <w:p w14:paraId="4B730232">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鼎盛船务</w:t>
            </w:r>
          </w:p>
        </w:tc>
        <w:tc>
          <w:tcPr>
            <w:tcW w:w="1030" w:type="dxa"/>
            <w:tcBorders>
              <w:top w:val="nil"/>
              <w:left w:val="single" w:color="auto" w:sz="4" w:space="0"/>
              <w:bottom w:val="single" w:color="auto" w:sz="4" w:space="0"/>
              <w:right w:val="single" w:color="auto" w:sz="4" w:space="0"/>
            </w:tcBorders>
            <w:shd w:val="clear" w:color="auto" w:fill="auto"/>
            <w:noWrap/>
            <w:vAlign w:val="center"/>
          </w:tcPr>
          <w:p w14:paraId="503B3981">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54363</w:t>
            </w:r>
          </w:p>
        </w:tc>
        <w:tc>
          <w:tcPr>
            <w:tcW w:w="1510" w:type="dxa"/>
            <w:tcBorders>
              <w:top w:val="nil"/>
              <w:left w:val="nil"/>
              <w:bottom w:val="single" w:color="auto" w:sz="4" w:space="0"/>
              <w:right w:val="single" w:color="auto" w:sz="4" w:space="0"/>
            </w:tcBorders>
            <w:shd w:val="clear" w:color="auto" w:fill="auto"/>
            <w:noWrap/>
            <w:vAlign w:val="center"/>
          </w:tcPr>
          <w:p w14:paraId="39349734">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2021.7.28</w:t>
            </w:r>
          </w:p>
        </w:tc>
        <w:tc>
          <w:tcPr>
            <w:tcW w:w="880" w:type="dxa"/>
            <w:tcBorders>
              <w:top w:val="nil"/>
              <w:left w:val="single" w:color="auto" w:sz="4" w:space="0"/>
              <w:bottom w:val="single" w:color="auto" w:sz="4" w:space="0"/>
              <w:right w:val="single" w:color="auto" w:sz="4" w:space="0"/>
            </w:tcBorders>
            <w:shd w:val="clear" w:color="auto" w:fill="auto"/>
            <w:noWrap/>
            <w:vAlign w:val="center"/>
          </w:tcPr>
          <w:p w14:paraId="26AB3447">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否</w:t>
            </w:r>
          </w:p>
        </w:tc>
        <w:tc>
          <w:tcPr>
            <w:tcW w:w="1390" w:type="dxa"/>
            <w:tcBorders>
              <w:top w:val="nil"/>
              <w:left w:val="single" w:color="auto" w:sz="4" w:space="0"/>
              <w:bottom w:val="single" w:color="auto" w:sz="4" w:space="0"/>
              <w:right w:val="single" w:color="auto" w:sz="4" w:space="0"/>
            </w:tcBorders>
            <w:shd w:val="clear" w:color="auto" w:fill="auto"/>
            <w:noWrap/>
            <w:vAlign w:val="center"/>
          </w:tcPr>
          <w:p w14:paraId="43F6FA48">
            <w:pPr>
              <w:pStyle w:val="6"/>
              <w:numPr>
                <w:ilvl w:val="0"/>
                <w:numId w:val="0"/>
              </w:numPr>
              <w:tabs>
                <w:tab w:val="clear" w:pos="2040"/>
              </w:tabs>
              <w:ind w:left="0" w:leftChars="0" w:firstLine="0" w:firstLineChars="0"/>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新增、贴息</w:t>
            </w:r>
          </w:p>
        </w:tc>
      </w:tr>
      <w:tr w14:paraId="55AE0F51">
        <w:tblPrEx>
          <w:tblCellMar>
            <w:top w:w="0" w:type="dxa"/>
            <w:left w:w="108" w:type="dxa"/>
            <w:bottom w:w="0" w:type="dxa"/>
            <w:right w:w="108" w:type="dxa"/>
          </w:tblCellMar>
        </w:tblPrEx>
        <w:trPr>
          <w:trHeight w:val="270" w:hRule="atLeast"/>
          <w:jc w:val="center"/>
        </w:trPr>
        <w:tc>
          <w:tcPr>
            <w:tcW w:w="1210" w:type="dxa"/>
            <w:tcBorders>
              <w:top w:val="nil"/>
              <w:left w:val="single" w:color="auto" w:sz="4" w:space="0"/>
              <w:bottom w:val="single" w:color="auto" w:sz="4" w:space="0"/>
              <w:right w:val="single" w:color="auto" w:sz="4" w:space="0"/>
            </w:tcBorders>
            <w:shd w:val="clear" w:color="auto" w:fill="auto"/>
            <w:noWrap/>
            <w:vAlign w:val="center"/>
          </w:tcPr>
          <w:p w14:paraId="29A6DAB9">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鼎鑫106</w:t>
            </w:r>
          </w:p>
        </w:tc>
        <w:tc>
          <w:tcPr>
            <w:tcW w:w="1580" w:type="dxa"/>
            <w:vMerge w:val="restart"/>
            <w:tcBorders>
              <w:top w:val="nil"/>
              <w:left w:val="single" w:color="auto" w:sz="4" w:space="0"/>
              <w:right w:val="single" w:color="auto" w:sz="4" w:space="0"/>
            </w:tcBorders>
            <w:shd w:val="clear" w:color="auto" w:fill="auto"/>
            <w:noWrap/>
            <w:vAlign w:val="center"/>
          </w:tcPr>
          <w:p w14:paraId="46368E0A">
            <w:pPr>
              <w:numPr>
                <w:ilvl w:val="0"/>
                <w:numId w:val="0"/>
              </w:numPr>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鼎鑫海运</w:t>
            </w:r>
          </w:p>
        </w:tc>
        <w:tc>
          <w:tcPr>
            <w:tcW w:w="1030" w:type="dxa"/>
            <w:tcBorders>
              <w:top w:val="nil"/>
              <w:left w:val="single" w:color="auto" w:sz="4" w:space="0"/>
              <w:bottom w:val="single" w:color="auto" w:sz="4" w:space="0"/>
              <w:right w:val="single" w:color="auto" w:sz="4" w:space="0"/>
            </w:tcBorders>
            <w:shd w:val="clear" w:color="auto" w:fill="auto"/>
            <w:noWrap/>
            <w:vAlign w:val="center"/>
          </w:tcPr>
          <w:p w14:paraId="43574D2D">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宋体" w:hAnsi="宋体" w:eastAsia="宋体" w:cs="宋体"/>
                <w:i w:val="0"/>
                <w:iCs w:val="0"/>
                <w:color w:val="000000"/>
                <w:kern w:val="0"/>
                <w:sz w:val="22"/>
                <w:szCs w:val="22"/>
                <w:u w:val="none"/>
                <w:lang w:val="en-US" w:eastAsia="zh-CN" w:bidi="ar"/>
              </w:rPr>
              <w:t>54347</w:t>
            </w:r>
          </w:p>
        </w:tc>
        <w:tc>
          <w:tcPr>
            <w:tcW w:w="1510" w:type="dxa"/>
            <w:tcBorders>
              <w:top w:val="nil"/>
              <w:left w:val="nil"/>
              <w:bottom w:val="single" w:color="auto" w:sz="4" w:space="0"/>
              <w:right w:val="single" w:color="auto" w:sz="4" w:space="0"/>
            </w:tcBorders>
            <w:shd w:val="clear" w:color="auto" w:fill="auto"/>
            <w:noWrap/>
            <w:vAlign w:val="center"/>
          </w:tcPr>
          <w:p w14:paraId="317142E9">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2021.9.29</w:t>
            </w:r>
          </w:p>
        </w:tc>
        <w:tc>
          <w:tcPr>
            <w:tcW w:w="880" w:type="dxa"/>
            <w:tcBorders>
              <w:top w:val="nil"/>
              <w:left w:val="single" w:color="auto" w:sz="4" w:space="0"/>
              <w:bottom w:val="single" w:color="auto" w:sz="4" w:space="0"/>
              <w:right w:val="single" w:color="auto" w:sz="4" w:space="0"/>
            </w:tcBorders>
            <w:shd w:val="clear" w:color="auto" w:fill="auto"/>
            <w:noWrap/>
            <w:vAlign w:val="center"/>
          </w:tcPr>
          <w:p w14:paraId="26F95BAE">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否</w:t>
            </w:r>
          </w:p>
        </w:tc>
        <w:tc>
          <w:tcPr>
            <w:tcW w:w="1390" w:type="dxa"/>
            <w:tcBorders>
              <w:top w:val="nil"/>
              <w:left w:val="single" w:color="auto" w:sz="4" w:space="0"/>
              <w:bottom w:val="single" w:color="auto" w:sz="4" w:space="0"/>
              <w:right w:val="single" w:color="auto" w:sz="4" w:space="0"/>
            </w:tcBorders>
            <w:shd w:val="clear" w:color="auto" w:fill="auto"/>
            <w:noWrap/>
            <w:vAlign w:val="center"/>
          </w:tcPr>
          <w:p w14:paraId="0D93F628">
            <w:pPr>
              <w:pStyle w:val="6"/>
              <w:numPr>
                <w:ilvl w:val="0"/>
                <w:numId w:val="0"/>
              </w:numPr>
              <w:tabs>
                <w:tab w:val="clear" w:pos="2040"/>
              </w:tabs>
              <w:ind w:left="0" w:leftChars="0" w:firstLine="0" w:firstLineChars="0"/>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新增、贴息</w:t>
            </w:r>
          </w:p>
        </w:tc>
      </w:tr>
      <w:tr w14:paraId="4E01E7AF">
        <w:tblPrEx>
          <w:tblCellMar>
            <w:top w:w="0" w:type="dxa"/>
            <w:left w:w="108" w:type="dxa"/>
            <w:bottom w:w="0" w:type="dxa"/>
            <w:right w:w="108" w:type="dxa"/>
          </w:tblCellMar>
        </w:tblPrEx>
        <w:trPr>
          <w:trHeight w:val="270" w:hRule="atLeast"/>
          <w:jc w:val="center"/>
        </w:trPr>
        <w:tc>
          <w:tcPr>
            <w:tcW w:w="1210" w:type="dxa"/>
            <w:tcBorders>
              <w:top w:val="nil"/>
              <w:left w:val="single" w:color="auto" w:sz="4" w:space="0"/>
              <w:bottom w:val="single" w:color="auto" w:sz="4" w:space="0"/>
              <w:right w:val="single" w:color="auto" w:sz="4" w:space="0"/>
            </w:tcBorders>
            <w:shd w:val="clear" w:color="auto" w:fill="auto"/>
            <w:noWrap/>
            <w:vAlign w:val="center"/>
          </w:tcPr>
          <w:p w14:paraId="19DAA913">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鼎鑫107</w:t>
            </w:r>
          </w:p>
        </w:tc>
        <w:tc>
          <w:tcPr>
            <w:tcW w:w="1580" w:type="dxa"/>
            <w:vMerge w:val="continue"/>
            <w:tcBorders>
              <w:left w:val="single" w:color="auto" w:sz="4" w:space="0"/>
              <w:bottom w:val="single" w:color="auto" w:sz="4" w:space="0"/>
              <w:right w:val="single" w:color="auto" w:sz="4" w:space="0"/>
            </w:tcBorders>
            <w:shd w:val="clear" w:color="auto" w:fill="auto"/>
            <w:noWrap/>
            <w:vAlign w:val="center"/>
          </w:tcPr>
          <w:p w14:paraId="5A952CED">
            <w:pPr>
              <w:numPr>
                <w:ilvl w:val="0"/>
                <w:numId w:val="0"/>
              </w:numPr>
              <w:ind w:left="0" w:leftChars="0" w:firstLine="0" w:firstLineChars="0"/>
              <w:jc w:val="center"/>
              <w:rPr>
                <w:rFonts w:hint="eastAsia" w:ascii="仿宋" w:hAnsi="仿宋" w:eastAsia="仿宋" w:cs="仿宋"/>
                <w:b w:val="0"/>
                <w:bCs w:val="0"/>
                <w:kern w:val="2"/>
                <w:sz w:val="21"/>
                <w:szCs w:val="21"/>
                <w:vertAlign w:val="baseline"/>
                <w:lang w:val="en-US" w:eastAsia="zh-CN" w:bidi="ar-SA"/>
              </w:rPr>
            </w:pPr>
          </w:p>
        </w:tc>
        <w:tc>
          <w:tcPr>
            <w:tcW w:w="1030" w:type="dxa"/>
            <w:tcBorders>
              <w:top w:val="nil"/>
              <w:left w:val="single" w:color="auto" w:sz="4" w:space="0"/>
              <w:bottom w:val="single" w:color="auto" w:sz="4" w:space="0"/>
              <w:right w:val="single" w:color="auto" w:sz="4" w:space="0"/>
            </w:tcBorders>
            <w:shd w:val="clear" w:color="auto" w:fill="auto"/>
            <w:noWrap/>
            <w:vAlign w:val="center"/>
          </w:tcPr>
          <w:p w14:paraId="66C32BE4">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宋体" w:hAnsi="宋体" w:eastAsia="宋体" w:cs="宋体"/>
                <w:i w:val="0"/>
                <w:iCs w:val="0"/>
                <w:color w:val="000000"/>
                <w:kern w:val="0"/>
                <w:sz w:val="22"/>
                <w:szCs w:val="22"/>
                <w:u w:val="none"/>
                <w:lang w:val="en-US" w:eastAsia="zh-CN" w:bidi="ar"/>
              </w:rPr>
              <w:t>54641</w:t>
            </w:r>
          </w:p>
        </w:tc>
        <w:tc>
          <w:tcPr>
            <w:tcW w:w="1510" w:type="dxa"/>
            <w:tcBorders>
              <w:top w:val="nil"/>
              <w:left w:val="nil"/>
              <w:bottom w:val="single" w:color="auto" w:sz="4" w:space="0"/>
              <w:right w:val="single" w:color="auto" w:sz="4" w:space="0"/>
            </w:tcBorders>
            <w:shd w:val="clear" w:color="auto" w:fill="auto"/>
            <w:noWrap/>
            <w:vAlign w:val="center"/>
          </w:tcPr>
          <w:p w14:paraId="73C1EF8C">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2021.11.24</w:t>
            </w:r>
          </w:p>
        </w:tc>
        <w:tc>
          <w:tcPr>
            <w:tcW w:w="880" w:type="dxa"/>
            <w:tcBorders>
              <w:top w:val="nil"/>
              <w:left w:val="single" w:color="auto" w:sz="4" w:space="0"/>
              <w:bottom w:val="single" w:color="auto" w:sz="4" w:space="0"/>
              <w:right w:val="single" w:color="auto" w:sz="4" w:space="0"/>
            </w:tcBorders>
            <w:shd w:val="clear" w:color="auto" w:fill="auto"/>
            <w:noWrap/>
            <w:vAlign w:val="center"/>
          </w:tcPr>
          <w:p w14:paraId="045C3726">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否</w:t>
            </w:r>
          </w:p>
        </w:tc>
        <w:tc>
          <w:tcPr>
            <w:tcW w:w="1390" w:type="dxa"/>
            <w:tcBorders>
              <w:top w:val="nil"/>
              <w:left w:val="single" w:color="auto" w:sz="4" w:space="0"/>
              <w:bottom w:val="single" w:color="auto" w:sz="4" w:space="0"/>
              <w:right w:val="single" w:color="auto" w:sz="4" w:space="0"/>
            </w:tcBorders>
            <w:shd w:val="clear" w:color="auto" w:fill="auto"/>
            <w:noWrap/>
            <w:vAlign w:val="center"/>
          </w:tcPr>
          <w:p w14:paraId="631D2E80">
            <w:pPr>
              <w:pStyle w:val="6"/>
              <w:numPr>
                <w:ilvl w:val="0"/>
                <w:numId w:val="0"/>
              </w:numPr>
              <w:tabs>
                <w:tab w:val="clear" w:pos="2040"/>
              </w:tabs>
              <w:ind w:left="0" w:leftChars="0" w:firstLine="0" w:firstLineChars="0"/>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新增、贴息</w:t>
            </w:r>
          </w:p>
        </w:tc>
      </w:tr>
      <w:tr w14:paraId="4AAFB5C9">
        <w:tblPrEx>
          <w:tblCellMar>
            <w:top w:w="0" w:type="dxa"/>
            <w:left w:w="108" w:type="dxa"/>
            <w:bottom w:w="0" w:type="dxa"/>
            <w:right w:w="108" w:type="dxa"/>
          </w:tblCellMar>
        </w:tblPrEx>
        <w:trPr>
          <w:trHeight w:val="270" w:hRule="atLeast"/>
          <w:jc w:val="center"/>
        </w:trPr>
        <w:tc>
          <w:tcPr>
            <w:tcW w:w="1210" w:type="dxa"/>
            <w:tcBorders>
              <w:top w:val="nil"/>
              <w:left w:val="single" w:color="auto" w:sz="4" w:space="0"/>
              <w:bottom w:val="single" w:color="auto" w:sz="4" w:space="0"/>
              <w:right w:val="single" w:color="auto" w:sz="4" w:space="0"/>
            </w:tcBorders>
            <w:shd w:val="clear" w:color="auto" w:fill="auto"/>
            <w:noWrap/>
            <w:vAlign w:val="center"/>
          </w:tcPr>
          <w:p w14:paraId="01A7DB27">
            <w:pPr>
              <w:pStyle w:val="6"/>
              <w:numPr>
                <w:ilvl w:val="0"/>
                <w:numId w:val="0"/>
              </w:numPr>
              <w:tabs>
                <w:tab w:val="clear" w:pos="2040"/>
              </w:tabs>
              <w:ind w:left="0" w:leftChars="0" w:firstLine="0" w:firstLineChars="0"/>
              <w:jc w:val="cente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b w:val="0"/>
                <w:bCs w:val="0"/>
                <w:color w:val="000000" w:themeColor="text1"/>
                <w:kern w:val="2"/>
                <w:sz w:val="21"/>
                <w:szCs w:val="21"/>
                <w:vertAlign w:val="baseline"/>
                <w:lang w:val="zh-CN" w:eastAsia="zh-CN" w:bidi="ar-SA"/>
                <w14:textFill>
                  <w14:solidFill>
                    <w14:schemeClr w14:val="tx1"/>
                  </w14:solidFill>
                </w14:textFill>
              </w:rPr>
              <w:t>华信长荣</w:t>
            </w:r>
          </w:p>
        </w:tc>
        <w:tc>
          <w:tcPr>
            <w:tcW w:w="1580" w:type="dxa"/>
            <w:tcBorders>
              <w:top w:val="nil"/>
              <w:left w:val="single" w:color="auto" w:sz="4" w:space="0"/>
              <w:bottom w:val="single" w:color="auto" w:sz="4" w:space="0"/>
              <w:right w:val="single" w:color="auto" w:sz="4" w:space="0"/>
            </w:tcBorders>
            <w:shd w:val="clear" w:color="auto" w:fill="auto"/>
            <w:noWrap/>
            <w:vAlign w:val="center"/>
          </w:tcPr>
          <w:p w14:paraId="003BC40F">
            <w:pPr>
              <w:pStyle w:val="6"/>
              <w:numPr>
                <w:ilvl w:val="0"/>
                <w:numId w:val="0"/>
              </w:numPr>
              <w:tabs>
                <w:tab w:val="clear" w:pos="2040"/>
              </w:tabs>
              <w:ind w:left="0" w:leftChars="0" w:firstLine="0" w:firstLineChars="0"/>
              <w:jc w:val="cente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t>华信船运</w:t>
            </w:r>
          </w:p>
        </w:tc>
        <w:tc>
          <w:tcPr>
            <w:tcW w:w="1030" w:type="dxa"/>
            <w:tcBorders>
              <w:top w:val="nil"/>
              <w:left w:val="single" w:color="auto" w:sz="4" w:space="0"/>
              <w:bottom w:val="single" w:color="auto" w:sz="4" w:space="0"/>
              <w:right w:val="single" w:color="auto" w:sz="4" w:space="0"/>
            </w:tcBorders>
            <w:shd w:val="clear" w:color="auto" w:fill="auto"/>
            <w:noWrap/>
            <w:vAlign w:val="center"/>
          </w:tcPr>
          <w:p w14:paraId="2FA7433E">
            <w:pPr>
              <w:pStyle w:val="6"/>
              <w:numPr>
                <w:ilvl w:val="0"/>
                <w:numId w:val="0"/>
              </w:numPr>
              <w:tabs>
                <w:tab w:val="clear" w:pos="2040"/>
              </w:tabs>
              <w:ind w:left="0" w:leftChars="0" w:firstLine="0" w:firstLineChars="0"/>
              <w:jc w:val="cente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b w:val="0"/>
                <w:bCs w:val="0"/>
                <w:color w:val="000000" w:themeColor="text1"/>
                <w:kern w:val="2"/>
                <w:sz w:val="21"/>
                <w:szCs w:val="21"/>
                <w:vertAlign w:val="baseline"/>
                <w:lang w:val="zh-CN" w:eastAsia="zh-CN" w:bidi="ar-SA"/>
                <w14:textFill>
                  <w14:solidFill>
                    <w14:schemeClr w14:val="tx1"/>
                  </w14:solidFill>
                </w14:textFill>
              </w:rPr>
              <w:t>11216</w:t>
            </w:r>
          </w:p>
        </w:tc>
        <w:tc>
          <w:tcPr>
            <w:tcW w:w="1510" w:type="dxa"/>
            <w:tcBorders>
              <w:top w:val="nil"/>
              <w:left w:val="nil"/>
              <w:bottom w:val="single" w:color="auto" w:sz="4" w:space="0"/>
              <w:right w:val="single" w:color="auto" w:sz="4" w:space="0"/>
            </w:tcBorders>
            <w:shd w:val="clear" w:color="auto" w:fill="auto"/>
            <w:noWrap/>
            <w:vAlign w:val="center"/>
          </w:tcPr>
          <w:p w14:paraId="34D6F3E7">
            <w:pPr>
              <w:keepNext w:val="0"/>
              <w:keepLines w:val="0"/>
              <w:widowControl/>
              <w:suppressLineNumbers w:val="0"/>
              <w:jc w:val="center"/>
              <w:textAlignment w:val="cente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2022.3.22</w:t>
            </w:r>
          </w:p>
        </w:tc>
        <w:tc>
          <w:tcPr>
            <w:tcW w:w="880" w:type="dxa"/>
            <w:tcBorders>
              <w:top w:val="nil"/>
              <w:left w:val="single" w:color="auto" w:sz="4" w:space="0"/>
              <w:bottom w:val="single" w:color="auto" w:sz="4" w:space="0"/>
              <w:right w:val="single" w:color="auto" w:sz="4" w:space="0"/>
            </w:tcBorders>
            <w:shd w:val="clear" w:color="auto" w:fill="auto"/>
            <w:noWrap/>
            <w:vAlign w:val="center"/>
          </w:tcPr>
          <w:p w14:paraId="5CCC02C5">
            <w:pPr>
              <w:pStyle w:val="6"/>
              <w:numPr>
                <w:ilvl w:val="0"/>
                <w:numId w:val="0"/>
              </w:numPr>
              <w:tabs>
                <w:tab w:val="clear" w:pos="2040"/>
              </w:tabs>
              <w:ind w:left="0" w:leftChars="0" w:firstLine="0" w:firstLineChars="0"/>
              <w:jc w:val="cente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t>否</w:t>
            </w:r>
          </w:p>
        </w:tc>
        <w:tc>
          <w:tcPr>
            <w:tcW w:w="1390" w:type="dxa"/>
            <w:tcBorders>
              <w:top w:val="nil"/>
              <w:left w:val="single" w:color="auto" w:sz="4" w:space="0"/>
              <w:bottom w:val="single" w:color="auto" w:sz="4" w:space="0"/>
              <w:right w:val="single" w:color="auto" w:sz="4" w:space="0"/>
            </w:tcBorders>
            <w:shd w:val="clear" w:color="auto" w:fill="auto"/>
            <w:noWrap/>
            <w:vAlign w:val="center"/>
          </w:tcPr>
          <w:p w14:paraId="308BB04C">
            <w:pPr>
              <w:pStyle w:val="6"/>
              <w:numPr>
                <w:ilvl w:val="0"/>
                <w:numId w:val="0"/>
              </w:numPr>
              <w:tabs>
                <w:tab w:val="clear" w:pos="2040"/>
              </w:tabs>
              <w:ind w:left="0" w:leftChars="0" w:firstLine="0" w:firstLineChars="0"/>
              <w:jc w:val="cente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t>贴息</w:t>
            </w:r>
          </w:p>
        </w:tc>
      </w:tr>
      <w:tr w14:paraId="5F279274">
        <w:tblPrEx>
          <w:tblCellMar>
            <w:top w:w="0" w:type="dxa"/>
            <w:left w:w="108" w:type="dxa"/>
            <w:bottom w:w="0" w:type="dxa"/>
            <w:right w:w="108" w:type="dxa"/>
          </w:tblCellMar>
        </w:tblPrEx>
        <w:trPr>
          <w:trHeight w:val="270" w:hRule="atLeast"/>
          <w:jc w:val="center"/>
        </w:trPr>
        <w:tc>
          <w:tcPr>
            <w:tcW w:w="1210" w:type="dxa"/>
            <w:tcBorders>
              <w:top w:val="nil"/>
              <w:left w:val="single" w:color="auto" w:sz="4" w:space="0"/>
              <w:bottom w:val="single" w:color="auto" w:sz="4" w:space="0"/>
              <w:right w:val="single" w:color="auto" w:sz="4" w:space="0"/>
            </w:tcBorders>
            <w:shd w:val="clear" w:color="auto" w:fill="auto"/>
            <w:noWrap/>
            <w:vAlign w:val="center"/>
          </w:tcPr>
          <w:p w14:paraId="5E90F28C">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千祥和谐</w:t>
            </w:r>
          </w:p>
        </w:tc>
        <w:tc>
          <w:tcPr>
            <w:tcW w:w="1580" w:type="dxa"/>
            <w:tcBorders>
              <w:top w:val="nil"/>
              <w:left w:val="single" w:color="auto" w:sz="4" w:space="0"/>
              <w:bottom w:val="single" w:color="auto" w:sz="4" w:space="0"/>
              <w:right w:val="single" w:color="auto" w:sz="4" w:space="0"/>
            </w:tcBorders>
            <w:shd w:val="clear" w:color="auto" w:fill="auto"/>
            <w:noWrap/>
            <w:vAlign w:val="center"/>
          </w:tcPr>
          <w:p w14:paraId="0E458A14">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千祥船务</w:t>
            </w:r>
          </w:p>
        </w:tc>
        <w:tc>
          <w:tcPr>
            <w:tcW w:w="1030" w:type="dxa"/>
            <w:tcBorders>
              <w:top w:val="nil"/>
              <w:left w:val="single" w:color="auto" w:sz="4" w:space="0"/>
              <w:bottom w:val="single" w:color="auto" w:sz="4" w:space="0"/>
              <w:right w:val="single" w:color="auto" w:sz="4" w:space="0"/>
            </w:tcBorders>
            <w:shd w:val="clear" w:color="auto" w:fill="auto"/>
            <w:noWrap/>
            <w:vAlign w:val="center"/>
          </w:tcPr>
          <w:p w14:paraId="3DBDF7B9">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7491</w:t>
            </w:r>
          </w:p>
        </w:tc>
        <w:tc>
          <w:tcPr>
            <w:tcW w:w="1510" w:type="dxa"/>
            <w:tcBorders>
              <w:top w:val="nil"/>
              <w:left w:val="nil"/>
              <w:bottom w:val="single" w:color="auto" w:sz="4" w:space="0"/>
              <w:right w:val="single" w:color="auto" w:sz="4" w:space="0"/>
            </w:tcBorders>
            <w:shd w:val="clear" w:color="auto" w:fill="auto"/>
            <w:noWrap/>
            <w:vAlign w:val="center"/>
          </w:tcPr>
          <w:p w14:paraId="2878D124">
            <w:pPr>
              <w:pStyle w:val="6"/>
              <w:numPr>
                <w:ilvl w:val="0"/>
                <w:numId w:val="0"/>
              </w:numPr>
              <w:tabs>
                <w:tab w:val="clear" w:pos="2040"/>
              </w:tabs>
              <w:ind w:left="0" w:leftChars="0" w:firstLine="0" w:firstLineChars="0"/>
              <w:jc w:val="center"/>
              <w:rPr>
                <w:rFonts w:hint="eastAsia" w:ascii="宋体" w:hAnsi="宋体" w:eastAsia="宋体" w:cs="宋体"/>
                <w:i w:val="0"/>
                <w:iCs w:val="0"/>
                <w:color w:val="000000"/>
                <w:kern w:val="0"/>
                <w:sz w:val="20"/>
                <w:szCs w:val="20"/>
                <w:u w:val="none"/>
                <w:lang w:val="en-US" w:eastAsia="zh-CN" w:bidi="ar"/>
              </w:rPr>
            </w:pPr>
            <w:r>
              <w:rPr>
                <w:rFonts w:hint="eastAsia" w:ascii="仿宋" w:hAnsi="仿宋" w:eastAsia="仿宋" w:cs="仿宋"/>
                <w:b w:val="0"/>
                <w:bCs w:val="0"/>
                <w:kern w:val="2"/>
                <w:sz w:val="21"/>
                <w:szCs w:val="21"/>
                <w:vertAlign w:val="baseline"/>
                <w:lang w:val="zh-CN" w:eastAsia="zh-CN" w:bidi="ar-SA"/>
              </w:rPr>
              <w:t>2021.7.1</w:t>
            </w:r>
          </w:p>
        </w:tc>
        <w:tc>
          <w:tcPr>
            <w:tcW w:w="880" w:type="dxa"/>
            <w:tcBorders>
              <w:top w:val="nil"/>
              <w:left w:val="single" w:color="auto" w:sz="4" w:space="0"/>
              <w:bottom w:val="single" w:color="auto" w:sz="4" w:space="0"/>
              <w:right w:val="single" w:color="auto" w:sz="4" w:space="0"/>
            </w:tcBorders>
            <w:shd w:val="clear" w:color="auto" w:fill="auto"/>
            <w:noWrap/>
            <w:vAlign w:val="center"/>
          </w:tcPr>
          <w:p w14:paraId="30D299C7">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否</w:t>
            </w:r>
          </w:p>
        </w:tc>
        <w:tc>
          <w:tcPr>
            <w:tcW w:w="1390" w:type="dxa"/>
            <w:tcBorders>
              <w:top w:val="nil"/>
              <w:left w:val="single" w:color="auto" w:sz="4" w:space="0"/>
              <w:bottom w:val="single" w:color="auto" w:sz="4" w:space="0"/>
              <w:right w:val="single" w:color="auto" w:sz="4" w:space="0"/>
            </w:tcBorders>
            <w:shd w:val="clear" w:color="auto" w:fill="auto"/>
            <w:noWrap/>
            <w:vAlign w:val="center"/>
          </w:tcPr>
          <w:p w14:paraId="5E203655">
            <w:pPr>
              <w:numPr>
                <w:ilvl w:val="0"/>
                <w:numId w:val="0"/>
              </w:numPr>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w:t>
            </w:r>
          </w:p>
        </w:tc>
      </w:tr>
      <w:tr w14:paraId="4019FA43">
        <w:tblPrEx>
          <w:tblCellMar>
            <w:top w:w="0" w:type="dxa"/>
            <w:left w:w="108" w:type="dxa"/>
            <w:bottom w:w="0" w:type="dxa"/>
            <w:right w:w="108" w:type="dxa"/>
          </w:tblCellMar>
        </w:tblPrEx>
        <w:trPr>
          <w:trHeight w:val="270" w:hRule="atLeast"/>
          <w:jc w:val="center"/>
        </w:trPr>
        <w:tc>
          <w:tcPr>
            <w:tcW w:w="1210" w:type="dxa"/>
            <w:tcBorders>
              <w:top w:val="nil"/>
              <w:left w:val="single" w:color="auto" w:sz="4" w:space="0"/>
              <w:bottom w:val="single" w:color="auto" w:sz="4" w:space="0"/>
              <w:right w:val="single" w:color="auto" w:sz="4" w:space="0"/>
            </w:tcBorders>
            <w:shd w:val="clear" w:color="auto" w:fill="auto"/>
            <w:noWrap/>
            <w:vAlign w:val="center"/>
          </w:tcPr>
          <w:p w14:paraId="3392D3F9">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奥通5</w:t>
            </w:r>
          </w:p>
        </w:tc>
        <w:tc>
          <w:tcPr>
            <w:tcW w:w="1580" w:type="dxa"/>
            <w:tcBorders>
              <w:top w:val="nil"/>
              <w:left w:val="single" w:color="auto" w:sz="4" w:space="0"/>
              <w:bottom w:val="single" w:color="auto" w:sz="4" w:space="0"/>
              <w:right w:val="single" w:color="auto" w:sz="4" w:space="0"/>
            </w:tcBorders>
            <w:shd w:val="clear" w:color="auto" w:fill="auto"/>
            <w:noWrap/>
            <w:vAlign w:val="center"/>
          </w:tcPr>
          <w:p w14:paraId="5A05AB2D">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奥通商运</w:t>
            </w:r>
          </w:p>
        </w:tc>
        <w:tc>
          <w:tcPr>
            <w:tcW w:w="1030" w:type="dxa"/>
            <w:tcBorders>
              <w:top w:val="nil"/>
              <w:left w:val="single" w:color="auto" w:sz="4" w:space="0"/>
              <w:bottom w:val="single" w:color="auto" w:sz="4" w:space="0"/>
              <w:right w:val="single" w:color="auto" w:sz="4" w:space="0"/>
            </w:tcBorders>
            <w:shd w:val="clear" w:color="auto" w:fill="auto"/>
            <w:noWrap/>
            <w:vAlign w:val="center"/>
          </w:tcPr>
          <w:p w14:paraId="3D3B8617">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21300</w:t>
            </w:r>
          </w:p>
        </w:tc>
        <w:tc>
          <w:tcPr>
            <w:tcW w:w="1510" w:type="dxa"/>
            <w:tcBorders>
              <w:top w:val="nil"/>
              <w:left w:val="nil"/>
              <w:bottom w:val="single" w:color="auto" w:sz="4" w:space="0"/>
              <w:right w:val="single" w:color="auto" w:sz="4" w:space="0"/>
            </w:tcBorders>
            <w:shd w:val="clear" w:color="auto" w:fill="auto"/>
            <w:noWrap/>
            <w:vAlign w:val="center"/>
          </w:tcPr>
          <w:p w14:paraId="09C7BA17">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2021.1.6</w:t>
            </w:r>
          </w:p>
        </w:tc>
        <w:tc>
          <w:tcPr>
            <w:tcW w:w="880" w:type="dxa"/>
            <w:tcBorders>
              <w:top w:val="nil"/>
              <w:left w:val="single" w:color="auto" w:sz="4" w:space="0"/>
              <w:bottom w:val="single" w:color="auto" w:sz="4" w:space="0"/>
              <w:right w:val="single" w:color="auto" w:sz="4" w:space="0"/>
            </w:tcBorders>
            <w:shd w:val="clear" w:color="auto" w:fill="auto"/>
            <w:noWrap/>
            <w:vAlign w:val="center"/>
          </w:tcPr>
          <w:p w14:paraId="66D0A751">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w:t>
            </w:r>
          </w:p>
        </w:tc>
        <w:tc>
          <w:tcPr>
            <w:tcW w:w="1390" w:type="dxa"/>
            <w:tcBorders>
              <w:top w:val="nil"/>
              <w:left w:val="single" w:color="auto" w:sz="4" w:space="0"/>
              <w:bottom w:val="single" w:color="auto" w:sz="4" w:space="0"/>
              <w:right w:val="single" w:color="auto" w:sz="4" w:space="0"/>
            </w:tcBorders>
            <w:shd w:val="clear" w:color="auto" w:fill="auto"/>
            <w:noWrap/>
            <w:vAlign w:val="center"/>
          </w:tcPr>
          <w:p w14:paraId="578DF571">
            <w:pPr>
              <w:numPr>
                <w:ilvl w:val="0"/>
                <w:numId w:val="0"/>
              </w:numPr>
              <w:ind w:left="0" w:leftChars="0" w:firstLine="0" w:firstLineChars="0"/>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w:t>
            </w:r>
          </w:p>
        </w:tc>
      </w:tr>
      <w:tr w14:paraId="660CA826">
        <w:tblPrEx>
          <w:tblCellMar>
            <w:top w:w="0" w:type="dxa"/>
            <w:left w:w="108" w:type="dxa"/>
            <w:bottom w:w="0" w:type="dxa"/>
            <w:right w:w="108" w:type="dxa"/>
          </w:tblCellMar>
        </w:tblPrEx>
        <w:trPr>
          <w:trHeight w:val="270" w:hRule="atLeast"/>
          <w:jc w:val="center"/>
        </w:trPr>
        <w:tc>
          <w:tcPr>
            <w:tcW w:w="1210" w:type="dxa"/>
            <w:tcBorders>
              <w:top w:val="nil"/>
              <w:left w:val="single" w:color="auto" w:sz="4" w:space="0"/>
              <w:bottom w:val="single" w:color="auto" w:sz="4" w:space="0"/>
              <w:right w:val="single" w:color="auto" w:sz="4" w:space="0"/>
            </w:tcBorders>
            <w:shd w:val="clear" w:color="auto" w:fill="auto"/>
            <w:noWrap/>
            <w:vAlign w:val="center"/>
          </w:tcPr>
          <w:p w14:paraId="4441648A">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永信17</w:t>
            </w:r>
          </w:p>
        </w:tc>
        <w:tc>
          <w:tcPr>
            <w:tcW w:w="1580" w:type="dxa"/>
            <w:tcBorders>
              <w:top w:val="nil"/>
              <w:left w:val="single" w:color="auto" w:sz="4" w:space="0"/>
              <w:bottom w:val="single" w:color="auto" w:sz="4" w:space="0"/>
              <w:right w:val="single" w:color="auto" w:sz="4" w:space="0"/>
            </w:tcBorders>
            <w:shd w:val="clear" w:color="auto" w:fill="auto"/>
            <w:noWrap/>
            <w:vAlign w:val="center"/>
          </w:tcPr>
          <w:p w14:paraId="5C85D1CC">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宏信船务</w:t>
            </w:r>
          </w:p>
        </w:tc>
        <w:tc>
          <w:tcPr>
            <w:tcW w:w="1030" w:type="dxa"/>
            <w:tcBorders>
              <w:top w:val="nil"/>
              <w:left w:val="single" w:color="auto" w:sz="4" w:space="0"/>
              <w:bottom w:val="single" w:color="auto" w:sz="4" w:space="0"/>
              <w:right w:val="single" w:color="auto" w:sz="4" w:space="0"/>
            </w:tcBorders>
            <w:shd w:val="clear" w:color="auto" w:fill="auto"/>
            <w:noWrap/>
            <w:vAlign w:val="center"/>
          </w:tcPr>
          <w:p w14:paraId="062BCE5B">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21060</w:t>
            </w:r>
          </w:p>
        </w:tc>
        <w:tc>
          <w:tcPr>
            <w:tcW w:w="1510" w:type="dxa"/>
            <w:tcBorders>
              <w:top w:val="nil"/>
              <w:left w:val="nil"/>
              <w:bottom w:val="single" w:color="auto" w:sz="4" w:space="0"/>
              <w:right w:val="single" w:color="auto" w:sz="4" w:space="0"/>
            </w:tcBorders>
            <w:shd w:val="clear" w:color="auto" w:fill="auto"/>
            <w:noWrap/>
            <w:vAlign w:val="center"/>
          </w:tcPr>
          <w:p w14:paraId="50A96F0B">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2021.3.15</w:t>
            </w:r>
          </w:p>
        </w:tc>
        <w:tc>
          <w:tcPr>
            <w:tcW w:w="880" w:type="dxa"/>
            <w:tcBorders>
              <w:top w:val="nil"/>
              <w:left w:val="single" w:color="auto" w:sz="4" w:space="0"/>
              <w:bottom w:val="single" w:color="auto" w:sz="4" w:space="0"/>
              <w:right w:val="single" w:color="auto" w:sz="4" w:space="0"/>
            </w:tcBorders>
            <w:shd w:val="clear" w:color="auto" w:fill="auto"/>
            <w:noWrap/>
            <w:vAlign w:val="center"/>
          </w:tcPr>
          <w:p w14:paraId="368F2019">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w:t>
            </w:r>
          </w:p>
        </w:tc>
        <w:tc>
          <w:tcPr>
            <w:tcW w:w="1390" w:type="dxa"/>
            <w:tcBorders>
              <w:top w:val="nil"/>
              <w:left w:val="single" w:color="auto" w:sz="4" w:space="0"/>
              <w:bottom w:val="single" w:color="auto" w:sz="4" w:space="0"/>
              <w:right w:val="single" w:color="auto" w:sz="4" w:space="0"/>
            </w:tcBorders>
            <w:shd w:val="clear" w:color="auto" w:fill="auto"/>
            <w:noWrap/>
            <w:vAlign w:val="center"/>
          </w:tcPr>
          <w:p w14:paraId="62F87DBE">
            <w:pPr>
              <w:numPr>
                <w:ilvl w:val="0"/>
                <w:numId w:val="0"/>
              </w:numPr>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w:t>
            </w:r>
          </w:p>
        </w:tc>
      </w:tr>
      <w:tr w14:paraId="26D3F519">
        <w:tblPrEx>
          <w:tblCellMar>
            <w:top w:w="0" w:type="dxa"/>
            <w:left w:w="108" w:type="dxa"/>
            <w:bottom w:w="0" w:type="dxa"/>
            <w:right w:w="108" w:type="dxa"/>
          </w:tblCellMar>
        </w:tblPrEx>
        <w:trPr>
          <w:trHeight w:val="270" w:hRule="atLeast"/>
          <w:jc w:val="center"/>
        </w:trPr>
        <w:tc>
          <w:tcPr>
            <w:tcW w:w="1210" w:type="dxa"/>
            <w:tcBorders>
              <w:top w:val="nil"/>
              <w:left w:val="single" w:color="auto" w:sz="4" w:space="0"/>
              <w:bottom w:val="single" w:color="auto" w:sz="4" w:space="0"/>
              <w:right w:val="single" w:color="auto" w:sz="4" w:space="0"/>
            </w:tcBorders>
            <w:shd w:val="clear" w:color="auto" w:fill="auto"/>
            <w:noWrap/>
            <w:vAlign w:val="center"/>
          </w:tcPr>
          <w:p w14:paraId="7DA9C5F7">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佰利达</w:t>
            </w:r>
          </w:p>
        </w:tc>
        <w:tc>
          <w:tcPr>
            <w:tcW w:w="1580" w:type="dxa"/>
            <w:tcBorders>
              <w:top w:val="nil"/>
              <w:left w:val="single" w:color="auto" w:sz="4" w:space="0"/>
              <w:bottom w:val="single" w:color="auto" w:sz="4" w:space="0"/>
              <w:right w:val="single" w:color="auto" w:sz="4" w:space="0"/>
            </w:tcBorders>
            <w:shd w:val="clear" w:color="auto" w:fill="auto"/>
            <w:noWrap/>
            <w:vAlign w:val="center"/>
          </w:tcPr>
          <w:p w14:paraId="4691AABC">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佰利船舶</w:t>
            </w:r>
          </w:p>
        </w:tc>
        <w:tc>
          <w:tcPr>
            <w:tcW w:w="1030" w:type="dxa"/>
            <w:tcBorders>
              <w:top w:val="nil"/>
              <w:left w:val="single" w:color="auto" w:sz="4" w:space="0"/>
              <w:bottom w:val="single" w:color="auto" w:sz="4" w:space="0"/>
              <w:right w:val="single" w:color="auto" w:sz="4" w:space="0"/>
            </w:tcBorders>
            <w:shd w:val="clear" w:color="auto" w:fill="auto"/>
            <w:noWrap/>
            <w:vAlign w:val="center"/>
          </w:tcPr>
          <w:p w14:paraId="47579A7A">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23552</w:t>
            </w:r>
          </w:p>
        </w:tc>
        <w:tc>
          <w:tcPr>
            <w:tcW w:w="1510" w:type="dxa"/>
            <w:tcBorders>
              <w:top w:val="nil"/>
              <w:left w:val="nil"/>
              <w:bottom w:val="single" w:color="auto" w:sz="4" w:space="0"/>
              <w:right w:val="single" w:color="auto" w:sz="4" w:space="0"/>
            </w:tcBorders>
            <w:shd w:val="clear" w:color="auto" w:fill="auto"/>
            <w:noWrap/>
            <w:vAlign w:val="center"/>
          </w:tcPr>
          <w:p w14:paraId="5B5BFC4D">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2012.12.17</w:t>
            </w:r>
          </w:p>
        </w:tc>
        <w:tc>
          <w:tcPr>
            <w:tcW w:w="880" w:type="dxa"/>
            <w:tcBorders>
              <w:top w:val="nil"/>
              <w:left w:val="single" w:color="auto" w:sz="4" w:space="0"/>
              <w:bottom w:val="single" w:color="auto" w:sz="4" w:space="0"/>
              <w:right w:val="single" w:color="auto" w:sz="4" w:space="0"/>
            </w:tcBorders>
            <w:shd w:val="clear" w:color="auto" w:fill="auto"/>
            <w:noWrap/>
            <w:vAlign w:val="center"/>
          </w:tcPr>
          <w:p w14:paraId="685FA8B6">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w:t>
            </w:r>
          </w:p>
        </w:tc>
        <w:tc>
          <w:tcPr>
            <w:tcW w:w="1390" w:type="dxa"/>
            <w:tcBorders>
              <w:top w:val="nil"/>
              <w:left w:val="single" w:color="auto" w:sz="4" w:space="0"/>
              <w:bottom w:val="single" w:color="auto" w:sz="4" w:space="0"/>
              <w:right w:val="single" w:color="auto" w:sz="4" w:space="0"/>
            </w:tcBorders>
            <w:shd w:val="clear" w:color="auto" w:fill="auto"/>
            <w:noWrap/>
            <w:vAlign w:val="center"/>
          </w:tcPr>
          <w:p w14:paraId="7160991F">
            <w:pPr>
              <w:numPr>
                <w:ilvl w:val="0"/>
                <w:numId w:val="0"/>
              </w:numPr>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w:t>
            </w:r>
          </w:p>
        </w:tc>
      </w:tr>
      <w:tr w14:paraId="0CB5045E">
        <w:tblPrEx>
          <w:tblCellMar>
            <w:top w:w="0" w:type="dxa"/>
            <w:left w:w="108" w:type="dxa"/>
            <w:bottom w:w="0" w:type="dxa"/>
            <w:right w:w="108" w:type="dxa"/>
          </w:tblCellMar>
        </w:tblPrEx>
        <w:trPr>
          <w:trHeight w:val="270" w:hRule="atLeast"/>
          <w:jc w:val="center"/>
        </w:trPr>
        <w:tc>
          <w:tcPr>
            <w:tcW w:w="1210" w:type="dxa"/>
            <w:tcBorders>
              <w:top w:val="nil"/>
              <w:left w:val="single" w:color="auto" w:sz="4" w:space="0"/>
              <w:bottom w:val="single" w:color="auto" w:sz="4" w:space="0"/>
              <w:right w:val="single" w:color="auto" w:sz="4" w:space="0"/>
            </w:tcBorders>
            <w:shd w:val="clear" w:color="auto" w:fill="auto"/>
            <w:noWrap/>
            <w:vAlign w:val="center"/>
          </w:tcPr>
          <w:p w14:paraId="36890252">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鑫嘉源688</w:t>
            </w:r>
          </w:p>
        </w:tc>
        <w:tc>
          <w:tcPr>
            <w:tcW w:w="1580" w:type="dxa"/>
            <w:tcBorders>
              <w:top w:val="nil"/>
              <w:left w:val="single" w:color="auto" w:sz="4" w:space="0"/>
              <w:bottom w:val="single" w:color="auto" w:sz="4" w:space="0"/>
              <w:right w:val="single" w:color="auto" w:sz="4" w:space="0"/>
            </w:tcBorders>
            <w:shd w:val="clear" w:color="auto" w:fill="auto"/>
            <w:noWrap/>
            <w:vAlign w:val="center"/>
          </w:tcPr>
          <w:p w14:paraId="7B4C0DA7">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鑫嘉源海运</w:t>
            </w:r>
          </w:p>
        </w:tc>
        <w:tc>
          <w:tcPr>
            <w:tcW w:w="1030" w:type="dxa"/>
            <w:tcBorders>
              <w:top w:val="nil"/>
              <w:left w:val="single" w:color="auto" w:sz="4" w:space="0"/>
              <w:bottom w:val="single" w:color="auto" w:sz="4" w:space="0"/>
              <w:right w:val="single" w:color="auto" w:sz="4" w:space="0"/>
            </w:tcBorders>
            <w:shd w:val="clear" w:color="auto" w:fill="auto"/>
            <w:noWrap/>
            <w:vAlign w:val="center"/>
          </w:tcPr>
          <w:p w14:paraId="1E9165EF">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5184</w:t>
            </w:r>
          </w:p>
        </w:tc>
        <w:tc>
          <w:tcPr>
            <w:tcW w:w="1510" w:type="dxa"/>
            <w:tcBorders>
              <w:top w:val="nil"/>
              <w:left w:val="nil"/>
              <w:bottom w:val="single" w:color="auto" w:sz="4" w:space="0"/>
              <w:right w:val="single" w:color="auto" w:sz="4" w:space="0"/>
            </w:tcBorders>
            <w:shd w:val="clear" w:color="auto" w:fill="auto"/>
            <w:noWrap/>
            <w:vAlign w:val="center"/>
          </w:tcPr>
          <w:p w14:paraId="21FA44C3">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2013.5.10</w:t>
            </w:r>
          </w:p>
        </w:tc>
        <w:tc>
          <w:tcPr>
            <w:tcW w:w="880" w:type="dxa"/>
            <w:tcBorders>
              <w:top w:val="nil"/>
              <w:left w:val="single" w:color="auto" w:sz="4" w:space="0"/>
              <w:bottom w:val="single" w:color="auto" w:sz="4" w:space="0"/>
              <w:right w:val="single" w:color="auto" w:sz="4" w:space="0"/>
            </w:tcBorders>
            <w:shd w:val="clear" w:color="auto" w:fill="auto"/>
            <w:noWrap/>
            <w:vAlign w:val="center"/>
          </w:tcPr>
          <w:p w14:paraId="5B4DA181">
            <w:pPr>
              <w:pStyle w:val="6"/>
              <w:numPr>
                <w:ilvl w:val="0"/>
                <w:numId w:val="0"/>
              </w:numPr>
              <w:tabs>
                <w:tab w:val="clear" w:pos="2040"/>
              </w:tabs>
              <w:ind w:left="0" w:leftChars="0" w:firstLine="0" w:firstLineChars="0"/>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w:t>
            </w:r>
          </w:p>
        </w:tc>
        <w:tc>
          <w:tcPr>
            <w:tcW w:w="1390" w:type="dxa"/>
            <w:tcBorders>
              <w:top w:val="nil"/>
              <w:left w:val="single" w:color="auto" w:sz="4" w:space="0"/>
              <w:bottom w:val="single" w:color="auto" w:sz="4" w:space="0"/>
              <w:right w:val="single" w:color="auto" w:sz="4" w:space="0"/>
            </w:tcBorders>
            <w:shd w:val="clear" w:color="auto" w:fill="auto"/>
            <w:noWrap/>
            <w:vAlign w:val="center"/>
          </w:tcPr>
          <w:p w14:paraId="5F79B59F">
            <w:pPr>
              <w:numPr>
                <w:ilvl w:val="0"/>
                <w:numId w:val="0"/>
              </w:numPr>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w:t>
            </w:r>
          </w:p>
        </w:tc>
      </w:tr>
    </w:tbl>
    <w:p w14:paraId="326870E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outlineLvl w:val="9"/>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注：申报年份2021年补贴在2022-2023年发放，仅涉及贴息补贴的船舶标注是否进行融资租赁。</w:t>
      </w:r>
    </w:p>
    <w:p w14:paraId="579E4C3D">
      <w:pPr>
        <w:jc w:val="center"/>
      </w:pPr>
      <w:r>
        <w:rPr>
          <w:rFonts w:hint="eastAsia" w:ascii="仿宋_GB2312" w:hAnsi="Times New Roman" w:eastAsia="仿宋_GB2312" w:cs="Times New Roman"/>
          <w:b/>
          <w:bCs/>
          <w:kern w:val="2"/>
          <w:sz w:val="24"/>
          <w:szCs w:val="24"/>
          <w:lang w:val="zh-CN" w:eastAsia="zh-CN" w:bidi="ar-SA"/>
        </w:rPr>
        <w:t>表</w:t>
      </w:r>
      <w:r>
        <w:rPr>
          <w:rFonts w:hint="eastAsia" w:ascii="仿宋_GB2312" w:hAnsi="Times New Roman" w:eastAsia="仿宋_GB2312" w:cs="Times New Roman"/>
          <w:b/>
          <w:bCs/>
          <w:kern w:val="2"/>
          <w:sz w:val="24"/>
          <w:szCs w:val="24"/>
          <w:lang w:val="en-US" w:eastAsia="zh-CN" w:bidi="ar-SA"/>
        </w:rPr>
        <w:t>5  石狮市2022年申报补贴船舶新增运力与贴息情况</w:t>
      </w:r>
    </w:p>
    <w:tbl>
      <w:tblPr>
        <w:tblStyle w:val="15"/>
        <w:tblW w:w="7600" w:type="dxa"/>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1210"/>
        <w:gridCol w:w="1580"/>
        <w:gridCol w:w="1030"/>
        <w:gridCol w:w="1510"/>
        <w:gridCol w:w="880"/>
        <w:gridCol w:w="1390"/>
      </w:tblGrid>
      <w:tr w14:paraId="3C8DC1A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90" w:hRule="atLeast"/>
          <w:tblHeader/>
          <w:jc w:val="center"/>
        </w:trPr>
        <w:tc>
          <w:tcPr>
            <w:tcW w:w="1210" w:type="dxa"/>
            <w:tcBorders>
              <w:right w:val="single" w:color="auto" w:sz="4" w:space="0"/>
            </w:tcBorders>
            <w:shd w:val="clear" w:color="auto" w:fill="auto"/>
            <w:noWrap/>
            <w:vAlign w:val="center"/>
          </w:tcPr>
          <w:p w14:paraId="7BED02F0">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船名</w:t>
            </w:r>
          </w:p>
        </w:tc>
        <w:tc>
          <w:tcPr>
            <w:tcW w:w="1580" w:type="dxa"/>
            <w:tcBorders>
              <w:left w:val="single" w:color="auto" w:sz="4" w:space="0"/>
              <w:right w:val="single" w:color="auto" w:sz="4" w:space="0"/>
            </w:tcBorders>
            <w:shd w:val="clear" w:color="auto" w:fill="auto"/>
            <w:noWrap/>
            <w:vAlign w:val="center"/>
          </w:tcPr>
          <w:p w14:paraId="3187AA4D">
            <w:pPr>
              <w:pStyle w:val="6"/>
              <w:numPr>
                <w:ilvl w:val="0"/>
                <w:numId w:val="0"/>
              </w:numPr>
              <w:tabs>
                <w:tab w:val="clear" w:pos="2040"/>
              </w:tabs>
              <w:jc w:val="center"/>
              <w:rPr>
                <w:rFonts w:hint="eastAsia"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所属企业</w:t>
            </w:r>
          </w:p>
          <w:p w14:paraId="3F3B681A">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（简称）</w:t>
            </w:r>
          </w:p>
        </w:tc>
        <w:tc>
          <w:tcPr>
            <w:tcW w:w="1030" w:type="dxa"/>
            <w:tcBorders>
              <w:left w:val="single" w:color="auto" w:sz="4" w:space="0"/>
              <w:right w:val="single" w:color="auto" w:sz="4" w:space="0"/>
            </w:tcBorders>
            <w:shd w:val="clear" w:color="auto" w:fill="auto"/>
            <w:noWrap/>
            <w:vAlign w:val="center"/>
          </w:tcPr>
          <w:p w14:paraId="64449E1E">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载重吨</w:t>
            </w:r>
          </w:p>
        </w:tc>
        <w:tc>
          <w:tcPr>
            <w:tcW w:w="1510" w:type="dxa"/>
            <w:tcBorders>
              <w:left w:val="single" w:color="auto" w:sz="4" w:space="0"/>
              <w:right w:val="single" w:color="auto" w:sz="4" w:space="0"/>
            </w:tcBorders>
            <w:shd w:val="clear" w:color="auto" w:fill="auto"/>
            <w:noWrap/>
            <w:vAlign w:val="center"/>
          </w:tcPr>
          <w:p w14:paraId="50FEEF03">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建成时间</w:t>
            </w:r>
          </w:p>
        </w:tc>
        <w:tc>
          <w:tcPr>
            <w:tcW w:w="880" w:type="dxa"/>
            <w:tcBorders>
              <w:left w:val="single" w:color="auto" w:sz="4" w:space="0"/>
              <w:right w:val="single" w:color="auto" w:sz="4" w:space="0"/>
            </w:tcBorders>
            <w:shd w:val="clear" w:color="auto" w:fill="auto"/>
            <w:noWrap/>
            <w:vAlign w:val="center"/>
          </w:tcPr>
          <w:p w14:paraId="397EA63A">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是否融资租赁</w:t>
            </w:r>
          </w:p>
        </w:tc>
        <w:tc>
          <w:tcPr>
            <w:tcW w:w="1390" w:type="dxa"/>
            <w:tcBorders>
              <w:left w:val="single" w:color="auto" w:sz="4" w:space="0"/>
            </w:tcBorders>
            <w:shd w:val="clear" w:color="auto" w:fill="auto"/>
            <w:noWrap/>
            <w:vAlign w:val="center"/>
          </w:tcPr>
          <w:p w14:paraId="01D28324">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补贴类型</w:t>
            </w:r>
          </w:p>
        </w:tc>
      </w:tr>
      <w:tr w14:paraId="035CF526">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06E14509">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千祥和谐</w:t>
            </w:r>
          </w:p>
        </w:tc>
        <w:tc>
          <w:tcPr>
            <w:tcW w:w="1580" w:type="dxa"/>
            <w:vMerge w:val="restart"/>
            <w:tcBorders>
              <w:left w:val="single" w:color="auto" w:sz="4" w:space="0"/>
              <w:right w:val="single" w:color="auto" w:sz="4" w:space="0"/>
            </w:tcBorders>
            <w:shd w:val="clear" w:color="auto" w:fill="auto"/>
            <w:noWrap/>
            <w:vAlign w:val="center"/>
          </w:tcPr>
          <w:p w14:paraId="0BA68B0D">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千祥船务</w:t>
            </w:r>
          </w:p>
        </w:tc>
        <w:tc>
          <w:tcPr>
            <w:tcW w:w="1030" w:type="dxa"/>
            <w:tcBorders>
              <w:left w:val="single" w:color="auto" w:sz="4" w:space="0"/>
              <w:right w:val="single" w:color="auto" w:sz="4" w:space="0"/>
            </w:tcBorders>
            <w:shd w:val="clear" w:color="auto" w:fill="auto"/>
            <w:noWrap/>
            <w:vAlign w:val="center"/>
          </w:tcPr>
          <w:p w14:paraId="10F06CD2">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7491</w:t>
            </w:r>
          </w:p>
        </w:tc>
        <w:tc>
          <w:tcPr>
            <w:tcW w:w="1510" w:type="dxa"/>
            <w:tcBorders>
              <w:left w:val="single" w:color="auto" w:sz="4" w:space="0"/>
              <w:right w:val="single" w:color="auto" w:sz="4" w:space="0"/>
            </w:tcBorders>
            <w:shd w:val="clear" w:color="auto" w:fill="auto"/>
            <w:noWrap/>
            <w:vAlign w:val="center"/>
          </w:tcPr>
          <w:p w14:paraId="76331FCF">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2021.7.1</w:t>
            </w:r>
          </w:p>
        </w:tc>
        <w:tc>
          <w:tcPr>
            <w:tcW w:w="880" w:type="dxa"/>
            <w:tcBorders>
              <w:left w:val="single" w:color="auto" w:sz="4" w:space="0"/>
              <w:right w:val="single" w:color="auto" w:sz="4" w:space="0"/>
            </w:tcBorders>
            <w:shd w:val="clear" w:color="auto" w:fill="auto"/>
            <w:noWrap/>
            <w:vAlign w:val="center"/>
          </w:tcPr>
          <w:p w14:paraId="60619F44">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否</w:t>
            </w:r>
          </w:p>
        </w:tc>
        <w:tc>
          <w:tcPr>
            <w:tcW w:w="1390" w:type="dxa"/>
            <w:tcBorders>
              <w:left w:val="single" w:color="auto" w:sz="4" w:space="0"/>
            </w:tcBorders>
            <w:shd w:val="clear" w:color="auto" w:fill="auto"/>
            <w:noWrap/>
            <w:vAlign w:val="center"/>
          </w:tcPr>
          <w:p w14:paraId="156FC0FF">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贴息</w:t>
            </w:r>
          </w:p>
        </w:tc>
      </w:tr>
      <w:tr w14:paraId="7B7437E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4ED43291">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千祥复兴</w:t>
            </w:r>
          </w:p>
        </w:tc>
        <w:tc>
          <w:tcPr>
            <w:tcW w:w="1580" w:type="dxa"/>
            <w:vMerge w:val="continue"/>
            <w:tcBorders>
              <w:left w:val="single" w:color="auto" w:sz="4" w:space="0"/>
              <w:right w:val="single" w:color="auto" w:sz="4" w:space="0"/>
            </w:tcBorders>
            <w:vAlign w:val="center"/>
          </w:tcPr>
          <w:p w14:paraId="31008C0E">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p>
        </w:tc>
        <w:tc>
          <w:tcPr>
            <w:tcW w:w="1030" w:type="dxa"/>
            <w:tcBorders>
              <w:left w:val="single" w:color="auto" w:sz="4" w:space="0"/>
              <w:right w:val="single" w:color="auto" w:sz="4" w:space="0"/>
            </w:tcBorders>
            <w:vAlign w:val="center"/>
          </w:tcPr>
          <w:p w14:paraId="2F9E58D2">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12498</w:t>
            </w:r>
          </w:p>
        </w:tc>
        <w:tc>
          <w:tcPr>
            <w:tcW w:w="1510" w:type="dxa"/>
            <w:tcBorders>
              <w:left w:val="single" w:color="auto" w:sz="4" w:space="0"/>
              <w:right w:val="single" w:color="auto" w:sz="4" w:space="0"/>
            </w:tcBorders>
            <w:shd w:val="clear" w:color="auto" w:fill="auto"/>
            <w:noWrap/>
            <w:vAlign w:val="center"/>
          </w:tcPr>
          <w:p w14:paraId="62295462">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2022.11.4</w:t>
            </w:r>
          </w:p>
        </w:tc>
        <w:tc>
          <w:tcPr>
            <w:tcW w:w="880" w:type="dxa"/>
            <w:tcBorders>
              <w:left w:val="single" w:color="auto" w:sz="4" w:space="0"/>
              <w:right w:val="single" w:color="auto" w:sz="4" w:space="0"/>
            </w:tcBorders>
            <w:vAlign w:val="center"/>
          </w:tcPr>
          <w:p w14:paraId="1861F7A5">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w:t>
            </w:r>
          </w:p>
        </w:tc>
        <w:tc>
          <w:tcPr>
            <w:tcW w:w="1390" w:type="dxa"/>
            <w:tcBorders>
              <w:left w:val="single" w:color="auto" w:sz="4" w:space="0"/>
            </w:tcBorders>
            <w:vAlign w:val="center"/>
          </w:tcPr>
          <w:p w14:paraId="734DB38D">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w:t>
            </w:r>
          </w:p>
        </w:tc>
      </w:tr>
      <w:tr w14:paraId="76AFD351">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1F5EDFCC">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鼎鑫105</w:t>
            </w:r>
          </w:p>
        </w:tc>
        <w:tc>
          <w:tcPr>
            <w:tcW w:w="1580" w:type="dxa"/>
            <w:vMerge w:val="restart"/>
            <w:tcBorders>
              <w:left w:val="single" w:color="auto" w:sz="4" w:space="0"/>
              <w:right w:val="single" w:color="auto" w:sz="4" w:space="0"/>
            </w:tcBorders>
            <w:vAlign w:val="center"/>
          </w:tcPr>
          <w:p w14:paraId="49DB224C">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鼎盛船务</w:t>
            </w:r>
          </w:p>
        </w:tc>
        <w:tc>
          <w:tcPr>
            <w:tcW w:w="1030" w:type="dxa"/>
            <w:tcBorders>
              <w:left w:val="single" w:color="auto" w:sz="4" w:space="0"/>
              <w:right w:val="single" w:color="auto" w:sz="4" w:space="0"/>
            </w:tcBorders>
            <w:vAlign w:val="center"/>
          </w:tcPr>
          <w:p w14:paraId="0305ACE8">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54363</w:t>
            </w:r>
          </w:p>
        </w:tc>
        <w:tc>
          <w:tcPr>
            <w:tcW w:w="1510" w:type="dxa"/>
            <w:tcBorders>
              <w:left w:val="single" w:color="auto" w:sz="4" w:space="0"/>
              <w:right w:val="single" w:color="auto" w:sz="4" w:space="0"/>
            </w:tcBorders>
            <w:shd w:val="clear" w:color="auto" w:fill="auto"/>
            <w:noWrap/>
            <w:vAlign w:val="center"/>
          </w:tcPr>
          <w:p w14:paraId="57B54237">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2021.7.28</w:t>
            </w:r>
          </w:p>
        </w:tc>
        <w:tc>
          <w:tcPr>
            <w:tcW w:w="880" w:type="dxa"/>
            <w:tcBorders>
              <w:left w:val="single" w:color="auto" w:sz="4" w:space="0"/>
              <w:right w:val="single" w:color="auto" w:sz="4" w:space="0"/>
            </w:tcBorders>
            <w:vAlign w:val="center"/>
          </w:tcPr>
          <w:p w14:paraId="7E520462">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否</w:t>
            </w:r>
          </w:p>
        </w:tc>
        <w:tc>
          <w:tcPr>
            <w:tcW w:w="1390" w:type="dxa"/>
            <w:tcBorders>
              <w:left w:val="single" w:color="auto" w:sz="4" w:space="0"/>
            </w:tcBorders>
            <w:vAlign w:val="center"/>
          </w:tcPr>
          <w:p w14:paraId="6F7034F1">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贴息</w:t>
            </w:r>
          </w:p>
        </w:tc>
      </w:tr>
      <w:tr w14:paraId="59BC4D3A">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25D32D74">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鼎鑫108</w:t>
            </w:r>
          </w:p>
        </w:tc>
        <w:tc>
          <w:tcPr>
            <w:tcW w:w="1580" w:type="dxa"/>
            <w:vMerge w:val="continue"/>
            <w:tcBorders>
              <w:left w:val="single" w:color="auto" w:sz="4" w:space="0"/>
              <w:right w:val="single" w:color="auto" w:sz="4" w:space="0"/>
            </w:tcBorders>
            <w:vAlign w:val="center"/>
          </w:tcPr>
          <w:p w14:paraId="3F7DCCF8">
            <w:pPr>
              <w:numPr>
                <w:ilvl w:val="0"/>
                <w:numId w:val="0"/>
              </w:numPr>
              <w:jc w:val="center"/>
              <w:rPr>
                <w:rFonts w:hint="eastAsia" w:ascii="仿宋" w:hAnsi="仿宋" w:eastAsia="仿宋" w:cs="仿宋"/>
                <w:b w:val="0"/>
                <w:bCs w:val="0"/>
                <w:kern w:val="2"/>
                <w:sz w:val="21"/>
                <w:szCs w:val="21"/>
                <w:vertAlign w:val="baseline"/>
                <w:lang w:val="en-US" w:eastAsia="zh-CN" w:bidi="ar-SA"/>
              </w:rPr>
            </w:pPr>
          </w:p>
        </w:tc>
        <w:tc>
          <w:tcPr>
            <w:tcW w:w="1030" w:type="dxa"/>
            <w:tcBorders>
              <w:left w:val="single" w:color="auto" w:sz="4" w:space="0"/>
              <w:right w:val="single" w:color="auto" w:sz="4" w:space="0"/>
            </w:tcBorders>
            <w:vAlign w:val="center"/>
          </w:tcPr>
          <w:p w14:paraId="64A1FFEF">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73973</w:t>
            </w:r>
          </w:p>
        </w:tc>
        <w:tc>
          <w:tcPr>
            <w:tcW w:w="1510" w:type="dxa"/>
            <w:tcBorders>
              <w:left w:val="single" w:color="auto" w:sz="4" w:space="0"/>
              <w:right w:val="single" w:color="auto" w:sz="4" w:space="0"/>
            </w:tcBorders>
            <w:shd w:val="clear" w:color="auto" w:fill="auto"/>
            <w:noWrap/>
            <w:vAlign w:val="center"/>
          </w:tcPr>
          <w:p w14:paraId="224989B7">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2022.3.28</w:t>
            </w:r>
          </w:p>
        </w:tc>
        <w:tc>
          <w:tcPr>
            <w:tcW w:w="880" w:type="dxa"/>
            <w:tcBorders>
              <w:left w:val="single" w:color="auto" w:sz="4" w:space="0"/>
              <w:right w:val="single" w:color="auto" w:sz="4" w:space="0"/>
            </w:tcBorders>
            <w:vAlign w:val="center"/>
          </w:tcPr>
          <w:p w14:paraId="2366363E">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否</w:t>
            </w:r>
          </w:p>
        </w:tc>
        <w:tc>
          <w:tcPr>
            <w:tcW w:w="1390" w:type="dxa"/>
            <w:tcBorders>
              <w:left w:val="single" w:color="auto" w:sz="4" w:space="0"/>
            </w:tcBorders>
            <w:vAlign w:val="center"/>
          </w:tcPr>
          <w:p w14:paraId="7141C12E">
            <w:pPr>
              <w:pStyle w:val="6"/>
              <w:numPr>
                <w:ilvl w:val="0"/>
                <w:numId w:val="0"/>
              </w:numPr>
              <w:tabs>
                <w:tab w:val="clear" w:pos="2040"/>
              </w:tabs>
              <w:ind w:left="0" w:leftChars="0" w:firstLine="0" w:firstLineChars="0"/>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新增、贴息</w:t>
            </w:r>
          </w:p>
        </w:tc>
      </w:tr>
      <w:tr w14:paraId="7126A4B9">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455602A7">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鼎鑫109</w:t>
            </w:r>
          </w:p>
        </w:tc>
        <w:tc>
          <w:tcPr>
            <w:tcW w:w="1580" w:type="dxa"/>
            <w:vMerge w:val="continue"/>
            <w:tcBorders>
              <w:left w:val="single" w:color="auto" w:sz="4" w:space="0"/>
              <w:right w:val="single" w:color="auto" w:sz="4" w:space="0"/>
            </w:tcBorders>
            <w:vAlign w:val="center"/>
          </w:tcPr>
          <w:p w14:paraId="01A1E85E">
            <w:pPr>
              <w:numPr>
                <w:ilvl w:val="0"/>
                <w:numId w:val="0"/>
              </w:numPr>
              <w:jc w:val="center"/>
              <w:rPr>
                <w:rFonts w:hint="eastAsia" w:ascii="仿宋" w:hAnsi="仿宋" w:eastAsia="仿宋" w:cs="仿宋"/>
                <w:b w:val="0"/>
                <w:bCs w:val="0"/>
                <w:kern w:val="2"/>
                <w:sz w:val="21"/>
                <w:szCs w:val="21"/>
                <w:vertAlign w:val="baseline"/>
                <w:lang w:val="en-US" w:eastAsia="zh-CN" w:bidi="ar-SA"/>
              </w:rPr>
            </w:pPr>
          </w:p>
        </w:tc>
        <w:tc>
          <w:tcPr>
            <w:tcW w:w="1030" w:type="dxa"/>
            <w:tcBorders>
              <w:left w:val="single" w:color="auto" w:sz="4" w:space="0"/>
              <w:right w:val="single" w:color="auto" w:sz="4" w:space="0"/>
            </w:tcBorders>
            <w:vAlign w:val="center"/>
          </w:tcPr>
          <w:p w14:paraId="15E39F85">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74652</w:t>
            </w:r>
          </w:p>
        </w:tc>
        <w:tc>
          <w:tcPr>
            <w:tcW w:w="1510" w:type="dxa"/>
            <w:tcBorders>
              <w:left w:val="single" w:color="auto" w:sz="4" w:space="0"/>
              <w:right w:val="single" w:color="auto" w:sz="4" w:space="0"/>
            </w:tcBorders>
            <w:shd w:val="clear" w:color="auto" w:fill="auto"/>
            <w:noWrap/>
            <w:vAlign w:val="center"/>
          </w:tcPr>
          <w:p w14:paraId="61F59661">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2021.12.15</w:t>
            </w:r>
          </w:p>
        </w:tc>
        <w:tc>
          <w:tcPr>
            <w:tcW w:w="880" w:type="dxa"/>
            <w:tcBorders>
              <w:left w:val="single" w:color="auto" w:sz="4" w:space="0"/>
              <w:right w:val="single" w:color="auto" w:sz="4" w:space="0"/>
            </w:tcBorders>
            <w:vAlign w:val="center"/>
          </w:tcPr>
          <w:p w14:paraId="060304CA">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是</w:t>
            </w:r>
          </w:p>
        </w:tc>
        <w:tc>
          <w:tcPr>
            <w:tcW w:w="1390" w:type="dxa"/>
            <w:tcBorders>
              <w:left w:val="single" w:color="auto" w:sz="4" w:space="0"/>
            </w:tcBorders>
            <w:vAlign w:val="center"/>
          </w:tcPr>
          <w:p w14:paraId="447923FD">
            <w:pPr>
              <w:pStyle w:val="6"/>
              <w:numPr>
                <w:ilvl w:val="0"/>
                <w:numId w:val="0"/>
              </w:numPr>
              <w:tabs>
                <w:tab w:val="clear" w:pos="2040"/>
              </w:tabs>
              <w:ind w:left="0" w:leftChars="0" w:firstLine="0" w:firstLineChars="0"/>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新增、贴息</w:t>
            </w:r>
          </w:p>
        </w:tc>
      </w:tr>
      <w:tr w14:paraId="59AFB032">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0267900F">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鼎鑫112</w:t>
            </w:r>
          </w:p>
        </w:tc>
        <w:tc>
          <w:tcPr>
            <w:tcW w:w="1580" w:type="dxa"/>
            <w:vMerge w:val="continue"/>
            <w:tcBorders>
              <w:left w:val="single" w:color="auto" w:sz="4" w:space="0"/>
              <w:right w:val="single" w:color="auto" w:sz="4" w:space="0"/>
            </w:tcBorders>
            <w:vAlign w:val="center"/>
          </w:tcPr>
          <w:p w14:paraId="22A425B0">
            <w:pPr>
              <w:numPr>
                <w:ilvl w:val="0"/>
                <w:numId w:val="0"/>
              </w:numPr>
              <w:jc w:val="center"/>
              <w:rPr>
                <w:rFonts w:hint="eastAsia" w:ascii="仿宋" w:hAnsi="仿宋" w:eastAsia="仿宋" w:cs="仿宋"/>
                <w:b w:val="0"/>
                <w:bCs w:val="0"/>
                <w:kern w:val="2"/>
                <w:sz w:val="21"/>
                <w:szCs w:val="21"/>
                <w:vertAlign w:val="baseline"/>
                <w:lang w:val="en-US" w:eastAsia="zh-CN" w:bidi="ar-SA"/>
              </w:rPr>
            </w:pPr>
          </w:p>
        </w:tc>
        <w:tc>
          <w:tcPr>
            <w:tcW w:w="1030" w:type="dxa"/>
            <w:tcBorders>
              <w:left w:val="single" w:color="auto" w:sz="4" w:space="0"/>
              <w:right w:val="single" w:color="auto" w:sz="4" w:space="0"/>
            </w:tcBorders>
            <w:vAlign w:val="center"/>
          </w:tcPr>
          <w:p w14:paraId="6CD91BC1">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74681</w:t>
            </w:r>
          </w:p>
        </w:tc>
        <w:tc>
          <w:tcPr>
            <w:tcW w:w="1510" w:type="dxa"/>
            <w:tcBorders>
              <w:left w:val="single" w:color="auto" w:sz="4" w:space="0"/>
              <w:right w:val="single" w:color="auto" w:sz="4" w:space="0"/>
            </w:tcBorders>
            <w:shd w:val="clear" w:color="auto" w:fill="auto"/>
            <w:noWrap/>
            <w:vAlign w:val="center"/>
          </w:tcPr>
          <w:p w14:paraId="6C1A0400">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2022.2.15</w:t>
            </w:r>
          </w:p>
        </w:tc>
        <w:tc>
          <w:tcPr>
            <w:tcW w:w="880" w:type="dxa"/>
            <w:tcBorders>
              <w:left w:val="single" w:color="auto" w:sz="4" w:space="0"/>
              <w:right w:val="single" w:color="auto" w:sz="4" w:space="0"/>
            </w:tcBorders>
            <w:vAlign w:val="center"/>
          </w:tcPr>
          <w:p w14:paraId="70A86497">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是</w:t>
            </w:r>
          </w:p>
        </w:tc>
        <w:tc>
          <w:tcPr>
            <w:tcW w:w="1390" w:type="dxa"/>
            <w:tcBorders>
              <w:left w:val="single" w:color="auto" w:sz="4" w:space="0"/>
            </w:tcBorders>
            <w:vAlign w:val="center"/>
          </w:tcPr>
          <w:p w14:paraId="542ED5E8">
            <w:pPr>
              <w:pStyle w:val="6"/>
              <w:numPr>
                <w:ilvl w:val="0"/>
                <w:numId w:val="0"/>
              </w:numPr>
              <w:tabs>
                <w:tab w:val="clear" w:pos="2040"/>
              </w:tabs>
              <w:ind w:left="0" w:leftChars="0" w:firstLine="0" w:firstLineChars="0"/>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新增、贴息</w:t>
            </w:r>
          </w:p>
        </w:tc>
      </w:tr>
      <w:tr w14:paraId="38B44689">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385E2DCB">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鼎鑫116</w:t>
            </w:r>
          </w:p>
        </w:tc>
        <w:tc>
          <w:tcPr>
            <w:tcW w:w="1580" w:type="dxa"/>
            <w:vMerge w:val="continue"/>
            <w:tcBorders>
              <w:left w:val="single" w:color="auto" w:sz="4" w:space="0"/>
              <w:right w:val="single" w:color="auto" w:sz="4" w:space="0"/>
            </w:tcBorders>
            <w:vAlign w:val="center"/>
          </w:tcPr>
          <w:p w14:paraId="19D31AE5">
            <w:pPr>
              <w:numPr>
                <w:ilvl w:val="0"/>
                <w:numId w:val="0"/>
              </w:numPr>
              <w:ind w:left="0" w:leftChars="0" w:firstLine="0" w:firstLineChars="0"/>
              <w:jc w:val="center"/>
              <w:rPr>
                <w:rFonts w:hint="eastAsia" w:ascii="仿宋" w:hAnsi="仿宋" w:eastAsia="仿宋" w:cs="仿宋"/>
                <w:b w:val="0"/>
                <w:bCs w:val="0"/>
                <w:kern w:val="2"/>
                <w:sz w:val="21"/>
                <w:szCs w:val="21"/>
                <w:vertAlign w:val="baseline"/>
                <w:lang w:val="en-US" w:eastAsia="zh-CN" w:bidi="ar-SA"/>
              </w:rPr>
            </w:pPr>
          </w:p>
        </w:tc>
        <w:tc>
          <w:tcPr>
            <w:tcW w:w="1030" w:type="dxa"/>
            <w:tcBorders>
              <w:left w:val="single" w:color="auto" w:sz="4" w:space="0"/>
              <w:right w:val="single" w:color="auto" w:sz="4" w:space="0"/>
            </w:tcBorders>
            <w:vAlign w:val="center"/>
          </w:tcPr>
          <w:p w14:paraId="4746914A">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79996</w:t>
            </w:r>
          </w:p>
        </w:tc>
        <w:tc>
          <w:tcPr>
            <w:tcW w:w="1510" w:type="dxa"/>
            <w:tcBorders>
              <w:left w:val="single" w:color="auto" w:sz="4" w:space="0"/>
              <w:right w:val="single" w:color="auto" w:sz="4" w:space="0"/>
            </w:tcBorders>
            <w:shd w:val="clear" w:color="auto" w:fill="auto"/>
            <w:noWrap/>
            <w:vAlign w:val="center"/>
          </w:tcPr>
          <w:p w14:paraId="0944A048">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2023.11.10</w:t>
            </w:r>
          </w:p>
        </w:tc>
        <w:tc>
          <w:tcPr>
            <w:tcW w:w="880" w:type="dxa"/>
            <w:tcBorders>
              <w:left w:val="single" w:color="auto" w:sz="4" w:space="0"/>
              <w:right w:val="single" w:color="auto" w:sz="4" w:space="0"/>
            </w:tcBorders>
            <w:vAlign w:val="center"/>
          </w:tcPr>
          <w:p w14:paraId="7A5B43A9">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w:t>
            </w:r>
          </w:p>
        </w:tc>
        <w:tc>
          <w:tcPr>
            <w:tcW w:w="1390" w:type="dxa"/>
            <w:tcBorders>
              <w:left w:val="single" w:color="auto" w:sz="4" w:space="0"/>
            </w:tcBorders>
            <w:vAlign w:val="center"/>
          </w:tcPr>
          <w:p w14:paraId="3F1C68E4">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w:t>
            </w:r>
          </w:p>
        </w:tc>
      </w:tr>
      <w:tr w14:paraId="78150698">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1EFF1698">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鼎鑫106</w:t>
            </w:r>
          </w:p>
        </w:tc>
        <w:tc>
          <w:tcPr>
            <w:tcW w:w="1580" w:type="dxa"/>
            <w:vMerge w:val="restart"/>
            <w:tcBorders>
              <w:left w:val="single" w:color="auto" w:sz="4" w:space="0"/>
              <w:right w:val="single" w:color="auto" w:sz="4" w:space="0"/>
            </w:tcBorders>
            <w:vAlign w:val="center"/>
          </w:tcPr>
          <w:p w14:paraId="682B3194">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鼎鑫海运</w:t>
            </w:r>
          </w:p>
        </w:tc>
        <w:tc>
          <w:tcPr>
            <w:tcW w:w="1030" w:type="dxa"/>
            <w:tcBorders>
              <w:left w:val="single" w:color="auto" w:sz="4" w:space="0"/>
              <w:right w:val="single" w:color="auto" w:sz="4" w:space="0"/>
            </w:tcBorders>
            <w:vAlign w:val="center"/>
          </w:tcPr>
          <w:p w14:paraId="2C1A5C84">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54347</w:t>
            </w:r>
          </w:p>
        </w:tc>
        <w:tc>
          <w:tcPr>
            <w:tcW w:w="1510" w:type="dxa"/>
            <w:tcBorders>
              <w:left w:val="single" w:color="auto" w:sz="4" w:space="0"/>
              <w:right w:val="single" w:color="auto" w:sz="4" w:space="0"/>
            </w:tcBorders>
            <w:shd w:val="clear" w:color="auto" w:fill="auto"/>
            <w:noWrap/>
            <w:vAlign w:val="center"/>
          </w:tcPr>
          <w:p w14:paraId="3A59A5CF">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2021.9.29</w:t>
            </w:r>
          </w:p>
        </w:tc>
        <w:tc>
          <w:tcPr>
            <w:tcW w:w="880" w:type="dxa"/>
            <w:tcBorders>
              <w:left w:val="single" w:color="auto" w:sz="4" w:space="0"/>
              <w:right w:val="single" w:color="auto" w:sz="4" w:space="0"/>
            </w:tcBorders>
            <w:vAlign w:val="center"/>
          </w:tcPr>
          <w:p w14:paraId="132DA933">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否</w:t>
            </w:r>
          </w:p>
        </w:tc>
        <w:tc>
          <w:tcPr>
            <w:tcW w:w="1390" w:type="dxa"/>
            <w:tcBorders>
              <w:left w:val="single" w:color="auto" w:sz="4" w:space="0"/>
            </w:tcBorders>
            <w:vAlign w:val="center"/>
          </w:tcPr>
          <w:p w14:paraId="081CE0EB">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贴息</w:t>
            </w:r>
          </w:p>
        </w:tc>
      </w:tr>
      <w:tr w14:paraId="6B4A4A00">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57E490D4">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鼎鑫107</w:t>
            </w:r>
          </w:p>
        </w:tc>
        <w:tc>
          <w:tcPr>
            <w:tcW w:w="1580" w:type="dxa"/>
            <w:vMerge w:val="continue"/>
            <w:tcBorders>
              <w:left w:val="single" w:color="auto" w:sz="4" w:space="0"/>
              <w:right w:val="single" w:color="auto" w:sz="4" w:space="0"/>
            </w:tcBorders>
            <w:vAlign w:val="center"/>
          </w:tcPr>
          <w:p w14:paraId="221B135E">
            <w:pPr>
              <w:numPr>
                <w:ilvl w:val="0"/>
                <w:numId w:val="0"/>
              </w:numPr>
              <w:jc w:val="center"/>
              <w:rPr>
                <w:rFonts w:hint="eastAsia" w:ascii="仿宋" w:hAnsi="仿宋" w:eastAsia="仿宋" w:cs="仿宋"/>
                <w:b w:val="0"/>
                <w:bCs w:val="0"/>
                <w:kern w:val="2"/>
                <w:sz w:val="21"/>
                <w:szCs w:val="21"/>
                <w:vertAlign w:val="baseline"/>
                <w:lang w:val="en-US" w:eastAsia="zh-CN" w:bidi="ar-SA"/>
              </w:rPr>
            </w:pPr>
          </w:p>
        </w:tc>
        <w:tc>
          <w:tcPr>
            <w:tcW w:w="1030" w:type="dxa"/>
            <w:tcBorders>
              <w:left w:val="single" w:color="auto" w:sz="4" w:space="0"/>
              <w:right w:val="single" w:color="auto" w:sz="4" w:space="0"/>
            </w:tcBorders>
            <w:vAlign w:val="center"/>
          </w:tcPr>
          <w:p w14:paraId="60B702EE">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54641</w:t>
            </w:r>
          </w:p>
        </w:tc>
        <w:tc>
          <w:tcPr>
            <w:tcW w:w="1510" w:type="dxa"/>
            <w:tcBorders>
              <w:left w:val="single" w:color="auto" w:sz="4" w:space="0"/>
              <w:right w:val="single" w:color="auto" w:sz="4" w:space="0"/>
            </w:tcBorders>
            <w:shd w:val="clear" w:color="auto" w:fill="auto"/>
            <w:noWrap/>
            <w:vAlign w:val="center"/>
          </w:tcPr>
          <w:p w14:paraId="308FF4D4">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2021.11.24</w:t>
            </w:r>
          </w:p>
        </w:tc>
        <w:tc>
          <w:tcPr>
            <w:tcW w:w="880" w:type="dxa"/>
            <w:tcBorders>
              <w:left w:val="single" w:color="auto" w:sz="4" w:space="0"/>
              <w:right w:val="single" w:color="auto" w:sz="4" w:space="0"/>
            </w:tcBorders>
            <w:vAlign w:val="center"/>
          </w:tcPr>
          <w:p w14:paraId="58717BF7">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否</w:t>
            </w:r>
          </w:p>
        </w:tc>
        <w:tc>
          <w:tcPr>
            <w:tcW w:w="1390" w:type="dxa"/>
            <w:tcBorders>
              <w:left w:val="single" w:color="auto" w:sz="4" w:space="0"/>
            </w:tcBorders>
            <w:vAlign w:val="center"/>
          </w:tcPr>
          <w:p w14:paraId="5B88F339">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贴息</w:t>
            </w:r>
          </w:p>
        </w:tc>
      </w:tr>
      <w:tr w14:paraId="07682AE1">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6EC67D36">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鼎鑫113</w:t>
            </w:r>
          </w:p>
        </w:tc>
        <w:tc>
          <w:tcPr>
            <w:tcW w:w="1580" w:type="dxa"/>
            <w:vMerge w:val="continue"/>
            <w:tcBorders>
              <w:left w:val="single" w:color="auto" w:sz="4" w:space="0"/>
              <w:right w:val="single" w:color="auto" w:sz="4" w:space="0"/>
            </w:tcBorders>
            <w:vAlign w:val="center"/>
          </w:tcPr>
          <w:p w14:paraId="35FA7AE3">
            <w:pPr>
              <w:numPr>
                <w:ilvl w:val="0"/>
                <w:numId w:val="0"/>
              </w:numPr>
              <w:jc w:val="center"/>
              <w:rPr>
                <w:rFonts w:hint="eastAsia" w:ascii="仿宋" w:hAnsi="仿宋" w:eastAsia="仿宋" w:cs="仿宋"/>
                <w:b w:val="0"/>
                <w:bCs w:val="0"/>
                <w:kern w:val="2"/>
                <w:sz w:val="21"/>
                <w:szCs w:val="21"/>
                <w:vertAlign w:val="baseline"/>
                <w:lang w:val="en-US" w:eastAsia="zh-CN" w:bidi="ar-SA"/>
              </w:rPr>
            </w:pPr>
          </w:p>
        </w:tc>
        <w:tc>
          <w:tcPr>
            <w:tcW w:w="1030" w:type="dxa"/>
            <w:tcBorders>
              <w:left w:val="single" w:color="auto" w:sz="4" w:space="0"/>
              <w:right w:val="single" w:color="auto" w:sz="4" w:space="0"/>
            </w:tcBorders>
            <w:vAlign w:val="center"/>
          </w:tcPr>
          <w:p w14:paraId="25E0A650">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50209</w:t>
            </w:r>
          </w:p>
        </w:tc>
        <w:tc>
          <w:tcPr>
            <w:tcW w:w="1510" w:type="dxa"/>
            <w:tcBorders>
              <w:left w:val="single" w:color="auto" w:sz="4" w:space="0"/>
              <w:right w:val="single" w:color="auto" w:sz="4" w:space="0"/>
            </w:tcBorders>
            <w:shd w:val="clear" w:color="auto" w:fill="auto"/>
            <w:noWrap/>
            <w:vAlign w:val="center"/>
          </w:tcPr>
          <w:p w14:paraId="7EB08A46">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2022.5.13</w:t>
            </w:r>
          </w:p>
        </w:tc>
        <w:tc>
          <w:tcPr>
            <w:tcW w:w="880" w:type="dxa"/>
            <w:tcBorders>
              <w:left w:val="single" w:color="auto" w:sz="4" w:space="0"/>
              <w:right w:val="single" w:color="auto" w:sz="4" w:space="0"/>
            </w:tcBorders>
            <w:vAlign w:val="center"/>
          </w:tcPr>
          <w:p w14:paraId="5F162977">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是</w:t>
            </w:r>
          </w:p>
        </w:tc>
        <w:tc>
          <w:tcPr>
            <w:tcW w:w="1390" w:type="dxa"/>
            <w:tcBorders>
              <w:left w:val="single" w:color="auto" w:sz="4" w:space="0"/>
            </w:tcBorders>
            <w:vAlign w:val="center"/>
          </w:tcPr>
          <w:p w14:paraId="327867E2">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新增、贴息</w:t>
            </w:r>
          </w:p>
        </w:tc>
      </w:tr>
      <w:tr w14:paraId="50B7197E">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5183E073">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鼎鑫115</w:t>
            </w:r>
          </w:p>
        </w:tc>
        <w:tc>
          <w:tcPr>
            <w:tcW w:w="1580" w:type="dxa"/>
            <w:tcBorders>
              <w:left w:val="single" w:color="auto" w:sz="4" w:space="0"/>
              <w:right w:val="single" w:color="auto" w:sz="4" w:space="0"/>
            </w:tcBorders>
            <w:vAlign w:val="center"/>
          </w:tcPr>
          <w:p w14:paraId="294689AF">
            <w:pPr>
              <w:numPr>
                <w:ilvl w:val="0"/>
                <w:numId w:val="0"/>
              </w:numPr>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鑫淼海运</w:t>
            </w:r>
          </w:p>
        </w:tc>
        <w:tc>
          <w:tcPr>
            <w:tcW w:w="1030" w:type="dxa"/>
            <w:tcBorders>
              <w:left w:val="single" w:color="auto" w:sz="4" w:space="0"/>
              <w:right w:val="single" w:color="auto" w:sz="4" w:space="0"/>
            </w:tcBorders>
            <w:vAlign w:val="center"/>
          </w:tcPr>
          <w:p w14:paraId="63D48F97">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78900</w:t>
            </w:r>
          </w:p>
        </w:tc>
        <w:tc>
          <w:tcPr>
            <w:tcW w:w="1510" w:type="dxa"/>
            <w:tcBorders>
              <w:left w:val="single" w:color="auto" w:sz="4" w:space="0"/>
              <w:right w:val="single" w:color="auto" w:sz="4" w:space="0"/>
            </w:tcBorders>
            <w:shd w:val="clear" w:color="auto" w:fill="auto"/>
            <w:noWrap/>
            <w:vAlign w:val="center"/>
          </w:tcPr>
          <w:p w14:paraId="5EEAEE13">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2023.4.10</w:t>
            </w:r>
          </w:p>
        </w:tc>
        <w:tc>
          <w:tcPr>
            <w:tcW w:w="880" w:type="dxa"/>
            <w:tcBorders>
              <w:left w:val="single" w:color="auto" w:sz="4" w:space="0"/>
              <w:right w:val="single" w:color="auto" w:sz="4" w:space="0"/>
            </w:tcBorders>
            <w:vAlign w:val="center"/>
          </w:tcPr>
          <w:p w14:paraId="6E24101E">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w:t>
            </w:r>
          </w:p>
        </w:tc>
        <w:tc>
          <w:tcPr>
            <w:tcW w:w="1390" w:type="dxa"/>
            <w:tcBorders>
              <w:left w:val="single" w:color="auto" w:sz="4" w:space="0"/>
            </w:tcBorders>
            <w:vAlign w:val="center"/>
          </w:tcPr>
          <w:p w14:paraId="3E4DD2C5">
            <w:pPr>
              <w:pStyle w:val="6"/>
              <w:numPr>
                <w:ilvl w:val="0"/>
                <w:numId w:val="0"/>
              </w:numPr>
              <w:tabs>
                <w:tab w:val="clear" w:pos="2040"/>
              </w:tabs>
              <w:ind w:left="0" w:leftChars="0" w:firstLine="0" w:firstLineChars="0"/>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w:t>
            </w:r>
          </w:p>
        </w:tc>
      </w:tr>
      <w:tr w14:paraId="444C7BFD">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1BACCBDC">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东亿601</w:t>
            </w:r>
          </w:p>
        </w:tc>
        <w:tc>
          <w:tcPr>
            <w:tcW w:w="1580" w:type="dxa"/>
            <w:vMerge w:val="restart"/>
            <w:tcBorders>
              <w:left w:val="single" w:color="auto" w:sz="4" w:space="0"/>
              <w:right w:val="single" w:color="auto" w:sz="4" w:space="0"/>
            </w:tcBorders>
            <w:vAlign w:val="center"/>
          </w:tcPr>
          <w:p w14:paraId="7B7FC60E">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东亿船务</w:t>
            </w:r>
          </w:p>
        </w:tc>
        <w:tc>
          <w:tcPr>
            <w:tcW w:w="1030" w:type="dxa"/>
            <w:tcBorders>
              <w:left w:val="single" w:color="auto" w:sz="4" w:space="0"/>
              <w:right w:val="single" w:color="auto" w:sz="4" w:space="0"/>
            </w:tcBorders>
            <w:vAlign w:val="center"/>
          </w:tcPr>
          <w:p w14:paraId="1DBECEF9">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74525</w:t>
            </w:r>
          </w:p>
        </w:tc>
        <w:tc>
          <w:tcPr>
            <w:tcW w:w="1510" w:type="dxa"/>
            <w:tcBorders>
              <w:left w:val="single" w:color="auto" w:sz="4" w:space="0"/>
              <w:right w:val="single" w:color="auto" w:sz="4" w:space="0"/>
            </w:tcBorders>
            <w:shd w:val="clear" w:color="auto" w:fill="auto"/>
            <w:noWrap/>
            <w:vAlign w:val="center"/>
          </w:tcPr>
          <w:p w14:paraId="4F22D850">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2022.4.29</w:t>
            </w:r>
          </w:p>
        </w:tc>
        <w:tc>
          <w:tcPr>
            <w:tcW w:w="880" w:type="dxa"/>
            <w:tcBorders>
              <w:left w:val="single" w:color="auto" w:sz="4" w:space="0"/>
              <w:right w:val="single" w:color="auto" w:sz="4" w:space="0"/>
            </w:tcBorders>
            <w:vAlign w:val="center"/>
          </w:tcPr>
          <w:p w14:paraId="3DA9DC84">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否</w:t>
            </w:r>
          </w:p>
        </w:tc>
        <w:tc>
          <w:tcPr>
            <w:tcW w:w="1390" w:type="dxa"/>
            <w:tcBorders>
              <w:left w:val="single" w:color="auto" w:sz="4" w:space="0"/>
            </w:tcBorders>
            <w:vAlign w:val="center"/>
          </w:tcPr>
          <w:p w14:paraId="43ABD802">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新增、贴息</w:t>
            </w:r>
          </w:p>
        </w:tc>
      </w:tr>
      <w:tr w14:paraId="132AB925">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60980984">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东亿602</w:t>
            </w:r>
          </w:p>
        </w:tc>
        <w:tc>
          <w:tcPr>
            <w:tcW w:w="1580" w:type="dxa"/>
            <w:vMerge w:val="continue"/>
            <w:tcBorders>
              <w:left w:val="single" w:color="auto" w:sz="4" w:space="0"/>
              <w:right w:val="single" w:color="auto" w:sz="4" w:space="0"/>
            </w:tcBorders>
            <w:vAlign w:val="center"/>
          </w:tcPr>
          <w:p w14:paraId="5ACF0CB1">
            <w:pPr>
              <w:numPr>
                <w:ilvl w:val="0"/>
                <w:numId w:val="0"/>
              </w:numPr>
              <w:jc w:val="center"/>
              <w:rPr>
                <w:rFonts w:hint="eastAsia" w:ascii="仿宋" w:hAnsi="仿宋" w:eastAsia="仿宋" w:cs="仿宋"/>
                <w:b w:val="0"/>
                <w:bCs w:val="0"/>
                <w:kern w:val="2"/>
                <w:sz w:val="21"/>
                <w:szCs w:val="21"/>
                <w:vertAlign w:val="baseline"/>
                <w:lang w:val="en-US" w:eastAsia="zh-CN" w:bidi="ar-SA"/>
              </w:rPr>
            </w:pPr>
          </w:p>
        </w:tc>
        <w:tc>
          <w:tcPr>
            <w:tcW w:w="1030" w:type="dxa"/>
            <w:tcBorders>
              <w:left w:val="single" w:color="auto" w:sz="4" w:space="0"/>
              <w:right w:val="single" w:color="auto" w:sz="4" w:space="0"/>
            </w:tcBorders>
            <w:vAlign w:val="center"/>
          </w:tcPr>
          <w:p w14:paraId="5DC09858">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75311</w:t>
            </w:r>
          </w:p>
        </w:tc>
        <w:tc>
          <w:tcPr>
            <w:tcW w:w="1510" w:type="dxa"/>
            <w:tcBorders>
              <w:left w:val="single" w:color="auto" w:sz="4" w:space="0"/>
              <w:right w:val="single" w:color="auto" w:sz="4" w:space="0"/>
            </w:tcBorders>
            <w:shd w:val="clear" w:color="auto" w:fill="auto"/>
            <w:noWrap/>
            <w:vAlign w:val="center"/>
          </w:tcPr>
          <w:p w14:paraId="68040E12">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2022.9.22</w:t>
            </w:r>
          </w:p>
        </w:tc>
        <w:tc>
          <w:tcPr>
            <w:tcW w:w="880" w:type="dxa"/>
            <w:tcBorders>
              <w:left w:val="single" w:color="auto" w:sz="4" w:space="0"/>
              <w:right w:val="single" w:color="auto" w:sz="4" w:space="0"/>
            </w:tcBorders>
            <w:vAlign w:val="center"/>
          </w:tcPr>
          <w:p w14:paraId="4D76EE97">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否</w:t>
            </w:r>
          </w:p>
        </w:tc>
        <w:tc>
          <w:tcPr>
            <w:tcW w:w="1390" w:type="dxa"/>
            <w:tcBorders>
              <w:left w:val="single" w:color="auto" w:sz="4" w:space="0"/>
            </w:tcBorders>
            <w:vAlign w:val="center"/>
          </w:tcPr>
          <w:p w14:paraId="5FF049F5">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新增、贴息</w:t>
            </w:r>
          </w:p>
        </w:tc>
      </w:tr>
      <w:tr w14:paraId="09C12B14">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6951F665">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东亿603</w:t>
            </w:r>
          </w:p>
        </w:tc>
        <w:tc>
          <w:tcPr>
            <w:tcW w:w="1580" w:type="dxa"/>
            <w:vMerge w:val="continue"/>
            <w:tcBorders>
              <w:left w:val="single" w:color="auto" w:sz="4" w:space="0"/>
              <w:right w:val="single" w:color="auto" w:sz="4" w:space="0"/>
            </w:tcBorders>
            <w:vAlign w:val="center"/>
          </w:tcPr>
          <w:p w14:paraId="15526111">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p>
        </w:tc>
        <w:tc>
          <w:tcPr>
            <w:tcW w:w="1030" w:type="dxa"/>
            <w:tcBorders>
              <w:left w:val="single" w:color="auto" w:sz="4" w:space="0"/>
              <w:right w:val="single" w:color="auto" w:sz="4" w:space="0"/>
            </w:tcBorders>
            <w:vAlign w:val="center"/>
          </w:tcPr>
          <w:p w14:paraId="4D337C64">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75311</w:t>
            </w:r>
          </w:p>
        </w:tc>
        <w:tc>
          <w:tcPr>
            <w:tcW w:w="1510" w:type="dxa"/>
            <w:tcBorders>
              <w:left w:val="single" w:color="auto" w:sz="4" w:space="0"/>
              <w:right w:val="single" w:color="auto" w:sz="4" w:space="0"/>
            </w:tcBorders>
            <w:shd w:val="clear" w:color="auto" w:fill="auto"/>
            <w:noWrap/>
            <w:vAlign w:val="center"/>
          </w:tcPr>
          <w:p w14:paraId="4D586295">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2022.12.27</w:t>
            </w:r>
          </w:p>
        </w:tc>
        <w:tc>
          <w:tcPr>
            <w:tcW w:w="880" w:type="dxa"/>
            <w:tcBorders>
              <w:left w:val="single" w:color="auto" w:sz="4" w:space="0"/>
              <w:right w:val="single" w:color="auto" w:sz="4" w:space="0"/>
            </w:tcBorders>
            <w:vAlign w:val="center"/>
          </w:tcPr>
          <w:p w14:paraId="010E7379">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否</w:t>
            </w:r>
          </w:p>
        </w:tc>
        <w:tc>
          <w:tcPr>
            <w:tcW w:w="1390" w:type="dxa"/>
            <w:tcBorders>
              <w:left w:val="single" w:color="auto" w:sz="4" w:space="0"/>
            </w:tcBorders>
            <w:vAlign w:val="center"/>
          </w:tcPr>
          <w:p w14:paraId="02E90F15">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新增、贴息</w:t>
            </w:r>
          </w:p>
        </w:tc>
      </w:tr>
      <w:tr w14:paraId="1DBF79B1">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41BEA845">
            <w:pPr>
              <w:pStyle w:val="6"/>
              <w:numPr>
                <w:ilvl w:val="0"/>
                <w:numId w:val="0"/>
              </w:numPr>
              <w:tabs>
                <w:tab w:val="clear" w:pos="2040"/>
              </w:tabs>
              <w:ind w:left="0" w:leftChars="0" w:firstLine="0" w:firstLineChars="0"/>
              <w:jc w:val="cente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b w:val="0"/>
                <w:bCs w:val="0"/>
                <w:color w:val="000000" w:themeColor="text1"/>
                <w:kern w:val="2"/>
                <w:sz w:val="21"/>
                <w:szCs w:val="21"/>
                <w:vertAlign w:val="baseline"/>
                <w:lang w:val="zh-CN" w:eastAsia="zh-CN" w:bidi="ar-SA"/>
                <w14:textFill>
                  <w14:solidFill>
                    <w14:schemeClr w14:val="tx1"/>
                  </w14:solidFill>
                </w14:textFill>
              </w:rPr>
              <w:t>华信长荣</w:t>
            </w:r>
          </w:p>
        </w:tc>
        <w:tc>
          <w:tcPr>
            <w:tcW w:w="1580" w:type="dxa"/>
            <w:tcBorders>
              <w:left w:val="single" w:color="auto" w:sz="4" w:space="0"/>
              <w:right w:val="single" w:color="auto" w:sz="4" w:space="0"/>
            </w:tcBorders>
            <w:vAlign w:val="center"/>
          </w:tcPr>
          <w:p w14:paraId="38ABF718">
            <w:pPr>
              <w:pStyle w:val="6"/>
              <w:numPr>
                <w:ilvl w:val="0"/>
                <w:numId w:val="0"/>
              </w:numPr>
              <w:tabs>
                <w:tab w:val="clear" w:pos="2040"/>
              </w:tabs>
              <w:ind w:left="0" w:leftChars="0" w:firstLine="0" w:firstLineChars="0"/>
              <w:jc w:val="cente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t>华信船运</w:t>
            </w:r>
          </w:p>
        </w:tc>
        <w:tc>
          <w:tcPr>
            <w:tcW w:w="1030" w:type="dxa"/>
            <w:tcBorders>
              <w:left w:val="single" w:color="auto" w:sz="4" w:space="0"/>
              <w:right w:val="single" w:color="auto" w:sz="4" w:space="0"/>
            </w:tcBorders>
            <w:vAlign w:val="center"/>
          </w:tcPr>
          <w:p w14:paraId="1D64C05F">
            <w:pPr>
              <w:pStyle w:val="6"/>
              <w:numPr>
                <w:ilvl w:val="0"/>
                <w:numId w:val="0"/>
              </w:numPr>
              <w:tabs>
                <w:tab w:val="clear" w:pos="2040"/>
              </w:tabs>
              <w:ind w:left="0" w:leftChars="0" w:firstLine="0" w:firstLineChars="0"/>
              <w:jc w:val="cente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b w:val="0"/>
                <w:bCs w:val="0"/>
                <w:color w:val="000000" w:themeColor="text1"/>
                <w:kern w:val="2"/>
                <w:sz w:val="21"/>
                <w:szCs w:val="21"/>
                <w:vertAlign w:val="baseline"/>
                <w:lang w:val="zh-CN" w:eastAsia="zh-CN" w:bidi="ar-SA"/>
                <w14:textFill>
                  <w14:solidFill>
                    <w14:schemeClr w14:val="tx1"/>
                  </w14:solidFill>
                </w14:textFill>
              </w:rPr>
              <w:t>11216</w:t>
            </w:r>
          </w:p>
        </w:tc>
        <w:tc>
          <w:tcPr>
            <w:tcW w:w="1510" w:type="dxa"/>
            <w:tcBorders>
              <w:left w:val="single" w:color="auto" w:sz="4" w:space="0"/>
              <w:right w:val="single" w:color="auto" w:sz="4" w:space="0"/>
            </w:tcBorders>
            <w:shd w:val="clear" w:color="auto" w:fill="auto"/>
            <w:noWrap/>
            <w:vAlign w:val="center"/>
          </w:tcPr>
          <w:p w14:paraId="1EEC2260">
            <w:pPr>
              <w:keepNext w:val="0"/>
              <w:keepLines w:val="0"/>
              <w:widowControl/>
              <w:suppressLineNumbers w:val="0"/>
              <w:jc w:val="center"/>
              <w:textAlignment w:val="cente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2022.3.22</w:t>
            </w:r>
          </w:p>
        </w:tc>
        <w:tc>
          <w:tcPr>
            <w:tcW w:w="880" w:type="dxa"/>
            <w:tcBorders>
              <w:left w:val="single" w:color="auto" w:sz="4" w:space="0"/>
              <w:right w:val="single" w:color="auto" w:sz="4" w:space="0"/>
            </w:tcBorders>
            <w:vAlign w:val="center"/>
          </w:tcPr>
          <w:p w14:paraId="5CA3C1B5">
            <w:pPr>
              <w:pStyle w:val="6"/>
              <w:numPr>
                <w:ilvl w:val="0"/>
                <w:numId w:val="0"/>
              </w:numPr>
              <w:tabs>
                <w:tab w:val="clear" w:pos="2040"/>
              </w:tabs>
              <w:ind w:left="0" w:leftChars="0" w:firstLine="0" w:firstLineChars="0"/>
              <w:jc w:val="cente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t>-</w:t>
            </w:r>
          </w:p>
        </w:tc>
        <w:tc>
          <w:tcPr>
            <w:tcW w:w="1390" w:type="dxa"/>
            <w:tcBorders>
              <w:left w:val="single" w:color="auto" w:sz="4" w:space="0"/>
            </w:tcBorders>
            <w:vAlign w:val="center"/>
          </w:tcPr>
          <w:p w14:paraId="7668EE13">
            <w:pPr>
              <w:pStyle w:val="6"/>
              <w:numPr>
                <w:ilvl w:val="0"/>
                <w:numId w:val="0"/>
              </w:numPr>
              <w:tabs>
                <w:tab w:val="clear" w:pos="2040"/>
              </w:tabs>
              <w:ind w:left="0" w:leftChars="0" w:firstLine="0" w:firstLineChars="0"/>
              <w:jc w:val="cente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b w:val="0"/>
                <w:bCs w:val="0"/>
                <w:color w:val="000000" w:themeColor="text1"/>
                <w:kern w:val="2"/>
                <w:sz w:val="21"/>
                <w:szCs w:val="21"/>
                <w:vertAlign w:val="baseline"/>
                <w:lang w:val="en-US" w:eastAsia="zh-CN" w:bidi="ar-SA"/>
                <w14:textFill>
                  <w14:solidFill>
                    <w14:schemeClr w14:val="tx1"/>
                  </w14:solidFill>
                </w14:textFill>
              </w:rPr>
              <w:t>新增</w:t>
            </w:r>
          </w:p>
        </w:tc>
      </w:tr>
      <w:tr w14:paraId="18458AD4">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55BB44E9">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鑫嘉源117</w:t>
            </w:r>
          </w:p>
        </w:tc>
        <w:tc>
          <w:tcPr>
            <w:tcW w:w="1580" w:type="dxa"/>
            <w:tcBorders>
              <w:left w:val="single" w:color="auto" w:sz="4" w:space="0"/>
              <w:right w:val="single" w:color="auto" w:sz="4" w:space="0"/>
            </w:tcBorders>
            <w:vAlign w:val="center"/>
          </w:tcPr>
          <w:p w14:paraId="3A66BBC4">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鑫嘉源海运</w:t>
            </w:r>
          </w:p>
        </w:tc>
        <w:tc>
          <w:tcPr>
            <w:tcW w:w="1030" w:type="dxa"/>
            <w:tcBorders>
              <w:left w:val="single" w:color="auto" w:sz="4" w:space="0"/>
              <w:right w:val="single" w:color="auto" w:sz="4" w:space="0"/>
            </w:tcBorders>
            <w:vAlign w:val="center"/>
          </w:tcPr>
          <w:p w14:paraId="109D9DEC">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12626</w:t>
            </w:r>
          </w:p>
        </w:tc>
        <w:tc>
          <w:tcPr>
            <w:tcW w:w="1510" w:type="dxa"/>
            <w:tcBorders>
              <w:left w:val="single" w:color="auto" w:sz="4" w:space="0"/>
              <w:right w:val="single" w:color="auto" w:sz="4" w:space="0"/>
            </w:tcBorders>
            <w:shd w:val="clear" w:color="auto" w:fill="auto"/>
            <w:noWrap/>
            <w:vAlign w:val="center"/>
          </w:tcPr>
          <w:p w14:paraId="4D8F9B3A">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2022.7.7</w:t>
            </w:r>
          </w:p>
        </w:tc>
        <w:tc>
          <w:tcPr>
            <w:tcW w:w="880" w:type="dxa"/>
            <w:tcBorders>
              <w:left w:val="single" w:color="auto" w:sz="4" w:space="0"/>
              <w:right w:val="single" w:color="auto" w:sz="4" w:space="0"/>
            </w:tcBorders>
            <w:vAlign w:val="center"/>
          </w:tcPr>
          <w:p w14:paraId="54E2F233">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w:t>
            </w:r>
          </w:p>
        </w:tc>
        <w:tc>
          <w:tcPr>
            <w:tcW w:w="1390" w:type="dxa"/>
            <w:tcBorders>
              <w:left w:val="single" w:color="auto" w:sz="4" w:space="0"/>
            </w:tcBorders>
            <w:vAlign w:val="center"/>
          </w:tcPr>
          <w:p w14:paraId="1E517A28">
            <w:pPr>
              <w:numPr>
                <w:ilvl w:val="0"/>
                <w:numId w:val="0"/>
              </w:numPr>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w:t>
            </w:r>
          </w:p>
        </w:tc>
      </w:tr>
      <w:tr w14:paraId="792648F1">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24927437">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安丰盛</w:t>
            </w:r>
          </w:p>
        </w:tc>
        <w:tc>
          <w:tcPr>
            <w:tcW w:w="1580" w:type="dxa"/>
            <w:tcBorders>
              <w:left w:val="single" w:color="auto" w:sz="4" w:space="0"/>
              <w:right w:val="single" w:color="auto" w:sz="4" w:space="0"/>
            </w:tcBorders>
            <w:vAlign w:val="center"/>
          </w:tcPr>
          <w:p w14:paraId="05415C97">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安丰船务</w:t>
            </w:r>
          </w:p>
        </w:tc>
        <w:tc>
          <w:tcPr>
            <w:tcW w:w="1030" w:type="dxa"/>
            <w:tcBorders>
              <w:left w:val="single" w:color="auto" w:sz="4" w:space="0"/>
              <w:right w:val="single" w:color="auto" w:sz="4" w:space="0"/>
            </w:tcBorders>
            <w:vAlign w:val="center"/>
          </w:tcPr>
          <w:p w14:paraId="2D7DB957">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7497</w:t>
            </w:r>
          </w:p>
        </w:tc>
        <w:tc>
          <w:tcPr>
            <w:tcW w:w="1510" w:type="dxa"/>
            <w:tcBorders>
              <w:left w:val="single" w:color="auto" w:sz="4" w:space="0"/>
              <w:right w:val="single" w:color="auto" w:sz="4" w:space="0"/>
            </w:tcBorders>
            <w:shd w:val="clear" w:color="auto" w:fill="auto"/>
            <w:noWrap/>
            <w:vAlign w:val="center"/>
          </w:tcPr>
          <w:p w14:paraId="11D3473F">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2021.12.10</w:t>
            </w:r>
          </w:p>
        </w:tc>
        <w:tc>
          <w:tcPr>
            <w:tcW w:w="880" w:type="dxa"/>
            <w:tcBorders>
              <w:left w:val="single" w:color="auto" w:sz="4" w:space="0"/>
              <w:right w:val="single" w:color="auto" w:sz="4" w:space="0"/>
            </w:tcBorders>
            <w:vAlign w:val="center"/>
          </w:tcPr>
          <w:p w14:paraId="00653FE4">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w:t>
            </w:r>
          </w:p>
        </w:tc>
        <w:tc>
          <w:tcPr>
            <w:tcW w:w="1390" w:type="dxa"/>
            <w:tcBorders>
              <w:left w:val="single" w:color="auto" w:sz="4" w:space="0"/>
            </w:tcBorders>
            <w:vAlign w:val="center"/>
          </w:tcPr>
          <w:p w14:paraId="4687276E">
            <w:pPr>
              <w:numPr>
                <w:ilvl w:val="0"/>
                <w:numId w:val="0"/>
              </w:numPr>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w:t>
            </w:r>
          </w:p>
        </w:tc>
      </w:tr>
      <w:tr w14:paraId="5E915271">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35BA141B">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宝晟27</w:t>
            </w:r>
          </w:p>
        </w:tc>
        <w:tc>
          <w:tcPr>
            <w:tcW w:w="1580" w:type="dxa"/>
            <w:tcBorders>
              <w:left w:val="single" w:color="auto" w:sz="4" w:space="0"/>
              <w:right w:val="single" w:color="auto" w:sz="4" w:space="0"/>
            </w:tcBorders>
            <w:vAlign w:val="center"/>
          </w:tcPr>
          <w:p w14:paraId="1EE9B228">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宝晟船务</w:t>
            </w:r>
          </w:p>
        </w:tc>
        <w:tc>
          <w:tcPr>
            <w:tcW w:w="1030" w:type="dxa"/>
            <w:tcBorders>
              <w:left w:val="single" w:color="auto" w:sz="4" w:space="0"/>
              <w:right w:val="single" w:color="auto" w:sz="4" w:space="0"/>
            </w:tcBorders>
            <w:vAlign w:val="center"/>
          </w:tcPr>
          <w:p w14:paraId="2EFF5B9B">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7499</w:t>
            </w:r>
          </w:p>
        </w:tc>
        <w:tc>
          <w:tcPr>
            <w:tcW w:w="1510" w:type="dxa"/>
            <w:tcBorders>
              <w:left w:val="single" w:color="auto" w:sz="4" w:space="0"/>
              <w:right w:val="single" w:color="auto" w:sz="4" w:space="0"/>
            </w:tcBorders>
            <w:shd w:val="clear" w:color="auto" w:fill="auto"/>
            <w:noWrap/>
            <w:vAlign w:val="center"/>
          </w:tcPr>
          <w:p w14:paraId="77483734">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2022.1.26</w:t>
            </w:r>
          </w:p>
        </w:tc>
        <w:tc>
          <w:tcPr>
            <w:tcW w:w="880" w:type="dxa"/>
            <w:tcBorders>
              <w:left w:val="single" w:color="auto" w:sz="4" w:space="0"/>
              <w:right w:val="single" w:color="auto" w:sz="4" w:space="0"/>
            </w:tcBorders>
            <w:vAlign w:val="center"/>
          </w:tcPr>
          <w:p w14:paraId="65645D51">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w:t>
            </w:r>
          </w:p>
        </w:tc>
        <w:tc>
          <w:tcPr>
            <w:tcW w:w="1390" w:type="dxa"/>
            <w:tcBorders>
              <w:left w:val="single" w:color="auto" w:sz="4" w:space="0"/>
            </w:tcBorders>
            <w:vAlign w:val="center"/>
          </w:tcPr>
          <w:p w14:paraId="221E86CB">
            <w:pPr>
              <w:numPr>
                <w:ilvl w:val="0"/>
                <w:numId w:val="0"/>
              </w:numPr>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w:t>
            </w:r>
          </w:p>
        </w:tc>
      </w:tr>
      <w:tr w14:paraId="1833F1C9">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7828D8A3">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弘兴288</w:t>
            </w:r>
          </w:p>
        </w:tc>
        <w:tc>
          <w:tcPr>
            <w:tcW w:w="1580" w:type="dxa"/>
            <w:tcBorders>
              <w:left w:val="single" w:color="auto" w:sz="4" w:space="0"/>
              <w:right w:val="single" w:color="auto" w:sz="4" w:space="0"/>
            </w:tcBorders>
            <w:vAlign w:val="center"/>
          </w:tcPr>
          <w:p w14:paraId="49B78762">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弘兴船务</w:t>
            </w:r>
          </w:p>
        </w:tc>
        <w:tc>
          <w:tcPr>
            <w:tcW w:w="1030" w:type="dxa"/>
            <w:tcBorders>
              <w:left w:val="single" w:color="auto" w:sz="4" w:space="0"/>
              <w:right w:val="single" w:color="auto" w:sz="4" w:space="0"/>
            </w:tcBorders>
            <w:vAlign w:val="center"/>
          </w:tcPr>
          <w:p w14:paraId="2F193BA7">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8035</w:t>
            </w:r>
          </w:p>
        </w:tc>
        <w:tc>
          <w:tcPr>
            <w:tcW w:w="1510" w:type="dxa"/>
            <w:tcBorders>
              <w:left w:val="single" w:color="auto" w:sz="4" w:space="0"/>
              <w:right w:val="single" w:color="auto" w:sz="4" w:space="0"/>
            </w:tcBorders>
            <w:shd w:val="clear" w:color="auto" w:fill="auto"/>
            <w:noWrap/>
            <w:vAlign w:val="center"/>
          </w:tcPr>
          <w:p w14:paraId="139ED556">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2021.11.24</w:t>
            </w:r>
          </w:p>
        </w:tc>
        <w:tc>
          <w:tcPr>
            <w:tcW w:w="880" w:type="dxa"/>
            <w:tcBorders>
              <w:left w:val="single" w:color="auto" w:sz="4" w:space="0"/>
              <w:right w:val="single" w:color="auto" w:sz="4" w:space="0"/>
            </w:tcBorders>
            <w:vAlign w:val="center"/>
          </w:tcPr>
          <w:p w14:paraId="004FAA80">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w:t>
            </w:r>
          </w:p>
        </w:tc>
        <w:tc>
          <w:tcPr>
            <w:tcW w:w="1390" w:type="dxa"/>
            <w:tcBorders>
              <w:left w:val="single" w:color="auto" w:sz="4" w:space="0"/>
            </w:tcBorders>
            <w:vAlign w:val="center"/>
          </w:tcPr>
          <w:p w14:paraId="121E0749">
            <w:pPr>
              <w:numPr>
                <w:ilvl w:val="0"/>
                <w:numId w:val="0"/>
              </w:numPr>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w:t>
            </w:r>
          </w:p>
        </w:tc>
      </w:tr>
      <w:tr w14:paraId="42C9B009">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1275C3A0">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弘旭68</w:t>
            </w:r>
          </w:p>
        </w:tc>
        <w:tc>
          <w:tcPr>
            <w:tcW w:w="1580" w:type="dxa"/>
            <w:tcBorders>
              <w:left w:val="single" w:color="auto" w:sz="4" w:space="0"/>
              <w:right w:val="single" w:color="auto" w:sz="4" w:space="0"/>
            </w:tcBorders>
            <w:vAlign w:val="center"/>
          </w:tcPr>
          <w:p w14:paraId="58BB5F0F">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弘旭船务</w:t>
            </w:r>
          </w:p>
        </w:tc>
        <w:tc>
          <w:tcPr>
            <w:tcW w:w="1030" w:type="dxa"/>
            <w:tcBorders>
              <w:left w:val="single" w:color="auto" w:sz="4" w:space="0"/>
              <w:right w:val="single" w:color="auto" w:sz="4" w:space="0"/>
            </w:tcBorders>
            <w:vAlign w:val="center"/>
          </w:tcPr>
          <w:p w14:paraId="505DF715">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7490</w:t>
            </w:r>
          </w:p>
        </w:tc>
        <w:tc>
          <w:tcPr>
            <w:tcW w:w="1510" w:type="dxa"/>
            <w:tcBorders>
              <w:left w:val="single" w:color="auto" w:sz="4" w:space="0"/>
              <w:right w:val="single" w:color="auto" w:sz="4" w:space="0"/>
            </w:tcBorders>
            <w:shd w:val="clear" w:color="auto" w:fill="auto"/>
            <w:noWrap/>
            <w:vAlign w:val="center"/>
          </w:tcPr>
          <w:p w14:paraId="04471C3A">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2022.1.26</w:t>
            </w:r>
          </w:p>
        </w:tc>
        <w:tc>
          <w:tcPr>
            <w:tcW w:w="880" w:type="dxa"/>
            <w:tcBorders>
              <w:left w:val="single" w:color="auto" w:sz="4" w:space="0"/>
              <w:right w:val="single" w:color="auto" w:sz="4" w:space="0"/>
            </w:tcBorders>
            <w:vAlign w:val="center"/>
          </w:tcPr>
          <w:p w14:paraId="560D6805">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w:t>
            </w:r>
          </w:p>
        </w:tc>
        <w:tc>
          <w:tcPr>
            <w:tcW w:w="1390" w:type="dxa"/>
            <w:tcBorders>
              <w:left w:val="single" w:color="auto" w:sz="4" w:space="0"/>
            </w:tcBorders>
            <w:vAlign w:val="center"/>
          </w:tcPr>
          <w:p w14:paraId="43973A79">
            <w:pPr>
              <w:numPr>
                <w:ilvl w:val="0"/>
                <w:numId w:val="0"/>
              </w:numPr>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w:t>
            </w:r>
          </w:p>
        </w:tc>
      </w:tr>
      <w:tr w14:paraId="2B5EB259">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689378A1">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祥展15</w:t>
            </w:r>
          </w:p>
        </w:tc>
        <w:tc>
          <w:tcPr>
            <w:tcW w:w="1580" w:type="dxa"/>
            <w:tcBorders>
              <w:left w:val="single" w:color="auto" w:sz="4" w:space="0"/>
              <w:right w:val="single" w:color="auto" w:sz="4" w:space="0"/>
            </w:tcBorders>
            <w:vAlign w:val="center"/>
          </w:tcPr>
          <w:p w14:paraId="362C8384">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祥展航运</w:t>
            </w:r>
          </w:p>
        </w:tc>
        <w:tc>
          <w:tcPr>
            <w:tcW w:w="1030" w:type="dxa"/>
            <w:tcBorders>
              <w:left w:val="single" w:color="auto" w:sz="4" w:space="0"/>
              <w:right w:val="single" w:color="auto" w:sz="4" w:space="0"/>
            </w:tcBorders>
            <w:vAlign w:val="center"/>
          </w:tcPr>
          <w:p w14:paraId="7D9941CD">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12658</w:t>
            </w:r>
          </w:p>
        </w:tc>
        <w:tc>
          <w:tcPr>
            <w:tcW w:w="1510" w:type="dxa"/>
            <w:tcBorders>
              <w:left w:val="single" w:color="auto" w:sz="4" w:space="0"/>
              <w:right w:val="single" w:color="auto" w:sz="4" w:space="0"/>
            </w:tcBorders>
            <w:shd w:val="clear" w:color="auto" w:fill="auto"/>
            <w:noWrap/>
            <w:vAlign w:val="center"/>
          </w:tcPr>
          <w:p w14:paraId="1B569409">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2022.8.3</w:t>
            </w:r>
          </w:p>
        </w:tc>
        <w:tc>
          <w:tcPr>
            <w:tcW w:w="880" w:type="dxa"/>
            <w:tcBorders>
              <w:left w:val="single" w:color="auto" w:sz="4" w:space="0"/>
              <w:right w:val="single" w:color="auto" w:sz="4" w:space="0"/>
            </w:tcBorders>
            <w:vAlign w:val="center"/>
          </w:tcPr>
          <w:p w14:paraId="224A74F4">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w:t>
            </w:r>
          </w:p>
        </w:tc>
        <w:tc>
          <w:tcPr>
            <w:tcW w:w="1390" w:type="dxa"/>
            <w:tcBorders>
              <w:left w:val="single" w:color="auto" w:sz="4" w:space="0"/>
            </w:tcBorders>
            <w:vAlign w:val="center"/>
          </w:tcPr>
          <w:p w14:paraId="1D4E404E">
            <w:pPr>
              <w:numPr>
                <w:ilvl w:val="0"/>
                <w:numId w:val="0"/>
              </w:numPr>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w:t>
            </w:r>
          </w:p>
        </w:tc>
      </w:tr>
      <w:tr w14:paraId="1A0E5BD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70" w:hRule="atLeast"/>
          <w:jc w:val="center"/>
        </w:trPr>
        <w:tc>
          <w:tcPr>
            <w:tcW w:w="1210" w:type="dxa"/>
            <w:tcBorders>
              <w:right w:val="single" w:color="auto" w:sz="4" w:space="0"/>
            </w:tcBorders>
            <w:shd w:val="clear" w:color="auto" w:fill="auto"/>
            <w:noWrap/>
            <w:vAlign w:val="center"/>
          </w:tcPr>
          <w:p w14:paraId="413977FF">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华锦01</w:t>
            </w:r>
          </w:p>
        </w:tc>
        <w:tc>
          <w:tcPr>
            <w:tcW w:w="1580" w:type="dxa"/>
            <w:tcBorders>
              <w:left w:val="single" w:color="auto" w:sz="4" w:space="0"/>
              <w:right w:val="single" w:color="auto" w:sz="4" w:space="0"/>
            </w:tcBorders>
            <w:vAlign w:val="center"/>
          </w:tcPr>
          <w:p w14:paraId="55FF5BF3">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聚远海运</w:t>
            </w:r>
          </w:p>
        </w:tc>
        <w:tc>
          <w:tcPr>
            <w:tcW w:w="1030" w:type="dxa"/>
            <w:tcBorders>
              <w:left w:val="single" w:color="auto" w:sz="4" w:space="0"/>
              <w:right w:val="single" w:color="auto" w:sz="4" w:space="0"/>
            </w:tcBorders>
            <w:vAlign w:val="center"/>
          </w:tcPr>
          <w:p w14:paraId="2D22DFC2">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13490</w:t>
            </w:r>
          </w:p>
        </w:tc>
        <w:tc>
          <w:tcPr>
            <w:tcW w:w="1510" w:type="dxa"/>
            <w:tcBorders>
              <w:left w:val="single" w:color="auto" w:sz="4" w:space="0"/>
              <w:right w:val="single" w:color="auto" w:sz="4" w:space="0"/>
            </w:tcBorders>
            <w:shd w:val="clear" w:color="auto" w:fill="auto"/>
            <w:noWrap/>
            <w:vAlign w:val="center"/>
          </w:tcPr>
          <w:p w14:paraId="2531C6FA">
            <w:pPr>
              <w:pStyle w:val="6"/>
              <w:numPr>
                <w:ilvl w:val="0"/>
                <w:numId w:val="0"/>
              </w:numPr>
              <w:tabs>
                <w:tab w:val="clear" w:pos="2040"/>
              </w:tabs>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2022.5.7</w:t>
            </w:r>
          </w:p>
        </w:tc>
        <w:tc>
          <w:tcPr>
            <w:tcW w:w="880" w:type="dxa"/>
            <w:tcBorders>
              <w:left w:val="single" w:color="auto" w:sz="4" w:space="0"/>
              <w:right w:val="single" w:color="auto" w:sz="4" w:space="0"/>
            </w:tcBorders>
            <w:vAlign w:val="center"/>
          </w:tcPr>
          <w:p w14:paraId="7D438125">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w:t>
            </w:r>
          </w:p>
        </w:tc>
        <w:tc>
          <w:tcPr>
            <w:tcW w:w="1390" w:type="dxa"/>
            <w:tcBorders>
              <w:left w:val="single" w:color="auto" w:sz="4" w:space="0"/>
            </w:tcBorders>
            <w:vAlign w:val="center"/>
          </w:tcPr>
          <w:p w14:paraId="2AED1C15">
            <w:pPr>
              <w:numPr>
                <w:ilvl w:val="0"/>
                <w:numId w:val="0"/>
              </w:numPr>
              <w:jc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新增</w:t>
            </w:r>
          </w:p>
        </w:tc>
      </w:tr>
    </w:tbl>
    <w:p w14:paraId="1CD2D63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outlineLvl w:val="9"/>
        <w:rPr>
          <w:rFonts w:hint="default" w:ascii="仿宋_GB2312" w:hAnsi="Times New Roman" w:eastAsia="仿宋_GB2312" w:cs="Times New Roman"/>
          <w:sz w:val="21"/>
          <w:szCs w:val="21"/>
          <w:lang w:val="en-US" w:eastAsia="zh-CN"/>
        </w:rPr>
      </w:pPr>
      <w:r>
        <w:rPr>
          <w:rFonts w:hint="eastAsia" w:ascii="仿宋_GB2312" w:hAnsi="Times New Roman" w:eastAsia="仿宋_GB2312" w:cs="Times New Roman"/>
          <w:kern w:val="2"/>
          <w:sz w:val="21"/>
          <w:szCs w:val="21"/>
          <w:lang w:val="en-US" w:eastAsia="zh-CN" w:bidi="ar-SA"/>
        </w:rPr>
        <w:t>注：2022年补贴在2023-2024年发放，仅涉及贴息补贴的船舶标注是否进行融资租赁。</w:t>
      </w:r>
    </w:p>
    <w:p w14:paraId="6C51D0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（2）</w:t>
      </w:r>
      <w:r>
        <w:rPr>
          <w:rFonts w:hint="eastAsia" w:ascii="仿宋_GB2312" w:hAnsi="Times New Roman" w:eastAsia="仿宋_GB2312" w:cs="Times New Roman"/>
          <w:sz w:val="24"/>
          <w:szCs w:val="24"/>
          <w:lang w:val="en-US" w:eastAsia="zh-CN"/>
        </w:rPr>
        <w:t>运力规模扩大</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分值4</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lang w:val="zh-CN" w:eastAsia="zh-CN"/>
        </w:rPr>
        <w:t>分）</w:t>
      </w:r>
    </w:p>
    <w:p w14:paraId="4574AC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en-US" w:eastAsia="zh-CN"/>
        </w:rPr>
        <w:t>本指标</w:t>
      </w:r>
      <w:r>
        <w:rPr>
          <w:rFonts w:hint="eastAsia" w:ascii="仿宋_GB2312" w:hAnsi="Times New Roman" w:eastAsia="仿宋_GB2312" w:cs="Times New Roman"/>
          <w:sz w:val="24"/>
          <w:szCs w:val="24"/>
          <w:lang w:val="zh-CN" w:eastAsia="zh-CN"/>
        </w:rPr>
        <w:t>根据</w:t>
      </w:r>
      <w:r>
        <w:rPr>
          <w:rFonts w:hint="eastAsia" w:ascii="仿宋_GB2312" w:hAnsi="Times New Roman" w:eastAsia="仿宋_GB2312" w:cs="Times New Roman"/>
          <w:sz w:val="24"/>
          <w:szCs w:val="24"/>
          <w:lang w:val="en-US" w:eastAsia="zh-CN"/>
        </w:rPr>
        <w:t>运力规模扩大情况从补贴的企业数量和总运力规模变化两个维度</w:t>
      </w:r>
      <w:r>
        <w:rPr>
          <w:rFonts w:hint="eastAsia" w:ascii="仿宋_GB2312" w:hAnsi="Times New Roman" w:eastAsia="仿宋_GB2312" w:cs="Times New Roman"/>
          <w:sz w:val="24"/>
          <w:szCs w:val="24"/>
          <w:lang w:val="zh-CN" w:eastAsia="zh-CN"/>
        </w:rPr>
        <w:t>进行考核。</w:t>
      </w:r>
      <w:r>
        <w:rPr>
          <w:rFonts w:hint="eastAsia" w:ascii="仿宋_GB2312" w:hAnsi="Times New Roman" w:eastAsia="仿宋_GB2312" w:cs="Times New Roman"/>
          <w:sz w:val="24"/>
          <w:szCs w:val="24"/>
          <w:lang w:val="en-US" w:eastAsia="zh-CN"/>
        </w:rPr>
        <w:t>如表6所示，本轮石狮市运力规模补贴涉及的3家企业共计49.8662万载重吨，较上一轮补贴的3家企业39.0885万载重吨，在总运力规模上有所增长</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根据评分标准，</w:t>
      </w:r>
      <w:r>
        <w:rPr>
          <w:rFonts w:hint="eastAsia" w:ascii="仿宋_GB2312" w:hAnsi="Times New Roman" w:eastAsia="仿宋_GB2312" w:cs="Times New Roman"/>
          <w:sz w:val="24"/>
          <w:szCs w:val="24"/>
          <w:lang w:val="zh-CN" w:eastAsia="zh-CN"/>
        </w:rPr>
        <w:t>该项指标</w:t>
      </w:r>
      <w:r>
        <w:rPr>
          <w:rFonts w:hint="eastAsia" w:ascii="仿宋_GB2312" w:hAnsi="Times New Roman" w:eastAsia="仿宋_GB2312" w:cs="Times New Roman"/>
          <w:sz w:val="24"/>
          <w:szCs w:val="24"/>
          <w:lang w:val="en-US" w:eastAsia="zh-CN"/>
        </w:rPr>
        <w:t>可得3</w:t>
      </w:r>
      <w:r>
        <w:rPr>
          <w:rFonts w:hint="eastAsia" w:ascii="仿宋_GB2312" w:hAnsi="Times New Roman" w:eastAsia="仿宋_GB2312" w:cs="Times New Roman"/>
          <w:sz w:val="24"/>
          <w:szCs w:val="24"/>
          <w:lang w:val="zh-CN" w:eastAsia="zh-CN"/>
        </w:rPr>
        <w:t>分。</w:t>
      </w:r>
    </w:p>
    <w:p w14:paraId="7D48F4A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zh-CN" w:eastAsia="zh-CN" w:bidi="ar-SA"/>
        </w:rPr>
        <w:t>表</w:t>
      </w:r>
      <w:r>
        <w:rPr>
          <w:rFonts w:hint="eastAsia" w:ascii="仿宋_GB2312" w:hAnsi="Times New Roman" w:eastAsia="仿宋_GB2312" w:cs="Times New Roman"/>
          <w:b/>
          <w:bCs/>
          <w:kern w:val="2"/>
          <w:sz w:val="24"/>
          <w:szCs w:val="24"/>
          <w:lang w:val="en-US" w:eastAsia="zh-CN" w:bidi="ar-SA"/>
        </w:rPr>
        <w:t>6  石狮市水路运输业运力规模补贴情况</w:t>
      </w:r>
    </w:p>
    <w:p w14:paraId="6DDFDB0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val="0"/>
          <w:bCs w:val="0"/>
          <w:kern w:val="2"/>
          <w:sz w:val="24"/>
          <w:szCs w:val="24"/>
          <w:lang w:val="en-US" w:eastAsia="zh-CN" w:bidi="ar-SA"/>
        </w:rPr>
        <w:t xml:space="preserve">                                                  单位：万载重吨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0"/>
        <w:gridCol w:w="3009"/>
        <w:gridCol w:w="2223"/>
        <w:gridCol w:w="1808"/>
      </w:tblGrid>
      <w:tr w14:paraId="090E5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0" w:type="dxa"/>
            <w:vAlign w:val="center"/>
          </w:tcPr>
          <w:p w14:paraId="471CB576">
            <w:pPr>
              <w:pStyle w:val="6"/>
              <w:numPr>
                <w:ilvl w:val="0"/>
                <w:numId w:val="0"/>
              </w:numPr>
              <w:tabs>
                <w:tab w:val="clear" w:pos="2040"/>
              </w:tabs>
              <w:jc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申报年份</w:t>
            </w:r>
          </w:p>
        </w:tc>
        <w:tc>
          <w:tcPr>
            <w:tcW w:w="3009" w:type="dxa"/>
            <w:vAlign w:val="center"/>
          </w:tcPr>
          <w:p w14:paraId="76D047EE">
            <w:pPr>
              <w:pStyle w:val="6"/>
              <w:numPr>
                <w:ilvl w:val="0"/>
                <w:numId w:val="0"/>
              </w:numPr>
              <w:tabs>
                <w:tab w:val="clear" w:pos="2040"/>
              </w:tabs>
              <w:jc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受补贴企业</w:t>
            </w:r>
          </w:p>
        </w:tc>
        <w:tc>
          <w:tcPr>
            <w:tcW w:w="2223" w:type="dxa"/>
            <w:vAlign w:val="center"/>
          </w:tcPr>
          <w:p w14:paraId="270FE1AD">
            <w:pPr>
              <w:pStyle w:val="6"/>
              <w:numPr>
                <w:ilvl w:val="0"/>
                <w:numId w:val="0"/>
              </w:numPr>
              <w:tabs>
                <w:tab w:val="clear" w:pos="2040"/>
              </w:tabs>
              <w:jc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船名</w:t>
            </w:r>
          </w:p>
        </w:tc>
        <w:tc>
          <w:tcPr>
            <w:tcW w:w="1808" w:type="dxa"/>
            <w:vAlign w:val="center"/>
          </w:tcPr>
          <w:p w14:paraId="3169CDD4">
            <w:pPr>
              <w:pStyle w:val="6"/>
              <w:numPr>
                <w:ilvl w:val="0"/>
                <w:numId w:val="0"/>
              </w:numPr>
              <w:tabs>
                <w:tab w:val="clear" w:pos="2040"/>
              </w:tabs>
              <w:jc w:val="center"/>
              <w:rPr>
                <w:rFonts w:hint="eastAsia" w:ascii="仿宋" w:hAnsi="仿宋" w:eastAsia="仿宋" w:cs="仿宋"/>
                <w:b/>
                <w:bCs/>
                <w:kern w:val="2"/>
                <w:sz w:val="21"/>
                <w:szCs w:val="21"/>
                <w:vertAlign w:val="baseline"/>
                <w:lang w:val="zh-CN" w:eastAsia="zh-CN" w:bidi="ar-SA"/>
              </w:rPr>
            </w:pPr>
            <w:r>
              <w:rPr>
                <w:rFonts w:hint="default" w:ascii="仿宋" w:hAnsi="仿宋" w:eastAsia="仿宋" w:cs="仿宋"/>
                <w:b/>
                <w:bCs/>
                <w:kern w:val="2"/>
                <w:sz w:val="21"/>
                <w:szCs w:val="21"/>
                <w:vertAlign w:val="baseline"/>
                <w:lang w:val="en-US" w:eastAsia="zh-CN" w:bidi="ar-SA"/>
              </w:rPr>
              <w:t>运力规模</w:t>
            </w:r>
          </w:p>
        </w:tc>
      </w:tr>
      <w:tr w14:paraId="5F6E5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restart"/>
            <w:vAlign w:val="center"/>
          </w:tcPr>
          <w:p w14:paraId="6C379DBA">
            <w:pPr>
              <w:keepNext w:val="0"/>
              <w:keepLines w:val="0"/>
              <w:widowControl/>
              <w:suppressLineNumbers w:val="0"/>
              <w:jc w:val="center"/>
              <w:textAlignment w:val="center"/>
              <w:rPr>
                <w:rFonts w:hint="default" w:ascii="仿宋_GB2312" w:hAnsi="Times New Roman" w:eastAsia="仿宋_GB2312" w:cs="Times New Roman"/>
                <w:b w:val="0"/>
                <w:bCs w:val="0"/>
                <w:kern w:val="2"/>
                <w:sz w:val="24"/>
                <w:szCs w:val="24"/>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2021</w:t>
            </w:r>
          </w:p>
        </w:tc>
        <w:tc>
          <w:tcPr>
            <w:tcW w:w="3009" w:type="dxa"/>
            <w:vMerge w:val="restart"/>
            <w:vAlign w:val="center"/>
          </w:tcPr>
          <w:p w14:paraId="707D0192">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石狮市永益船运有限公司</w:t>
            </w:r>
          </w:p>
        </w:tc>
        <w:tc>
          <w:tcPr>
            <w:tcW w:w="2223" w:type="dxa"/>
            <w:vAlign w:val="center"/>
          </w:tcPr>
          <w:p w14:paraId="5C0FF6E9">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新永昌16</w:t>
            </w:r>
          </w:p>
        </w:tc>
        <w:tc>
          <w:tcPr>
            <w:tcW w:w="1808" w:type="dxa"/>
            <w:vMerge w:val="restart"/>
            <w:vAlign w:val="center"/>
          </w:tcPr>
          <w:p w14:paraId="5EFE6336">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10.2596</w:t>
            </w:r>
          </w:p>
        </w:tc>
      </w:tr>
      <w:tr w14:paraId="1ED6F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continue"/>
            <w:vAlign w:val="center"/>
          </w:tcPr>
          <w:p w14:paraId="7DA37727">
            <w:pPr>
              <w:keepNext w:val="0"/>
              <w:keepLines w:val="0"/>
              <w:widowControl/>
              <w:suppressLineNumbers w:val="0"/>
              <w:jc w:val="center"/>
              <w:textAlignment w:val="center"/>
              <w:rPr>
                <w:rFonts w:hint="eastAsia" w:ascii="仿宋_GB2312" w:hAnsi="Times New Roman" w:eastAsia="仿宋_GB2312" w:cs="Times New Roman"/>
                <w:b w:val="0"/>
                <w:bCs w:val="0"/>
                <w:kern w:val="2"/>
                <w:sz w:val="24"/>
                <w:szCs w:val="24"/>
                <w:vertAlign w:val="baseline"/>
                <w:lang w:val="en-US" w:eastAsia="zh-CN" w:bidi="ar-SA"/>
              </w:rPr>
            </w:pPr>
          </w:p>
        </w:tc>
        <w:tc>
          <w:tcPr>
            <w:tcW w:w="3009" w:type="dxa"/>
            <w:vMerge w:val="continue"/>
            <w:vAlign w:val="center"/>
          </w:tcPr>
          <w:p w14:paraId="0EA4127C">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p>
        </w:tc>
        <w:tc>
          <w:tcPr>
            <w:tcW w:w="2223" w:type="dxa"/>
            <w:vAlign w:val="center"/>
          </w:tcPr>
          <w:p w14:paraId="7263C3DB">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新永昌8</w:t>
            </w:r>
          </w:p>
        </w:tc>
        <w:tc>
          <w:tcPr>
            <w:tcW w:w="1808" w:type="dxa"/>
            <w:vMerge w:val="continue"/>
            <w:vAlign w:val="center"/>
          </w:tcPr>
          <w:p w14:paraId="68FF277C">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p>
        </w:tc>
      </w:tr>
      <w:tr w14:paraId="2191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continue"/>
            <w:vAlign w:val="center"/>
          </w:tcPr>
          <w:p w14:paraId="03987082">
            <w:pPr>
              <w:keepNext w:val="0"/>
              <w:keepLines w:val="0"/>
              <w:widowControl/>
              <w:suppressLineNumbers w:val="0"/>
              <w:jc w:val="center"/>
              <w:textAlignment w:val="center"/>
              <w:rPr>
                <w:rFonts w:hint="eastAsia" w:ascii="仿宋_GB2312" w:hAnsi="Times New Roman" w:eastAsia="仿宋_GB2312" w:cs="Times New Roman"/>
                <w:b w:val="0"/>
                <w:bCs w:val="0"/>
                <w:kern w:val="2"/>
                <w:sz w:val="24"/>
                <w:szCs w:val="24"/>
                <w:vertAlign w:val="baseline"/>
                <w:lang w:val="en-US" w:eastAsia="zh-CN" w:bidi="ar-SA"/>
              </w:rPr>
            </w:pPr>
          </w:p>
        </w:tc>
        <w:tc>
          <w:tcPr>
            <w:tcW w:w="3009" w:type="dxa"/>
            <w:vMerge w:val="continue"/>
            <w:vAlign w:val="center"/>
          </w:tcPr>
          <w:p w14:paraId="771E3BB7">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p>
        </w:tc>
        <w:tc>
          <w:tcPr>
            <w:tcW w:w="2223" w:type="dxa"/>
            <w:vAlign w:val="center"/>
          </w:tcPr>
          <w:p w14:paraId="17461DA0">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石商18</w:t>
            </w:r>
          </w:p>
        </w:tc>
        <w:tc>
          <w:tcPr>
            <w:tcW w:w="1808" w:type="dxa"/>
            <w:vMerge w:val="continue"/>
            <w:vAlign w:val="center"/>
          </w:tcPr>
          <w:p w14:paraId="200F76C8">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p>
        </w:tc>
      </w:tr>
      <w:tr w14:paraId="7389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continue"/>
            <w:vAlign w:val="center"/>
          </w:tcPr>
          <w:p w14:paraId="5F6C4722">
            <w:pPr>
              <w:keepNext w:val="0"/>
              <w:keepLines w:val="0"/>
              <w:widowControl/>
              <w:suppressLineNumbers w:val="0"/>
              <w:jc w:val="center"/>
              <w:textAlignment w:val="center"/>
              <w:rPr>
                <w:rFonts w:hint="eastAsia" w:ascii="仿宋_GB2312" w:hAnsi="Times New Roman" w:eastAsia="仿宋_GB2312" w:cs="Times New Roman"/>
                <w:b w:val="0"/>
                <w:bCs w:val="0"/>
                <w:kern w:val="2"/>
                <w:sz w:val="24"/>
                <w:szCs w:val="24"/>
                <w:vertAlign w:val="baseline"/>
                <w:lang w:val="en-US" w:eastAsia="zh-CN" w:bidi="ar-SA"/>
              </w:rPr>
            </w:pPr>
          </w:p>
        </w:tc>
        <w:tc>
          <w:tcPr>
            <w:tcW w:w="3009" w:type="dxa"/>
            <w:vMerge w:val="continue"/>
            <w:vAlign w:val="center"/>
          </w:tcPr>
          <w:p w14:paraId="7472FAFF">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p>
        </w:tc>
        <w:tc>
          <w:tcPr>
            <w:tcW w:w="2223" w:type="dxa"/>
            <w:vAlign w:val="center"/>
          </w:tcPr>
          <w:p w14:paraId="281291B3">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新永昌17</w:t>
            </w:r>
          </w:p>
        </w:tc>
        <w:tc>
          <w:tcPr>
            <w:tcW w:w="1808" w:type="dxa"/>
            <w:vMerge w:val="continue"/>
            <w:vAlign w:val="center"/>
          </w:tcPr>
          <w:p w14:paraId="27EC885E">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p>
        </w:tc>
      </w:tr>
      <w:tr w14:paraId="0F385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continue"/>
            <w:vAlign w:val="center"/>
          </w:tcPr>
          <w:p w14:paraId="4682765A">
            <w:pPr>
              <w:keepNext w:val="0"/>
              <w:keepLines w:val="0"/>
              <w:widowControl/>
              <w:suppressLineNumbers w:val="0"/>
              <w:jc w:val="center"/>
              <w:textAlignment w:val="center"/>
              <w:rPr>
                <w:rFonts w:hint="eastAsia" w:ascii="仿宋_GB2312" w:hAnsi="Times New Roman" w:eastAsia="仿宋_GB2312" w:cs="Times New Roman"/>
                <w:b w:val="0"/>
                <w:bCs w:val="0"/>
                <w:kern w:val="2"/>
                <w:sz w:val="24"/>
                <w:szCs w:val="24"/>
                <w:vertAlign w:val="baseline"/>
                <w:lang w:val="en-US" w:eastAsia="zh-CN" w:bidi="ar-SA"/>
              </w:rPr>
            </w:pPr>
          </w:p>
        </w:tc>
        <w:tc>
          <w:tcPr>
            <w:tcW w:w="3009" w:type="dxa"/>
            <w:vMerge w:val="continue"/>
            <w:vAlign w:val="center"/>
          </w:tcPr>
          <w:p w14:paraId="6647AA86">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p>
        </w:tc>
        <w:tc>
          <w:tcPr>
            <w:tcW w:w="2223" w:type="dxa"/>
            <w:vAlign w:val="center"/>
          </w:tcPr>
          <w:p w14:paraId="13A0C962">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新永昌19</w:t>
            </w:r>
          </w:p>
        </w:tc>
        <w:tc>
          <w:tcPr>
            <w:tcW w:w="1808" w:type="dxa"/>
            <w:vMerge w:val="continue"/>
            <w:vAlign w:val="center"/>
          </w:tcPr>
          <w:p w14:paraId="0BAF03BB">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p>
        </w:tc>
      </w:tr>
      <w:tr w14:paraId="463D5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continue"/>
            <w:vAlign w:val="center"/>
          </w:tcPr>
          <w:p w14:paraId="41D6E7E6">
            <w:pPr>
              <w:keepNext w:val="0"/>
              <w:keepLines w:val="0"/>
              <w:widowControl/>
              <w:suppressLineNumbers w:val="0"/>
              <w:jc w:val="center"/>
              <w:textAlignment w:val="center"/>
              <w:rPr>
                <w:rFonts w:hint="eastAsia" w:ascii="仿宋_GB2312" w:hAnsi="Times New Roman" w:eastAsia="仿宋_GB2312" w:cs="Times New Roman"/>
                <w:b w:val="0"/>
                <w:bCs w:val="0"/>
                <w:kern w:val="2"/>
                <w:sz w:val="24"/>
                <w:szCs w:val="24"/>
                <w:vertAlign w:val="baseline"/>
                <w:lang w:val="zh-CN" w:eastAsia="zh-CN" w:bidi="ar-SA"/>
              </w:rPr>
            </w:pPr>
          </w:p>
        </w:tc>
        <w:tc>
          <w:tcPr>
            <w:tcW w:w="3009" w:type="dxa"/>
            <w:vMerge w:val="restart"/>
            <w:vAlign w:val="center"/>
          </w:tcPr>
          <w:p w14:paraId="0CD3F946">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石狮鼎盛船务有限公司</w:t>
            </w:r>
          </w:p>
        </w:tc>
        <w:tc>
          <w:tcPr>
            <w:tcW w:w="2223" w:type="dxa"/>
            <w:vAlign w:val="center"/>
          </w:tcPr>
          <w:p w14:paraId="6C7A091C">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鼎鑫102</w:t>
            </w:r>
          </w:p>
        </w:tc>
        <w:tc>
          <w:tcPr>
            <w:tcW w:w="1808" w:type="dxa"/>
            <w:vMerge w:val="restart"/>
            <w:vAlign w:val="center"/>
          </w:tcPr>
          <w:p w14:paraId="28D9F5C7">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10.4653</w:t>
            </w:r>
          </w:p>
        </w:tc>
      </w:tr>
      <w:tr w14:paraId="490F8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continue"/>
            <w:vAlign w:val="center"/>
          </w:tcPr>
          <w:p w14:paraId="4FABCAD2">
            <w:pPr>
              <w:keepNext w:val="0"/>
              <w:keepLines w:val="0"/>
              <w:widowControl/>
              <w:suppressLineNumbers w:val="0"/>
              <w:jc w:val="center"/>
              <w:textAlignment w:val="center"/>
              <w:rPr>
                <w:rFonts w:hint="eastAsia" w:ascii="仿宋_GB2312" w:hAnsi="Times New Roman" w:eastAsia="仿宋_GB2312" w:cs="Times New Roman"/>
                <w:b w:val="0"/>
                <w:bCs w:val="0"/>
                <w:kern w:val="2"/>
                <w:sz w:val="24"/>
                <w:szCs w:val="24"/>
                <w:vertAlign w:val="baseline"/>
                <w:lang w:val="zh-CN" w:eastAsia="zh-CN" w:bidi="ar-SA"/>
              </w:rPr>
            </w:pPr>
          </w:p>
        </w:tc>
        <w:tc>
          <w:tcPr>
            <w:tcW w:w="3009" w:type="dxa"/>
            <w:vMerge w:val="continue"/>
            <w:vAlign w:val="center"/>
          </w:tcPr>
          <w:p w14:paraId="103A9C6B">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p>
        </w:tc>
        <w:tc>
          <w:tcPr>
            <w:tcW w:w="2223" w:type="dxa"/>
            <w:vAlign w:val="center"/>
          </w:tcPr>
          <w:p w14:paraId="04BDBA4F">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鼎鑫105</w:t>
            </w:r>
          </w:p>
        </w:tc>
        <w:tc>
          <w:tcPr>
            <w:tcW w:w="1808" w:type="dxa"/>
            <w:vMerge w:val="continue"/>
            <w:vAlign w:val="center"/>
          </w:tcPr>
          <w:p w14:paraId="770C635A">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p>
        </w:tc>
      </w:tr>
      <w:tr w14:paraId="49B5E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continue"/>
            <w:vAlign w:val="center"/>
          </w:tcPr>
          <w:p w14:paraId="5F687045">
            <w:pPr>
              <w:keepNext w:val="0"/>
              <w:keepLines w:val="0"/>
              <w:widowControl/>
              <w:suppressLineNumbers w:val="0"/>
              <w:jc w:val="center"/>
              <w:textAlignment w:val="center"/>
              <w:rPr>
                <w:rFonts w:hint="eastAsia" w:ascii="仿宋_GB2312" w:hAnsi="Times New Roman" w:eastAsia="仿宋_GB2312" w:cs="Times New Roman"/>
                <w:b w:val="0"/>
                <w:bCs w:val="0"/>
                <w:kern w:val="2"/>
                <w:sz w:val="24"/>
                <w:szCs w:val="24"/>
                <w:vertAlign w:val="baseline"/>
                <w:lang w:val="zh-CN" w:eastAsia="zh-CN" w:bidi="ar-SA"/>
              </w:rPr>
            </w:pPr>
          </w:p>
        </w:tc>
        <w:tc>
          <w:tcPr>
            <w:tcW w:w="3009" w:type="dxa"/>
            <w:vMerge w:val="restart"/>
            <w:vAlign w:val="center"/>
          </w:tcPr>
          <w:p w14:paraId="45DC497D">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石狮鼎鑫海运有限公司</w:t>
            </w:r>
          </w:p>
        </w:tc>
        <w:tc>
          <w:tcPr>
            <w:tcW w:w="2223" w:type="dxa"/>
            <w:vAlign w:val="center"/>
          </w:tcPr>
          <w:p w14:paraId="107C8B1D">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鼎鑫103</w:t>
            </w:r>
          </w:p>
        </w:tc>
        <w:tc>
          <w:tcPr>
            <w:tcW w:w="1808" w:type="dxa"/>
            <w:vMerge w:val="restart"/>
            <w:vAlign w:val="center"/>
          </w:tcPr>
          <w:p w14:paraId="64945CE0">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18.3606</w:t>
            </w:r>
          </w:p>
        </w:tc>
      </w:tr>
      <w:tr w14:paraId="4A455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continue"/>
            <w:vAlign w:val="center"/>
          </w:tcPr>
          <w:p w14:paraId="6F1771BE">
            <w:pPr>
              <w:keepNext w:val="0"/>
              <w:keepLines w:val="0"/>
              <w:widowControl/>
              <w:suppressLineNumbers w:val="0"/>
              <w:jc w:val="center"/>
              <w:textAlignment w:val="center"/>
              <w:rPr>
                <w:rFonts w:hint="eastAsia" w:ascii="仿宋_GB2312" w:hAnsi="Times New Roman" w:eastAsia="仿宋_GB2312" w:cs="Times New Roman"/>
                <w:b w:val="0"/>
                <w:bCs w:val="0"/>
                <w:kern w:val="2"/>
                <w:sz w:val="24"/>
                <w:szCs w:val="24"/>
                <w:vertAlign w:val="baseline"/>
                <w:lang w:val="zh-CN" w:eastAsia="zh-CN" w:bidi="ar-SA"/>
              </w:rPr>
            </w:pPr>
          </w:p>
        </w:tc>
        <w:tc>
          <w:tcPr>
            <w:tcW w:w="3009" w:type="dxa"/>
            <w:vMerge w:val="continue"/>
          </w:tcPr>
          <w:p w14:paraId="222CBFD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i w:val="0"/>
                <w:iCs w:val="0"/>
                <w:color w:val="000000"/>
                <w:kern w:val="0"/>
                <w:sz w:val="22"/>
                <w:szCs w:val="22"/>
                <w:u w:val="none"/>
                <w:lang w:val="en-US" w:eastAsia="zh-CN" w:bidi="ar"/>
              </w:rPr>
            </w:pPr>
          </w:p>
        </w:tc>
        <w:tc>
          <w:tcPr>
            <w:tcW w:w="2223" w:type="dxa"/>
            <w:vAlign w:val="center"/>
          </w:tcPr>
          <w:p w14:paraId="73941C9E">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鼎鑫106</w:t>
            </w:r>
          </w:p>
        </w:tc>
        <w:tc>
          <w:tcPr>
            <w:tcW w:w="1808" w:type="dxa"/>
            <w:vMerge w:val="continue"/>
            <w:vAlign w:val="center"/>
          </w:tcPr>
          <w:p w14:paraId="4DB8EC0D">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p>
        </w:tc>
      </w:tr>
      <w:tr w14:paraId="5937B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continue"/>
          </w:tcPr>
          <w:p w14:paraId="0DD7888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_GB2312" w:hAnsi="Times New Roman" w:eastAsia="仿宋_GB2312" w:cs="Times New Roman"/>
                <w:b w:val="0"/>
                <w:bCs w:val="0"/>
                <w:kern w:val="2"/>
                <w:sz w:val="24"/>
                <w:szCs w:val="24"/>
                <w:vertAlign w:val="baseline"/>
                <w:lang w:val="zh-CN" w:eastAsia="zh-CN" w:bidi="ar-SA"/>
              </w:rPr>
            </w:pPr>
          </w:p>
        </w:tc>
        <w:tc>
          <w:tcPr>
            <w:tcW w:w="3009" w:type="dxa"/>
            <w:vMerge w:val="continue"/>
          </w:tcPr>
          <w:p w14:paraId="6D4A9A4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_GB2312" w:hAnsi="Times New Roman" w:eastAsia="仿宋_GB2312" w:cs="Times New Roman"/>
                <w:b w:val="0"/>
                <w:bCs w:val="0"/>
                <w:kern w:val="2"/>
                <w:sz w:val="24"/>
                <w:szCs w:val="24"/>
                <w:vertAlign w:val="baseline"/>
                <w:lang w:val="zh-CN" w:eastAsia="zh-CN" w:bidi="ar-SA"/>
              </w:rPr>
            </w:pPr>
          </w:p>
        </w:tc>
        <w:tc>
          <w:tcPr>
            <w:tcW w:w="2223" w:type="dxa"/>
            <w:vAlign w:val="center"/>
          </w:tcPr>
          <w:p w14:paraId="206AF936">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鼎鑫107</w:t>
            </w:r>
          </w:p>
        </w:tc>
        <w:tc>
          <w:tcPr>
            <w:tcW w:w="1808" w:type="dxa"/>
            <w:vMerge w:val="continue"/>
            <w:vAlign w:val="center"/>
          </w:tcPr>
          <w:p w14:paraId="4A9CE936">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p>
        </w:tc>
      </w:tr>
      <w:tr w14:paraId="5BB13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restart"/>
            <w:vAlign w:val="center"/>
          </w:tcPr>
          <w:p w14:paraId="0605A16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仿宋_GB2312" w:hAnsi="Times New Roman" w:eastAsia="仿宋_GB2312" w:cs="Times New Roman"/>
                <w:b w:val="0"/>
                <w:bCs w:val="0"/>
                <w:kern w:val="2"/>
                <w:sz w:val="24"/>
                <w:szCs w:val="24"/>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2022</w:t>
            </w:r>
          </w:p>
        </w:tc>
        <w:tc>
          <w:tcPr>
            <w:tcW w:w="3009" w:type="dxa"/>
            <w:vMerge w:val="restart"/>
            <w:vAlign w:val="center"/>
          </w:tcPr>
          <w:p w14:paraId="61EE9753">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福建省东亿船务有限责任公司</w:t>
            </w:r>
          </w:p>
        </w:tc>
        <w:tc>
          <w:tcPr>
            <w:tcW w:w="2223" w:type="dxa"/>
            <w:vAlign w:val="center"/>
          </w:tcPr>
          <w:p w14:paraId="52059C60">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东亿601</w:t>
            </w:r>
          </w:p>
        </w:tc>
        <w:tc>
          <w:tcPr>
            <w:tcW w:w="1808" w:type="dxa"/>
            <w:vMerge w:val="restart"/>
            <w:vAlign w:val="center"/>
          </w:tcPr>
          <w:p w14:paraId="722721D9">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22.5147</w:t>
            </w:r>
          </w:p>
        </w:tc>
      </w:tr>
      <w:tr w14:paraId="26155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continue"/>
          </w:tcPr>
          <w:p w14:paraId="189F3F6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_GB2312" w:hAnsi="Times New Roman" w:eastAsia="仿宋_GB2312" w:cs="Times New Roman"/>
                <w:b w:val="0"/>
                <w:bCs w:val="0"/>
                <w:kern w:val="2"/>
                <w:sz w:val="24"/>
                <w:szCs w:val="24"/>
                <w:vertAlign w:val="baseline"/>
                <w:lang w:val="zh-CN" w:eastAsia="zh-CN" w:bidi="ar-SA"/>
              </w:rPr>
            </w:pPr>
          </w:p>
        </w:tc>
        <w:tc>
          <w:tcPr>
            <w:tcW w:w="3009" w:type="dxa"/>
            <w:vMerge w:val="continue"/>
            <w:vAlign w:val="center"/>
          </w:tcPr>
          <w:p w14:paraId="41245248">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p>
        </w:tc>
        <w:tc>
          <w:tcPr>
            <w:tcW w:w="2223" w:type="dxa"/>
            <w:vAlign w:val="center"/>
          </w:tcPr>
          <w:p w14:paraId="6607F9F1">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东亿602</w:t>
            </w:r>
          </w:p>
        </w:tc>
        <w:tc>
          <w:tcPr>
            <w:tcW w:w="1808" w:type="dxa"/>
            <w:vMerge w:val="continue"/>
            <w:vAlign w:val="center"/>
          </w:tcPr>
          <w:p w14:paraId="7E3487C1">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p>
        </w:tc>
      </w:tr>
      <w:tr w14:paraId="5448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continue"/>
          </w:tcPr>
          <w:p w14:paraId="1AF7D93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_GB2312" w:hAnsi="Times New Roman" w:eastAsia="仿宋_GB2312" w:cs="Times New Roman"/>
                <w:b w:val="0"/>
                <w:bCs w:val="0"/>
                <w:kern w:val="2"/>
                <w:sz w:val="24"/>
                <w:szCs w:val="24"/>
                <w:vertAlign w:val="baseline"/>
                <w:lang w:val="zh-CN" w:eastAsia="zh-CN" w:bidi="ar-SA"/>
              </w:rPr>
            </w:pPr>
          </w:p>
        </w:tc>
        <w:tc>
          <w:tcPr>
            <w:tcW w:w="3009" w:type="dxa"/>
            <w:vMerge w:val="continue"/>
            <w:vAlign w:val="center"/>
          </w:tcPr>
          <w:p w14:paraId="6216F029">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p>
        </w:tc>
        <w:tc>
          <w:tcPr>
            <w:tcW w:w="2223" w:type="dxa"/>
            <w:vAlign w:val="center"/>
          </w:tcPr>
          <w:p w14:paraId="30E24A28">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东亿603</w:t>
            </w:r>
          </w:p>
        </w:tc>
        <w:tc>
          <w:tcPr>
            <w:tcW w:w="1808" w:type="dxa"/>
            <w:vMerge w:val="continue"/>
            <w:vAlign w:val="center"/>
          </w:tcPr>
          <w:p w14:paraId="694C5AD7">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p>
        </w:tc>
      </w:tr>
      <w:tr w14:paraId="1347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continue"/>
          </w:tcPr>
          <w:p w14:paraId="2E266F0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_GB2312" w:hAnsi="Times New Roman" w:eastAsia="仿宋_GB2312" w:cs="Times New Roman"/>
                <w:b w:val="0"/>
                <w:bCs w:val="0"/>
                <w:kern w:val="2"/>
                <w:sz w:val="24"/>
                <w:szCs w:val="24"/>
                <w:vertAlign w:val="baseline"/>
                <w:lang w:val="zh-CN" w:eastAsia="zh-CN" w:bidi="ar-SA"/>
              </w:rPr>
            </w:pPr>
          </w:p>
        </w:tc>
        <w:tc>
          <w:tcPr>
            <w:tcW w:w="3009" w:type="dxa"/>
            <w:vMerge w:val="restart"/>
            <w:vAlign w:val="center"/>
          </w:tcPr>
          <w:p w14:paraId="5AB140C4">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石狮鼎盛船务有限公司</w:t>
            </w:r>
          </w:p>
        </w:tc>
        <w:tc>
          <w:tcPr>
            <w:tcW w:w="2223" w:type="dxa"/>
            <w:vAlign w:val="center"/>
          </w:tcPr>
          <w:p w14:paraId="56573EB1">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鼎鑫108</w:t>
            </w:r>
          </w:p>
        </w:tc>
        <w:tc>
          <w:tcPr>
            <w:tcW w:w="1808" w:type="dxa"/>
            <w:vMerge w:val="restart"/>
            <w:vAlign w:val="center"/>
          </w:tcPr>
          <w:p w14:paraId="3F72B5DB">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22.3306</w:t>
            </w:r>
          </w:p>
        </w:tc>
      </w:tr>
      <w:tr w14:paraId="08F1C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continue"/>
          </w:tcPr>
          <w:p w14:paraId="7BC4B67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_GB2312" w:hAnsi="Times New Roman" w:eastAsia="仿宋_GB2312" w:cs="Times New Roman"/>
                <w:b w:val="0"/>
                <w:bCs w:val="0"/>
                <w:kern w:val="2"/>
                <w:sz w:val="24"/>
                <w:szCs w:val="24"/>
                <w:vertAlign w:val="baseline"/>
                <w:lang w:val="zh-CN" w:eastAsia="zh-CN" w:bidi="ar-SA"/>
              </w:rPr>
            </w:pPr>
          </w:p>
        </w:tc>
        <w:tc>
          <w:tcPr>
            <w:tcW w:w="3009" w:type="dxa"/>
            <w:vMerge w:val="continue"/>
            <w:vAlign w:val="center"/>
          </w:tcPr>
          <w:p w14:paraId="408E8CB4">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p>
        </w:tc>
        <w:tc>
          <w:tcPr>
            <w:tcW w:w="2223" w:type="dxa"/>
            <w:vAlign w:val="center"/>
          </w:tcPr>
          <w:p w14:paraId="5026B5D0">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鼎鑫109</w:t>
            </w:r>
          </w:p>
        </w:tc>
        <w:tc>
          <w:tcPr>
            <w:tcW w:w="1808" w:type="dxa"/>
            <w:vMerge w:val="continue"/>
            <w:vAlign w:val="center"/>
          </w:tcPr>
          <w:p w14:paraId="3725DB8C">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p>
        </w:tc>
      </w:tr>
      <w:tr w14:paraId="3BB9E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continue"/>
          </w:tcPr>
          <w:p w14:paraId="5D380C0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_GB2312" w:hAnsi="Times New Roman" w:eastAsia="仿宋_GB2312" w:cs="Times New Roman"/>
                <w:b w:val="0"/>
                <w:bCs w:val="0"/>
                <w:kern w:val="2"/>
                <w:sz w:val="24"/>
                <w:szCs w:val="24"/>
                <w:vertAlign w:val="baseline"/>
                <w:lang w:val="zh-CN" w:eastAsia="zh-CN" w:bidi="ar-SA"/>
              </w:rPr>
            </w:pPr>
          </w:p>
        </w:tc>
        <w:tc>
          <w:tcPr>
            <w:tcW w:w="3009" w:type="dxa"/>
            <w:vMerge w:val="continue"/>
            <w:vAlign w:val="center"/>
          </w:tcPr>
          <w:p w14:paraId="7E4F3B6E">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p>
        </w:tc>
        <w:tc>
          <w:tcPr>
            <w:tcW w:w="2223" w:type="dxa"/>
            <w:vAlign w:val="center"/>
          </w:tcPr>
          <w:p w14:paraId="172D3674">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鼎鑫112</w:t>
            </w:r>
          </w:p>
        </w:tc>
        <w:tc>
          <w:tcPr>
            <w:tcW w:w="1808" w:type="dxa"/>
            <w:vMerge w:val="continue"/>
            <w:vAlign w:val="center"/>
          </w:tcPr>
          <w:p w14:paraId="67859CFC">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p>
        </w:tc>
      </w:tr>
      <w:tr w14:paraId="49944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dxa"/>
            <w:vMerge w:val="continue"/>
          </w:tcPr>
          <w:p w14:paraId="0522220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_GB2312" w:hAnsi="Times New Roman" w:eastAsia="仿宋_GB2312" w:cs="Times New Roman"/>
                <w:b w:val="0"/>
                <w:bCs w:val="0"/>
                <w:kern w:val="2"/>
                <w:sz w:val="24"/>
                <w:szCs w:val="24"/>
                <w:vertAlign w:val="baseline"/>
                <w:lang w:val="zh-CN" w:eastAsia="zh-CN" w:bidi="ar-SA"/>
              </w:rPr>
            </w:pPr>
          </w:p>
        </w:tc>
        <w:tc>
          <w:tcPr>
            <w:tcW w:w="3009" w:type="dxa"/>
            <w:vAlign w:val="center"/>
          </w:tcPr>
          <w:p w14:paraId="736D8151">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石狮鼎鑫海运有限公司</w:t>
            </w:r>
          </w:p>
        </w:tc>
        <w:tc>
          <w:tcPr>
            <w:tcW w:w="2223" w:type="dxa"/>
            <w:vAlign w:val="center"/>
          </w:tcPr>
          <w:p w14:paraId="0758AEFF">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鼎鑫113</w:t>
            </w:r>
          </w:p>
        </w:tc>
        <w:tc>
          <w:tcPr>
            <w:tcW w:w="1808" w:type="dxa"/>
            <w:vAlign w:val="center"/>
          </w:tcPr>
          <w:p w14:paraId="36E429D0">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zh-CN" w:eastAsia="zh-CN" w:bidi="ar-SA"/>
              </w:rPr>
              <w:t>5.0209</w:t>
            </w:r>
          </w:p>
        </w:tc>
      </w:tr>
    </w:tbl>
    <w:p w14:paraId="0A312A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（3）</w:t>
      </w:r>
      <w:r>
        <w:rPr>
          <w:rFonts w:hint="eastAsia" w:ascii="仿宋_GB2312" w:hAnsi="Times New Roman" w:eastAsia="仿宋_GB2312" w:cs="Times New Roman"/>
          <w:sz w:val="24"/>
          <w:szCs w:val="24"/>
          <w:lang w:val="en-US" w:eastAsia="zh-CN"/>
        </w:rPr>
        <w:t>贷款贴息政策补贴情况</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分值4</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lang w:val="zh-CN" w:eastAsia="zh-CN"/>
        </w:rPr>
        <w:t>分）</w:t>
      </w:r>
    </w:p>
    <w:p w14:paraId="0B4B291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本</w:t>
      </w:r>
      <w:r>
        <w:rPr>
          <w:rFonts w:hint="eastAsia" w:ascii="仿宋_GB2312" w:hAnsi="Times New Roman" w:eastAsia="仿宋_GB2312" w:cs="Times New Roman"/>
          <w:sz w:val="24"/>
          <w:szCs w:val="24"/>
          <w:lang w:val="en-US" w:eastAsia="zh-CN"/>
        </w:rPr>
        <w:t>指标评价贷款贴息政策补贴情况</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如表4、表5所示</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本轮石狮市贷款贴息政策补贴涉及4家企业8艘船舶（扣除上一轮同样贴息的鼎鑫105、鼎鑫106、鼎鑫107），较上一轮的4家企业5艘船舶，在船舶数量有所增加</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根据评分标准，</w:t>
      </w:r>
      <w:r>
        <w:rPr>
          <w:rFonts w:hint="eastAsia" w:ascii="仿宋_GB2312" w:hAnsi="Times New Roman" w:eastAsia="仿宋_GB2312" w:cs="Times New Roman"/>
          <w:sz w:val="24"/>
          <w:szCs w:val="24"/>
          <w:lang w:val="zh-CN" w:eastAsia="zh-CN"/>
        </w:rPr>
        <w:t>该项指标</w:t>
      </w:r>
      <w:r>
        <w:rPr>
          <w:rFonts w:hint="eastAsia" w:ascii="仿宋_GB2312" w:hAnsi="Times New Roman" w:eastAsia="仿宋_GB2312" w:cs="Times New Roman"/>
          <w:sz w:val="24"/>
          <w:szCs w:val="24"/>
          <w:lang w:val="en-US" w:eastAsia="zh-CN"/>
        </w:rPr>
        <w:t>扣1分，</w:t>
      </w:r>
      <w:r>
        <w:rPr>
          <w:rFonts w:hint="eastAsia" w:ascii="仿宋_GB2312" w:hAnsi="Times New Roman" w:eastAsia="仿宋_GB2312" w:cs="Times New Roman"/>
          <w:sz w:val="24"/>
          <w:szCs w:val="24"/>
          <w:lang w:val="zh-CN" w:eastAsia="zh-CN"/>
        </w:rPr>
        <w:t>得</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lang w:val="zh-CN" w:eastAsia="zh-CN"/>
        </w:rPr>
        <w:t>分。</w:t>
      </w:r>
    </w:p>
    <w:p w14:paraId="028858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2.产出质量（</w:t>
      </w:r>
      <w:r>
        <w:rPr>
          <w:rFonts w:hint="eastAsia" w:ascii="仿宋_GB2312" w:hAnsi="Times New Roman" w:eastAsia="仿宋_GB2312" w:cs="Times New Roman"/>
          <w:sz w:val="24"/>
          <w:szCs w:val="24"/>
          <w:lang w:val="en-US" w:eastAsia="zh-CN"/>
        </w:rPr>
        <w:t>分值</w:t>
      </w:r>
      <w:r>
        <w:rPr>
          <w:rFonts w:hint="eastAsia" w:ascii="仿宋_GB2312" w:hAnsi="Times New Roman" w:eastAsia="仿宋_GB2312" w:cs="Times New Roman"/>
          <w:sz w:val="24"/>
          <w:szCs w:val="24"/>
          <w:lang w:val="zh-CN" w:eastAsia="zh-CN"/>
        </w:rPr>
        <w:t>8分，得分</w:t>
      </w:r>
      <w:r>
        <w:rPr>
          <w:rFonts w:hint="eastAsia" w:ascii="仿宋_GB2312" w:hAnsi="Times New Roman" w:eastAsia="仿宋_GB2312" w:cs="Times New Roman"/>
          <w:sz w:val="24"/>
          <w:szCs w:val="24"/>
          <w:lang w:val="en-US" w:eastAsia="zh-CN"/>
        </w:rPr>
        <w:t>6.56</w:t>
      </w:r>
      <w:r>
        <w:rPr>
          <w:rFonts w:hint="eastAsia" w:ascii="仿宋_GB2312" w:hAnsi="Times New Roman" w:eastAsia="仿宋_GB2312" w:cs="Times New Roman"/>
          <w:sz w:val="24"/>
          <w:szCs w:val="24"/>
          <w:lang w:val="zh-CN" w:eastAsia="zh-CN"/>
        </w:rPr>
        <w:t>分）</w:t>
      </w:r>
    </w:p>
    <w:p w14:paraId="4F9DDC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1</w:t>
      </w:r>
      <w:r>
        <w:rPr>
          <w:rFonts w:hint="eastAsia" w:ascii="仿宋_GB2312" w:hAnsi="Times New Roman" w:eastAsia="仿宋_GB2312" w:cs="Times New Roman"/>
          <w:sz w:val="24"/>
          <w:szCs w:val="24"/>
          <w:lang w:val="zh-CN" w:eastAsia="zh-CN"/>
        </w:rPr>
        <w:t>）</w:t>
      </w:r>
      <w:r>
        <w:rPr>
          <w:rFonts w:hint="default" w:ascii="仿宋_GB2312" w:hAnsi="Times New Roman" w:eastAsia="仿宋_GB2312" w:cs="Times New Roman"/>
          <w:sz w:val="24"/>
          <w:szCs w:val="24"/>
          <w:lang w:val="en-US" w:eastAsia="zh-CN"/>
        </w:rPr>
        <w:t>新增船舶平均船龄</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分值4</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4</w:t>
      </w:r>
      <w:r>
        <w:rPr>
          <w:rFonts w:hint="eastAsia" w:ascii="仿宋_GB2312" w:hAnsi="Times New Roman" w:eastAsia="仿宋_GB2312" w:cs="Times New Roman"/>
          <w:sz w:val="24"/>
          <w:szCs w:val="24"/>
          <w:lang w:val="zh-CN" w:eastAsia="zh-CN"/>
        </w:rPr>
        <w:t>分）</w:t>
      </w:r>
    </w:p>
    <w:p w14:paraId="121DFF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en-US" w:eastAsia="zh-CN"/>
        </w:rPr>
        <w:t>该指标评价新增运力所补贴的船舶船龄在符合政策门槛上是否实现优化。</w:t>
      </w:r>
      <w:r>
        <w:rPr>
          <w:rFonts w:hint="eastAsia" w:ascii="仿宋_GB2312" w:hAnsi="Times New Roman" w:eastAsia="仿宋_GB2312" w:cs="Times New Roman"/>
          <w:sz w:val="24"/>
          <w:szCs w:val="24"/>
          <w:lang w:val="zh-CN" w:eastAsia="zh-CN"/>
        </w:rPr>
        <w:t>根据表</w:t>
      </w:r>
      <w:r>
        <w:rPr>
          <w:rFonts w:hint="eastAsia" w:ascii="仿宋_GB2312" w:hAnsi="Times New Roman" w:eastAsia="仿宋_GB2312" w:cs="Times New Roman"/>
          <w:sz w:val="24"/>
          <w:szCs w:val="24"/>
          <w:lang w:val="en-US" w:eastAsia="zh-CN"/>
        </w:rPr>
        <w:t>5数据显示，新增运力所补贴的16艘船舶均在2021年末至2023年间建成，平均船龄在2022年申报年度不足1年。</w:t>
      </w:r>
      <w:r>
        <w:rPr>
          <w:rFonts w:hint="eastAsia" w:ascii="仿宋_GB2312" w:hAnsi="Times New Roman" w:eastAsia="仿宋_GB2312" w:cs="Times New Roman"/>
          <w:sz w:val="24"/>
          <w:szCs w:val="24"/>
          <w:lang w:val="zh-CN" w:eastAsia="zh-CN"/>
        </w:rPr>
        <w:t>该项指标</w:t>
      </w:r>
      <w:r>
        <w:rPr>
          <w:rFonts w:hint="eastAsia" w:ascii="仿宋_GB2312" w:hAnsi="Times New Roman" w:eastAsia="仿宋_GB2312" w:cs="Times New Roman"/>
          <w:sz w:val="24"/>
          <w:szCs w:val="24"/>
          <w:lang w:val="en-US" w:eastAsia="zh-CN"/>
        </w:rPr>
        <w:t>可得满分4</w:t>
      </w:r>
      <w:r>
        <w:rPr>
          <w:rFonts w:hint="eastAsia" w:ascii="仿宋_GB2312" w:hAnsi="Times New Roman" w:eastAsia="仿宋_GB2312" w:cs="Times New Roman"/>
          <w:sz w:val="24"/>
          <w:szCs w:val="24"/>
          <w:lang w:val="zh-CN" w:eastAsia="zh-CN"/>
        </w:rPr>
        <w:t>分。</w:t>
      </w:r>
    </w:p>
    <w:p w14:paraId="56CB5D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2</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船舶载货量结构升级</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分值4</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2.56</w:t>
      </w:r>
      <w:r>
        <w:rPr>
          <w:rFonts w:hint="eastAsia" w:ascii="仿宋_GB2312" w:hAnsi="Times New Roman" w:eastAsia="仿宋_GB2312" w:cs="Times New Roman"/>
          <w:sz w:val="24"/>
          <w:szCs w:val="24"/>
          <w:lang w:val="zh-CN" w:eastAsia="zh-CN"/>
        </w:rPr>
        <w:t>分）</w:t>
      </w:r>
    </w:p>
    <w:p w14:paraId="643A3E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如表4所示，2024年补贴的新增18艘船舶中，有9艘船舶运力为5万载重吨以上，5艘船舶运力在1万载重吨至5万载重吨区间内，4艘船舶运力在1万载重吨以内。根据评分标准，该指标得2.56分（得分=9/18×4+5/18×2+4/18×0）。</w:t>
      </w:r>
    </w:p>
    <w:p w14:paraId="7962F6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3.产出时效（</w:t>
      </w:r>
      <w:r>
        <w:rPr>
          <w:rFonts w:hint="eastAsia" w:ascii="仿宋_GB2312" w:hAnsi="Times New Roman" w:eastAsia="仿宋_GB2312" w:cs="Times New Roman"/>
          <w:sz w:val="24"/>
          <w:szCs w:val="24"/>
          <w:lang w:val="en-US" w:eastAsia="zh-CN"/>
        </w:rPr>
        <w:t>分值3</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0</w:t>
      </w:r>
      <w:r>
        <w:rPr>
          <w:rFonts w:hint="eastAsia" w:ascii="仿宋_GB2312" w:hAnsi="Times New Roman" w:eastAsia="仿宋_GB2312" w:cs="Times New Roman"/>
          <w:sz w:val="24"/>
          <w:szCs w:val="24"/>
          <w:lang w:val="zh-CN" w:eastAsia="zh-CN"/>
        </w:rPr>
        <w:t>分）</w:t>
      </w:r>
    </w:p>
    <w:p w14:paraId="2514AC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en-US" w:eastAsia="zh-CN"/>
        </w:rPr>
        <w:t>产出时效用“补贴按时发放”的三级指标进行衡量，由于石狮市2024年所拨付的水路运输业相关补贴都是用于弥补2022年企业申报补贴的缺口</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补贴发放严重滞后。</w:t>
      </w:r>
      <w:r>
        <w:rPr>
          <w:rFonts w:hint="eastAsia" w:ascii="仿宋_GB2312" w:hAnsi="Times New Roman" w:eastAsia="仿宋_GB2312" w:cs="Times New Roman"/>
          <w:sz w:val="24"/>
          <w:szCs w:val="24"/>
          <w:lang w:val="zh-CN" w:eastAsia="zh-CN"/>
        </w:rPr>
        <w:t>该项指标</w:t>
      </w:r>
      <w:r>
        <w:rPr>
          <w:rFonts w:hint="eastAsia" w:ascii="仿宋_GB2312" w:hAnsi="Times New Roman" w:eastAsia="仿宋_GB2312" w:cs="Times New Roman"/>
          <w:sz w:val="24"/>
          <w:szCs w:val="24"/>
          <w:lang w:val="en-US" w:eastAsia="zh-CN"/>
        </w:rPr>
        <w:t>得0</w:t>
      </w:r>
      <w:r>
        <w:rPr>
          <w:rFonts w:hint="eastAsia" w:ascii="仿宋_GB2312" w:hAnsi="Times New Roman" w:eastAsia="仿宋_GB2312" w:cs="Times New Roman"/>
          <w:sz w:val="24"/>
          <w:szCs w:val="24"/>
          <w:lang w:val="zh-CN" w:eastAsia="zh-CN"/>
        </w:rPr>
        <w:t>分。</w:t>
      </w:r>
    </w:p>
    <w:p w14:paraId="53C71FB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hAnsi="Times New Roman" w:eastAsia="仿宋_GB2312" w:cs="Times New Roman"/>
          <w:b/>
          <w:bCs/>
          <w:sz w:val="24"/>
          <w:szCs w:val="24"/>
        </w:rPr>
      </w:pPr>
      <w:bookmarkStart w:id="50" w:name="_Toc184981308"/>
      <w:bookmarkStart w:id="51" w:name="_Toc184981070"/>
      <w:bookmarkStart w:id="52" w:name="_Toc29878"/>
      <w:bookmarkStart w:id="53" w:name="_Toc1040"/>
      <w:r>
        <w:rPr>
          <w:rFonts w:hint="eastAsia" w:ascii="仿宋_GB2312" w:hAnsi="Times New Roman" w:eastAsia="仿宋_GB2312" w:cs="Times New Roman"/>
          <w:b/>
          <w:bCs/>
          <w:sz w:val="24"/>
          <w:szCs w:val="24"/>
        </w:rPr>
        <w:t>（四）项目效益情况</w:t>
      </w:r>
      <w:bookmarkEnd w:id="50"/>
      <w:bookmarkEnd w:id="51"/>
      <w:r>
        <w:rPr>
          <w:rFonts w:hint="eastAsia" w:ascii="仿宋_GB2312" w:hAnsi="Times New Roman" w:eastAsia="仿宋_GB2312" w:cs="Times New Roman"/>
          <w:b/>
          <w:bCs/>
          <w:sz w:val="24"/>
          <w:szCs w:val="24"/>
        </w:rPr>
        <w:t>（</w:t>
      </w:r>
      <w:r>
        <w:rPr>
          <w:rFonts w:hint="eastAsia" w:ascii="仿宋_GB2312" w:hAnsi="Times New Roman" w:eastAsia="仿宋_GB2312" w:cs="Times New Roman"/>
          <w:b/>
          <w:bCs/>
          <w:sz w:val="24"/>
          <w:szCs w:val="24"/>
          <w:lang w:val="en-US" w:eastAsia="zh-CN"/>
        </w:rPr>
        <w:t>分值</w:t>
      </w:r>
      <w:r>
        <w:rPr>
          <w:rFonts w:hint="eastAsia" w:ascii="仿宋_GB2312" w:hAnsi="Times New Roman" w:eastAsia="仿宋_GB2312" w:cs="Times New Roman"/>
          <w:b/>
          <w:bCs/>
          <w:sz w:val="24"/>
          <w:szCs w:val="24"/>
        </w:rPr>
        <w:t>35分，得分</w:t>
      </w:r>
      <w:r>
        <w:rPr>
          <w:rFonts w:hint="eastAsia" w:ascii="仿宋_GB2312" w:hAnsi="Times New Roman" w:eastAsia="仿宋_GB2312" w:cs="Times New Roman"/>
          <w:b/>
          <w:bCs/>
          <w:sz w:val="24"/>
          <w:szCs w:val="24"/>
          <w:lang w:val="en-US" w:eastAsia="zh-CN"/>
        </w:rPr>
        <w:t>26.9</w:t>
      </w:r>
      <w:r>
        <w:rPr>
          <w:rFonts w:hint="eastAsia" w:ascii="仿宋_GB2312" w:hAnsi="Times New Roman" w:eastAsia="仿宋_GB2312" w:cs="Times New Roman"/>
          <w:b/>
          <w:bCs/>
          <w:sz w:val="24"/>
          <w:szCs w:val="24"/>
        </w:rPr>
        <w:t>分）</w:t>
      </w:r>
      <w:bookmarkEnd w:id="52"/>
      <w:bookmarkEnd w:id="53"/>
    </w:p>
    <w:p w14:paraId="1899F5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en-US" w:eastAsia="zh-CN"/>
        </w:rPr>
        <w:t>工作组设计并发放了企业实名问卷用于开展项目效益的评价，问卷主要调查对象为2024年获得补贴的企业，共计回收15份，其中昌盛船务、德盈船务两家企业因船舶迁出退回补贴资金，未实际获得2024年下拨的补贴资金，永益船运未获得2024年度补贴，获得2024年水路运输业补贴的13家企业回收12家问卷（鑫嘉源海运未提交问卷）。</w:t>
      </w:r>
    </w:p>
    <w:p w14:paraId="43E0ED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1.社会效益（</w:t>
      </w:r>
      <w:r>
        <w:rPr>
          <w:rFonts w:hint="eastAsia" w:ascii="仿宋_GB2312" w:hAnsi="Times New Roman" w:eastAsia="仿宋_GB2312" w:cs="Times New Roman"/>
          <w:sz w:val="24"/>
          <w:szCs w:val="24"/>
          <w:lang w:val="en-US" w:eastAsia="zh-CN"/>
        </w:rPr>
        <w:t>分值12</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7.82</w:t>
      </w:r>
      <w:r>
        <w:rPr>
          <w:rFonts w:hint="eastAsia" w:ascii="仿宋_GB2312" w:hAnsi="Times New Roman" w:eastAsia="仿宋_GB2312" w:cs="Times New Roman"/>
          <w:sz w:val="24"/>
          <w:szCs w:val="24"/>
          <w:lang w:val="zh-CN" w:eastAsia="zh-CN"/>
        </w:rPr>
        <w:t>分）</w:t>
      </w:r>
    </w:p>
    <w:p w14:paraId="03DE27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（1）</w:t>
      </w:r>
      <w:r>
        <w:rPr>
          <w:rFonts w:hint="eastAsia" w:ascii="仿宋_GB2312" w:hAnsi="Times New Roman" w:eastAsia="仿宋_GB2312" w:cs="Times New Roman"/>
          <w:sz w:val="24"/>
          <w:szCs w:val="24"/>
          <w:lang w:val="en-US" w:eastAsia="zh-CN"/>
        </w:rPr>
        <w:t>就业带动效应</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分值6</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3.82</w:t>
      </w:r>
      <w:r>
        <w:rPr>
          <w:rFonts w:hint="eastAsia" w:ascii="仿宋_GB2312" w:hAnsi="Times New Roman" w:eastAsia="仿宋_GB2312" w:cs="Times New Roman"/>
          <w:sz w:val="24"/>
          <w:szCs w:val="24"/>
          <w:lang w:val="zh-CN" w:eastAsia="zh-CN"/>
        </w:rPr>
        <w:t>分）</w:t>
      </w:r>
    </w:p>
    <w:p w14:paraId="2210BD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从12家受补贴企业的数据来看（如表7所示），2022年末至2025年7月，总体呈现2022-2024年雇员人数增加，2025年雇员人数开始减少的趋势；2024年至2025年7月，有2家雇员人数增加，有7家雇员人数持平，有家3雇员人数减少。根据评分标准，该指标得3.82分（计算详见附表2）。</w:t>
      </w:r>
    </w:p>
    <w:p w14:paraId="61B16C4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zh-CN" w:eastAsia="zh-CN" w:bidi="ar-SA"/>
        </w:rPr>
        <w:t>表</w:t>
      </w:r>
      <w:r>
        <w:rPr>
          <w:rFonts w:hint="eastAsia" w:ascii="仿宋_GB2312" w:hAnsi="Times New Roman" w:eastAsia="仿宋_GB2312" w:cs="Times New Roman"/>
          <w:b/>
          <w:bCs/>
          <w:kern w:val="2"/>
          <w:sz w:val="24"/>
          <w:szCs w:val="24"/>
          <w:lang w:val="en-US" w:eastAsia="zh-CN" w:bidi="ar-SA"/>
        </w:rPr>
        <w:t>7  受补贴企业2022年至今雇员人数变动情况</w:t>
      </w:r>
    </w:p>
    <w:p w14:paraId="38C21454">
      <w:pPr>
        <w:keepNext w:val="0"/>
        <w:keepLines w:val="0"/>
        <w:pageBreakBefore w:val="0"/>
        <w:widowControl w:val="0"/>
        <w:kinsoku/>
        <w:wordWrap/>
        <w:overflowPunct/>
        <w:topLinePunct w:val="0"/>
        <w:autoSpaceDE/>
        <w:autoSpaceDN/>
        <w:bidi w:val="0"/>
        <w:adjustRightInd/>
        <w:snapToGrid/>
        <w:spacing w:line="360" w:lineRule="auto"/>
        <w:jc w:val="right"/>
        <w:textAlignment w:val="auto"/>
        <w:outlineLvl w:val="9"/>
        <w:rPr>
          <w:rFonts w:hint="default" w:ascii="仿宋_GB2312" w:hAnsi="Times New Roman" w:eastAsia="仿宋_GB2312" w:cs="Times New Roman"/>
          <w:b w:val="0"/>
          <w:bCs w:val="0"/>
          <w:kern w:val="2"/>
          <w:sz w:val="24"/>
          <w:szCs w:val="24"/>
          <w:lang w:val="en-US" w:eastAsia="zh-CN" w:bidi="ar-SA"/>
        </w:rPr>
      </w:pPr>
      <w:r>
        <w:rPr>
          <w:rFonts w:hint="eastAsia" w:ascii="仿宋_GB2312" w:hAnsi="Times New Roman" w:eastAsia="仿宋_GB2312" w:cs="Times New Roman"/>
          <w:b w:val="0"/>
          <w:bCs w:val="0"/>
          <w:kern w:val="2"/>
          <w:sz w:val="24"/>
          <w:szCs w:val="24"/>
          <w:lang w:val="en-US" w:eastAsia="zh-CN" w:bidi="ar-SA"/>
        </w:rPr>
        <w:t>单位：人</w:t>
      </w:r>
    </w:p>
    <w:tbl>
      <w:tblPr>
        <w:tblStyle w:val="16"/>
        <w:tblW w:w="8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5"/>
        <w:gridCol w:w="720"/>
        <w:gridCol w:w="720"/>
        <w:gridCol w:w="720"/>
        <w:gridCol w:w="720"/>
        <w:gridCol w:w="720"/>
        <w:gridCol w:w="720"/>
        <w:gridCol w:w="720"/>
        <w:gridCol w:w="720"/>
      </w:tblGrid>
      <w:tr w14:paraId="30588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95" w:type="dxa"/>
            <w:vMerge w:val="restart"/>
            <w:vAlign w:val="center"/>
          </w:tcPr>
          <w:p w14:paraId="5DC8C15A">
            <w:pPr>
              <w:pStyle w:val="6"/>
              <w:numPr>
                <w:ilvl w:val="0"/>
                <w:numId w:val="0"/>
              </w:numPr>
              <w:tabs>
                <w:tab w:val="clear" w:pos="2040"/>
              </w:tabs>
              <w:jc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企业</w:t>
            </w:r>
          </w:p>
        </w:tc>
        <w:tc>
          <w:tcPr>
            <w:tcW w:w="1440" w:type="dxa"/>
            <w:gridSpan w:val="2"/>
          </w:tcPr>
          <w:p w14:paraId="77A6B646">
            <w:pPr>
              <w:pStyle w:val="6"/>
              <w:numPr>
                <w:ilvl w:val="0"/>
                <w:numId w:val="0"/>
              </w:numPr>
              <w:tabs>
                <w:tab w:val="clear" w:pos="2040"/>
              </w:tabs>
              <w:jc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2022年末</w:t>
            </w:r>
          </w:p>
        </w:tc>
        <w:tc>
          <w:tcPr>
            <w:tcW w:w="1440" w:type="dxa"/>
            <w:gridSpan w:val="2"/>
          </w:tcPr>
          <w:p w14:paraId="3B195C83">
            <w:pPr>
              <w:pStyle w:val="6"/>
              <w:numPr>
                <w:ilvl w:val="0"/>
                <w:numId w:val="0"/>
              </w:numPr>
              <w:tabs>
                <w:tab w:val="clear" w:pos="2040"/>
              </w:tabs>
              <w:jc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2023年末</w:t>
            </w:r>
          </w:p>
        </w:tc>
        <w:tc>
          <w:tcPr>
            <w:tcW w:w="1440" w:type="dxa"/>
            <w:gridSpan w:val="2"/>
          </w:tcPr>
          <w:p w14:paraId="24D50158">
            <w:pPr>
              <w:pStyle w:val="6"/>
              <w:numPr>
                <w:ilvl w:val="0"/>
                <w:numId w:val="0"/>
              </w:numPr>
              <w:tabs>
                <w:tab w:val="clear" w:pos="2040"/>
              </w:tabs>
              <w:jc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2024年末</w:t>
            </w:r>
          </w:p>
        </w:tc>
        <w:tc>
          <w:tcPr>
            <w:tcW w:w="1440" w:type="dxa"/>
            <w:gridSpan w:val="2"/>
          </w:tcPr>
          <w:p w14:paraId="366A2702">
            <w:pPr>
              <w:pStyle w:val="6"/>
              <w:numPr>
                <w:ilvl w:val="0"/>
                <w:numId w:val="0"/>
              </w:numPr>
              <w:tabs>
                <w:tab w:val="clear" w:pos="2040"/>
              </w:tabs>
              <w:jc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2025年7月</w:t>
            </w:r>
          </w:p>
        </w:tc>
      </w:tr>
      <w:tr w14:paraId="1CF0F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blHeader/>
          <w:jc w:val="center"/>
        </w:trPr>
        <w:tc>
          <w:tcPr>
            <w:tcW w:w="3095" w:type="dxa"/>
            <w:vMerge w:val="continue"/>
          </w:tcPr>
          <w:p w14:paraId="3022E610">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p>
        </w:tc>
        <w:tc>
          <w:tcPr>
            <w:tcW w:w="720" w:type="dxa"/>
          </w:tcPr>
          <w:p w14:paraId="26A05097">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雇员人数</w:t>
            </w:r>
          </w:p>
        </w:tc>
        <w:tc>
          <w:tcPr>
            <w:tcW w:w="720" w:type="dxa"/>
          </w:tcPr>
          <w:p w14:paraId="64D03659">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船员人数</w:t>
            </w:r>
          </w:p>
        </w:tc>
        <w:tc>
          <w:tcPr>
            <w:tcW w:w="720" w:type="dxa"/>
            <w:vAlign w:val="top"/>
          </w:tcPr>
          <w:p w14:paraId="7D1DD510">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雇员人数</w:t>
            </w:r>
          </w:p>
        </w:tc>
        <w:tc>
          <w:tcPr>
            <w:tcW w:w="720" w:type="dxa"/>
            <w:vAlign w:val="top"/>
          </w:tcPr>
          <w:p w14:paraId="3F02FDD4">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船员人数</w:t>
            </w:r>
          </w:p>
        </w:tc>
        <w:tc>
          <w:tcPr>
            <w:tcW w:w="720" w:type="dxa"/>
            <w:vAlign w:val="top"/>
          </w:tcPr>
          <w:p w14:paraId="70856A50">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雇员人数</w:t>
            </w:r>
          </w:p>
        </w:tc>
        <w:tc>
          <w:tcPr>
            <w:tcW w:w="720" w:type="dxa"/>
            <w:vAlign w:val="top"/>
          </w:tcPr>
          <w:p w14:paraId="251DF688">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船员人数</w:t>
            </w:r>
          </w:p>
        </w:tc>
        <w:tc>
          <w:tcPr>
            <w:tcW w:w="720" w:type="dxa"/>
            <w:vAlign w:val="top"/>
          </w:tcPr>
          <w:p w14:paraId="672D37CC">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雇员人数</w:t>
            </w:r>
          </w:p>
        </w:tc>
        <w:tc>
          <w:tcPr>
            <w:tcW w:w="720" w:type="dxa"/>
            <w:vAlign w:val="top"/>
          </w:tcPr>
          <w:p w14:paraId="43CC3F94">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船员人数</w:t>
            </w:r>
          </w:p>
        </w:tc>
      </w:tr>
      <w:tr w14:paraId="2203C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3095" w:type="dxa"/>
            <w:vAlign w:val="center"/>
          </w:tcPr>
          <w:p w14:paraId="48CC30A2">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石狮鼎盛船务有限公司</w:t>
            </w:r>
          </w:p>
        </w:tc>
        <w:tc>
          <w:tcPr>
            <w:tcW w:w="720" w:type="dxa"/>
            <w:vAlign w:val="center"/>
          </w:tcPr>
          <w:p w14:paraId="2CF7F8BF">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130</w:t>
            </w:r>
          </w:p>
        </w:tc>
        <w:tc>
          <w:tcPr>
            <w:tcW w:w="720" w:type="dxa"/>
            <w:vAlign w:val="center"/>
          </w:tcPr>
          <w:p w14:paraId="18042336">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105</w:t>
            </w:r>
          </w:p>
        </w:tc>
        <w:tc>
          <w:tcPr>
            <w:tcW w:w="720" w:type="dxa"/>
            <w:vAlign w:val="center"/>
          </w:tcPr>
          <w:p w14:paraId="4C9E847E">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156</w:t>
            </w:r>
          </w:p>
        </w:tc>
        <w:tc>
          <w:tcPr>
            <w:tcW w:w="720" w:type="dxa"/>
            <w:vAlign w:val="center"/>
          </w:tcPr>
          <w:p w14:paraId="349E25E6">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126</w:t>
            </w:r>
          </w:p>
        </w:tc>
        <w:tc>
          <w:tcPr>
            <w:tcW w:w="720" w:type="dxa"/>
            <w:vAlign w:val="center"/>
          </w:tcPr>
          <w:p w14:paraId="48F6BAAC">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165</w:t>
            </w:r>
          </w:p>
        </w:tc>
        <w:tc>
          <w:tcPr>
            <w:tcW w:w="720" w:type="dxa"/>
            <w:vAlign w:val="center"/>
          </w:tcPr>
          <w:p w14:paraId="21BF9535">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126</w:t>
            </w:r>
          </w:p>
        </w:tc>
        <w:tc>
          <w:tcPr>
            <w:tcW w:w="720" w:type="dxa"/>
            <w:vAlign w:val="center"/>
          </w:tcPr>
          <w:p w14:paraId="5341DD8C">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165</w:t>
            </w:r>
          </w:p>
        </w:tc>
        <w:tc>
          <w:tcPr>
            <w:tcW w:w="720" w:type="dxa"/>
            <w:vAlign w:val="center"/>
          </w:tcPr>
          <w:p w14:paraId="2B834128">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126</w:t>
            </w:r>
          </w:p>
        </w:tc>
      </w:tr>
      <w:tr w14:paraId="5324F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Pr>
          <w:p w14:paraId="0A70E27B">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石狮鼎鑫海运有限公司</w:t>
            </w:r>
          </w:p>
        </w:tc>
        <w:tc>
          <w:tcPr>
            <w:tcW w:w="720" w:type="dxa"/>
          </w:tcPr>
          <w:p w14:paraId="63339BB9">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77</w:t>
            </w:r>
          </w:p>
        </w:tc>
        <w:tc>
          <w:tcPr>
            <w:tcW w:w="720" w:type="dxa"/>
          </w:tcPr>
          <w:p w14:paraId="6F296B19">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63</w:t>
            </w:r>
          </w:p>
        </w:tc>
        <w:tc>
          <w:tcPr>
            <w:tcW w:w="720" w:type="dxa"/>
          </w:tcPr>
          <w:p w14:paraId="1823D759">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109</w:t>
            </w:r>
          </w:p>
        </w:tc>
        <w:tc>
          <w:tcPr>
            <w:tcW w:w="720" w:type="dxa"/>
          </w:tcPr>
          <w:p w14:paraId="21654D21">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84</w:t>
            </w:r>
          </w:p>
        </w:tc>
        <w:tc>
          <w:tcPr>
            <w:tcW w:w="720" w:type="dxa"/>
          </w:tcPr>
          <w:p w14:paraId="676C2C96">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124</w:t>
            </w:r>
          </w:p>
        </w:tc>
        <w:tc>
          <w:tcPr>
            <w:tcW w:w="720" w:type="dxa"/>
          </w:tcPr>
          <w:p w14:paraId="7B1D96ED">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84</w:t>
            </w:r>
          </w:p>
        </w:tc>
        <w:tc>
          <w:tcPr>
            <w:tcW w:w="720" w:type="dxa"/>
            <w:vAlign w:val="top"/>
          </w:tcPr>
          <w:p w14:paraId="4C3E4B08">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124</w:t>
            </w:r>
          </w:p>
        </w:tc>
        <w:tc>
          <w:tcPr>
            <w:tcW w:w="720" w:type="dxa"/>
            <w:vAlign w:val="top"/>
          </w:tcPr>
          <w:p w14:paraId="6CEC65B6">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84</w:t>
            </w:r>
          </w:p>
        </w:tc>
      </w:tr>
      <w:tr w14:paraId="27EB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vAlign w:val="top"/>
          </w:tcPr>
          <w:p w14:paraId="5E2BED87">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福建省东亿船务有限责任公司</w:t>
            </w:r>
          </w:p>
        </w:tc>
        <w:tc>
          <w:tcPr>
            <w:tcW w:w="720" w:type="dxa"/>
            <w:vAlign w:val="top"/>
          </w:tcPr>
          <w:p w14:paraId="0A3F5B04">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71</w:t>
            </w:r>
          </w:p>
        </w:tc>
        <w:tc>
          <w:tcPr>
            <w:tcW w:w="720" w:type="dxa"/>
            <w:vAlign w:val="top"/>
          </w:tcPr>
          <w:p w14:paraId="720D5415">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64</w:t>
            </w:r>
          </w:p>
        </w:tc>
        <w:tc>
          <w:tcPr>
            <w:tcW w:w="720" w:type="dxa"/>
            <w:vAlign w:val="top"/>
          </w:tcPr>
          <w:p w14:paraId="3D409220">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72</w:t>
            </w:r>
          </w:p>
        </w:tc>
        <w:tc>
          <w:tcPr>
            <w:tcW w:w="720" w:type="dxa"/>
            <w:vAlign w:val="top"/>
          </w:tcPr>
          <w:p w14:paraId="7F3CE3D9">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64</w:t>
            </w:r>
          </w:p>
        </w:tc>
        <w:tc>
          <w:tcPr>
            <w:tcW w:w="720" w:type="dxa"/>
            <w:vAlign w:val="top"/>
          </w:tcPr>
          <w:p w14:paraId="5F40216B">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73</w:t>
            </w:r>
          </w:p>
        </w:tc>
        <w:tc>
          <w:tcPr>
            <w:tcW w:w="720" w:type="dxa"/>
            <w:vAlign w:val="top"/>
          </w:tcPr>
          <w:p w14:paraId="0834CAE1">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64</w:t>
            </w:r>
          </w:p>
        </w:tc>
        <w:tc>
          <w:tcPr>
            <w:tcW w:w="720" w:type="dxa"/>
          </w:tcPr>
          <w:p w14:paraId="408D763C">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74</w:t>
            </w:r>
          </w:p>
        </w:tc>
        <w:tc>
          <w:tcPr>
            <w:tcW w:w="720" w:type="dxa"/>
          </w:tcPr>
          <w:p w14:paraId="58B0A9EF">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64</w:t>
            </w:r>
          </w:p>
        </w:tc>
      </w:tr>
      <w:tr w14:paraId="266A2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vAlign w:val="top"/>
          </w:tcPr>
          <w:p w14:paraId="2E890A63">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石狮市华信船运有限公司</w:t>
            </w:r>
          </w:p>
        </w:tc>
        <w:tc>
          <w:tcPr>
            <w:tcW w:w="720" w:type="dxa"/>
            <w:vAlign w:val="top"/>
          </w:tcPr>
          <w:p w14:paraId="2EF0E0FD">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65</w:t>
            </w:r>
          </w:p>
        </w:tc>
        <w:tc>
          <w:tcPr>
            <w:tcW w:w="720" w:type="dxa"/>
            <w:vAlign w:val="top"/>
          </w:tcPr>
          <w:p w14:paraId="53583915">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59</w:t>
            </w:r>
          </w:p>
        </w:tc>
        <w:tc>
          <w:tcPr>
            <w:tcW w:w="720" w:type="dxa"/>
            <w:vAlign w:val="top"/>
          </w:tcPr>
          <w:p w14:paraId="1AB59EAE">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65</w:t>
            </w:r>
          </w:p>
        </w:tc>
        <w:tc>
          <w:tcPr>
            <w:tcW w:w="720" w:type="dxa"/>
            <w:vAlign w:val="top"/>
          </w:tcPr>
          <w:p w14:paraId="0EE2632B">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59</w:t>
            </w:r>
          </w:p>
        </w:tc>
        <w:tc>
          <w:tcPr>
            <w:tcW w:w="720" w:type="dxa"/>
            <w:vAlign w:val="top"/>
          </w:tcPr>
          <w:p w14:paraId="30EEB412">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65</w:t>
            </w:r>
          </w:p>
        </w:tc>
        <w:tc>
          <w:tcPr>
            <w:tcW w:w="720" w:type="dxa"/>
            <w:vAlign w:val="top"/>
          </w:tcPr>
          <w:p w14:paraId="78A04034">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59</w:t>
            </w:r>
          </w:p>
        </w:tc>
        <w:tc>
          <w:tcPr>
            <w:tcW w:w="720" w:type="dxa"/>
            <w:vAlign w:val="top"/>
          </w:tcPr>
          <w:p w14:paraId="349FD530">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65</w:t>
            </w:r>
          </w:p>
        </w:tc>
        <w:tc>
          <w:tcPr>
            <w:tcW w:w="720" w:type="dxa"/>
            <w:vAlign w:val="top"/>
          </w:tcPr>
          <w:p w14:paraId="3E30D7CA">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59</w:t>
            </w:r>
          </w:p>
        </w:tc>
      </w:tr>
      <w:tr w14:paraId="75F68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vAlign w:val="top"/>
          </w:tcPr>
          <w:p w14:paraId="22A74470">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福建千祥船务有限公司</w:t>
            </w:r>
          </w:p>
        </w:tc>
        <w:tc>
          <w:tcPr>
            <w:tcW w:w="720" w:type="dxa"/>
            <w:vAlign w:val="top"/>
          </w:tcPr>
          <w:p w14:paraId="32DC7B76">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46</w:t>
            </w:r>
          </w:p>
        </w:tc>
        <w:tc>
          <w:tcPr>
            <w:tcW w:w="720" w:type="dxa"/>
            <w:vAlign w:val="top"/>
          </w:tcPr>
          <w:p w14:paraId="33840823">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39</w:t>
            </w:r>
          </w:p>
        </w:tc>
        <w:tc>
          <w:tcPr>
            <w:tcW w:w="720" w:type="dxa"/>
            <w:vAlign w:val="top"/>
          </w:tcPr>
          <w:p w14:paraId="3322FF8E">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75</w:t>
            </w:r>
          </w:p>
        </w:tc>
        <w:tc>
          <w:tcPr>
            <w:tcW w:w="720" w:type="dxa"/>
            <w:vAlign w:val="top"/>
          </w:tcPr>
          <w:p w14:paraId="50626124">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67</w:t>
            </w:r>
          </w:p>
        </w:tc>
        <w:tc>
          <w:tcPr>
            <w:tcW w:w="720" w:type="dxa"/>
            <w:vAlign w:val="top"/>
          </w:tcPr>
          <w:p w14:paraId="5A8838E7">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89</w:t>
            </w:r>
          </w:p>
        </w:tc>
        <w:tc>
          <w:tcPr>
            <w:tcW w:w="720" w:type="dxa"/>
            <w:vAlign w:val="top"/>
          </w:tcPr>
          <w:p w14:paraId="210CE56B">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81</w:t>
            </w:r>
          </w:p>
        </w:tc>
        <w:tc>
          <w:tcPr>
            <w:tcW w:w="720" w:type="dxa"/>
          </w:tcPr>
          <w:p w14:paraId="28BAB4D7">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43</w:t>
            </w:r>
          </w:p>
        </w:tc>
        <w:tc>
          <w:tcPr>
            <w:tcW w:w="720" w:type="dxa"/>
          </w:tcPr>
          <w:p w14:paraId="52EFE630">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35</w:t>
            </w:r>
          </w:p>
        </w:tc>
      </w:tr>
      <w:tr w14:paraId="2EEB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vAlign w:val="top"/>
          </w:tcPr>
          <w:p w14:paraId="07D01A77">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石狮弘兴船务有限公司</w:t>
            </w:r>
          </w:p>
        </w:tc>
        <w:tc>
          <w:tcPr>
            <w:tcW w:w="720" w:type="dxa"/>
            <w:vAlign w:val="top"/>
          </w:tcPr>
          <w:p w14:paraId="0DB7D790">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28</w:t>
            </w:r>
          </w:p>
        </w:tc>
        <w:tc>
          <w:tcPr>
            <w:tcW w:w="720" w:type="dxa"/>
            <w:vAlign w:val="top"/>
          </w:tcPr>
          <w:p w14:paraId="5816C459">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25</w:t>
            </w:r>
          </w:p>
        </w:tc>
        <w:tc>
          <w:tcPr>
            <w:tcW w:w="720" w:type="dxa"/>
            <w:vAlign w:val="top"/>
          </w:tcPr>
          <w:p w14:paraId="2E1CF5D2">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24</w:t>
            </w:r>
          </w:p>
        </w:tc>
        <w:tc>
          <w:tcPr>
            <w:tcW w:w="720" w:type="dxa"/>
            <w:vAlign w:val="top"/>
          </w:tcPr>
          <w:p w14:paraId="49463572">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24</w:t>
            </w:r>
          </w:p>
        </w:tc>
        <w:tc>
          <w:tcPr>
            <w:tcW w:w="720" w:type="dxa"/>
            <w:vAlign w:val="top"/>
          </w:tcPr>
          <w:p w14:paraId="77449D8C">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27</w:t>
            </w:r>
          </w:p>
        </w:tc>
        <w:tc>
          <w:tcPr>
            <w:tcW w:w="720" w:type="dxa"/>
            <w:vAlign w:val="top"/>
          </w:tcPr>
          <w:p w14:paraId="3FB108DF">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25</w:t>
            </w:r>
          </w:p>
        </w:tc>
        <w:tc>
          <w:tcPr>
            <w:tcW w:w="720" w:type="dxa"/>
            <w:vAlign w:val="top"/>
          </w:tcPr>
          <w:p w14:paraId="31DCA828">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26</w:t>
            </w:r>
          </w:p>
        </w:tc>
        <w:tc>
          <w:tcPr>
            <w:tcW w:w="720" w:type="dxa"/>
            <w:vAlign w:val="top"/>
          </w:tcPr>
          <w:p w14:paraId="5B330642">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24</w:t>
            </w:r>
          </w:p>
        </w:tc>
      </w:tr>
      <w:tr w14:paraId="31653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vAlign w:val="top"/>
          </w:tcPr>
          <w:p w14:paraId="19D920F0">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石狮市祥展航运有限公司</w:t>
            </w:r>
          </w:p>
        </w:tc>
        <w:tc>
          <w:tcPr>
            <w:tcW w:w="720" w:type="dxa"/>
            <w:vAlign w:val="top"/>
          </w:tcPr>
          <w:p w14:paraId="0851753A">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27</w:t>
            </w:r>
          </w:p>
        </w:tc>
        <w:tc>
          <w:tcPr>
            <w:tcW w:w="720" w:type="dxa"/>
            <w:vAlign w:val="top"/>
          </w:tcPr>
          <w:p w14:paraId="2814B42C">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24</w:t>
            </w:r>
          </w:p>
        </w:tc>
        <w:tc>
          <w:tcPr>
            <w:tcW w:w="720" w:type="dxa"/>
            <w:vAlign w:val="top"/>
          </w:tcPr>
          <w:p w14:paraId="1E30669F">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26</w:t>
            </w:r>
          </w:p>
        </w:tc>
        <w:tc>
          <w:tcPr>
            <w:tcW w:w="720" w:type="dxa"/>
            <w:vAlign w:val="top"/>
          </w:tcPr>
          <w:p w14:paraId="14BBB52E">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23</w:t>
            </w:r>
          </w:p>
        </w:tc>
        <w:tc>
          <w:tcPr>
            <w:tcW w:w="720" w:type="dxa"/>
            <w:vAlign w:val="top"/>
          </w:tcPr>
          <w:p w14:paraId="026C4BC0">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29</w:t>
            </w:r>
          </w:p>
        </w:tc>
        <w:tc>
          <w:tcPr>
            <w:tcW w:w="720" w:type="dxa"/>
            <w:vAlign w:val="top"/>
          </w:tcPr>
          <w:p w14:paraId="524EA70E">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24</w:t>
            </w:r>
          </w:p>
        </w:tc>
        <w:tc>
          <w:tcPr>
            <w:tcW w:w="720" w:type="dxa"/>
          </w:tcPr>
          <w:p w14:paraId="187E78A1">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30</w:t>
            </w:r>
          </w:p>
        </w:tc>
        <w:tc>
          <w:tcPr>
            <w:tcW w:w="720" w:type="dxa"/>
          </w:tcPr>
          <w:p w14:paraId="7606B8EE">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25</w:t>
            </w:r>
          </w:p>
        </w:tc>
      </w:tr>
      <w:tr w14:paraId="4D7C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vAlign w:val="top"/>
          </w:tcPr>
          <w:p w14:paraId="54FFB591">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泉州宝晟船务有限公司</w:t>
            </w:r>
          </w:p>
        </w:tc>
        <w:tc>
          <w:tcPr>
            <w:tcW w:w="720" w:type="dxa"/>
            <w:vAlign w:val="top"/>
          </w:tcPr>
          <w:p w14:paraId="6AC0DF5B">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23</w:t>
            </w:r>
          </w:p>
        </w:tc>
        <w:tc>
          <w:tcPr>
            <w:tcW w:w="720" w:type="dxa"/>
            <w:vAlign w:val="top"/>
          </w:tcPr>
          <w:p w14:paraId="6AD384AD">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13</w:t>
            </w:r>
          </w:p>
        </w:tc>
        <w:tc>
          <w:tcPr>
            <w:tcW w:w="720" w:type="dxa"/>
            <w:vAlign w:val="top"/>
          </w:tcPr>
          <w:p w14:paraId="04829F22">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19</w:t>
            </w:r>
          </w:p>
        </w:tc>
        <w:tc>
          <w:tcPr>
            <w:tcW w:w="720" w:type="dxa"/>
            <w:vAlign w:val="top"/>
          </w:tcPr>
          <w:p w14:paraId="37CC6076">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13</w:t>
            </w:r>
          </w:p>
        </w:tc>
        <w:tc>
          <w:tcPr>
            <w:tcW w:w="720" w:type="dxa"/>
            <w:vAlign w:val="top"/>
          </w:tcPr>
          <w:p w14:paraId="3ED585EE">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22</w:t>
            </w:r>
          </w:p>
        </w:tc>
        <w:tc>
          <w:tcPr>
            <w:tcW w:w="720" w:type="dxa"/>
            <w:vAlign w:val="top"/>
          </w:tcPr>
          <w:p w14:paraId="5216FFE7">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13</w:t>
            </w:r>
          </w:p>
        </w:tc>
        <w:tc>
          <w:tcPr>
            <w:tcW w:w="720" w:type="dxa"/>
          </w:tcPr>
          <w:p w14:paraId="18F1AE44">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w:t>
            </w:r>
          </w:p>
        </w:tc>
        <w:tc>
          <w:tcPr>
            <w:tcW w:w="720" w:type="dxa"/>
          </w:tcPr>
          <w:p w14:paraId="58984277">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13</w:t>
            </w:r>
          </w:p>
        </w:tc>
      </w:tr>
      <w:tr w14:paraId="3F44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vAlign w:val="top"/>
          </w:tcPr>
          <w:p w14:paraId="5BFC4FCE">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福建安丰船务有限公司</w:t>
            </w:r>
          </w:p>
        </w:tc>
        <w:tc>
          <w:tcPr>
            <w:tcW w:w="720" w:type="dxa"/>
            <w:vAlign w:val="top"/>
          </w:tcPr>
          <w:p w14:paraId="2D9A5366">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18</w:t>
            </w:r>
          </w:p>
        </w:tc>
        <w:tc>
          <w:tcPr>
            <w:tcW w:w="720" w:type="dxa"/>
            <w:vAlign w:val="top"/>
          </w:tcPr>
          <w:p w14:paraId="0539C3D1">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13</w:t>
            </w:r>
          </w:p>
        </w:tc>
        <w:tc>
          <w:tcPr>
            <w:tcW w:w="720" w:type="dxa"/>
            <w:vAlign w:val="top"/>
          </w:tcPr>
          <w:p w14:paraId="5EB45C57">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18</w:t>
            </w:r>
          </w:p>
        </w:tc>
        <w:tc>
          <w:tcPr>
            <w:tcW w:w="720" w:type="dxa"/>
            <w:vAlign w:val="top"/>
          </w:tcPr>
          <w:p w14:paraId="69E4B815">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13</w:t>
            </w:r>
          </w:p>
        </w:tc>
        <w:tc>
          <w:tcPr>
            <w:tcW w:w="720" w:type="dxa"/>
            <w:vAlign w:val="top"/>
          </w:tcPr>
          <w:p w14:paraId="1CE2793C">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18</w:t>
            </w:r>
          </w:p>
        </w:tc>
        <w:tc>
          <w:tcPr>
            <w:tcW w:w="720" w:type="dxa"/>
            <w:vAlign w:val="top"/>
          </w:tcPr>
          <w:p w14:paraId="3828777B">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13</w:t>
            </w:r>
          </w:p>
        </w:tc>
        <w:tc>
          <w:tcPr>
            <w:tcW w:w="720" w:type="dxa"/>
            <w:vAlign w:val="top"/>
          </w:tcPr>
          <w:p w14:paraId="06057105">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18</w:t>
            </w:r>
          </w:p>
        </w:tc>
        <w:tc>
          <w:tcPr>
            <w:tcW w:w="720" w:type="dxa"/>
            <w:vAlign w:val="top"/>
          </w:tcPr>
          <w:p w14:paraId="6A50622A">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13</w:t>
            </w:r>
          </w:p>
        </w:tc>
      </w:tr>
      <w:tr w14:paraId="4D30E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vAlign w:val="top"/>
          </w:tcPr>
          <w:p w14:paraId="2D533662">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石狮聚远海运有限公司</w:t>
            </w:r>
          </w:p>
        </w:tc>
        <w:tc>
          <w:tcPr>
            <w:tcW w:w="720" w:type="dxa"/>
            <w:vAlign w:val="top"/>
          </w:tcPr>
          <w:p w14:paraId="63DF9302">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17</w:t>
            </w:r>
          </w:p>
        </w:tc>
        <w:tc>
          <w:tcPr>
            <w:tcW w:w="720" w:type="dxa"/>
            <w:vAlign w:val="top"/>
          </w:tcPr>
          <w:p w14:paraId="36C32F14">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15</w:t>
            </w:r>
          </w:p>
        </w:tc>
        <w:tc>
          <w:tcPr>
            <w:tcW w:w="720" w:type="dxa"/>
            <w:vAlign w:val="top"/>
          </w:tcPr>
          <w:p w14:paraId="171FBB4B">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18</w:t>
            </w:r>
          </w:p>
        </w:tc>
        <w:tc>
          <w:tcPr>
            <w:tcW w:w="720" w:type="dxa"/>
            <w:vAlign w:val="top"/>
          </w:tcPr>
          <w:p w14:paraId="2BC90353">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16</w:t>
            </w:r>
          </w:p>
        </w:tc>
        <w:tc>
          <w:tcPr>
            <w:tcW w:w="720" w:type="dxa"/>
            <w:vAlign w:val="top"/>
          </w:tcPr>
          <w:p w14:paraId="5A6EBA29">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18</w:t>
            </w:r>
          </w:p>
        </w:tc>
        <w:tc>
          <w:tcPr>
            <w:tcW w:w="720" w:type="dxa"/>
            <w:vAlign w:val="top"/>
          </w:tcPr>
          <w:p w14:paraId="4195F8E5">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16</w:t>
            </w:r>
          </w:p>
        </w:tc>
        <w:tc>
          <w:tcPr>
            <w:tcW w:w="720" w:type="dxa"/>
            <w:vAlign w:val="top"/>
          </w:tcPr>
          <w:p w14:paraId="3097785F">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18</w:t>
            </w:r>
          </w:p>
        </w:tc>
        <w:tc>
          <w:tcPr>
            <w:tcW w:w="720" w:type="dxa"/>
            <w:vAlign w:val="top"/>
          </w:tcPr>
          <w:p w14:paraId="0D68F166">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16</w:t>
            </w:r>
          </w:p>
        </w:tc>
      </w:tr>
      <w:tr w14:paraId="19DEA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Pr>
          <w:p w14:paraId="6B75CA3F">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泉州弘旭船务有限公司</w:t>
            </w:r>
          </w:p>
        </w:tc>
        <w:tc>
          <w:tcPr>
            <w:tcW w:w="720" w:type="dxa"/>
          </w:tcPr>
          <w:p w14:paraId="5B3797F0">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17</w:t>
            </w:r>
          </w:p>
        </w:tc>
        <w:tc>
          <w:tcPr>
            <w:tcW w:w="720" w:type="dxa"/>
          </w:tcPr>
          <w:p w14:paraId="2F0A3E27">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13</w:t>
            </w:r>
          </w:p>
        </w:tc>
        <w:tc>
          <w:tcPr>
            <w:tcW w:w="720" w:type="dxa"/>
          </w:tcPr>
          <w:p w14:paraId="706316F6">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17</w:t>
            </w:r>
          </w:p>
        </w:tc>
        <w:tc>
          <w:tcPr>
            <w:tcW w:w="720" w:type="dxa"/>
          </w:tcPr>
          <w:p w14:paraId="1A9B77F8">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13</w:t>
            </w:r>
          </w:p>
        </w:tc>
        <w:tc>
          <w:tcPr>
            <w:tcW w:w="720" w:type="dxa"/>
          </w:tcPr>
          <w:p w14:paraId="4EBEE357">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31</w:t>
            </w:r>
          </w:p>
        </w:tc>
        <w:tc>
          <w:tcPr>
            <w:tcW w:w="720" w:type="dxa"/>
          </w:tcPr>
          <w:p w14:paraId="7D118B7D">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26</w:t>
            </w:r>
          </w:p>
        </w:tc>
        <w:tc>
          <w:tcPr>
            <w:tcW w:w="720" w:type="dxa"/>
            <w:vAlign w:val="top"/>
          </w:tcPr>
          <w:p w14:paraId="11BDF6C3">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31</w:t>
            </w:r>
          </w:p>
        </w:tc>
        <w:tc>
          <w:tcPr>
            <w:tcW w:w="720" w:type="dxa"/>
            <w:vAlign w:val="top"/>
          </w:tcPr>
          <w:p w14:paraId="7E27E386">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26</w:t>
            </w:r>
          </w:p>
        </w:tc>
      </w:tr>
      <w:tr w14:paraId="4B1E6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shd w:val="clear" w:color="auto" w:fill="auto"/>
            <w:vAlign w:val="top"/>
          </w:tcPr>
          <w:p w14:paraId="62FA4BC2">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福建鑫淼海运有限公司</w:t>
            </w:r>
          </w:p>
        </w:tc>
        <w:tc>
          <w:tcPr>
            <w:tcW w:w="720" w:type="dxa"/>
            <w:shd w:val="clear" w:color="auto" w:fill="auto"/>
            <w:vAlign w:val="top"/>
          </w:tcPr>
          <w:p w14:paraId="139818FB">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0</w:t>
            </w:r>
          </w:p>
        </w:tc>
        <w:tc>
          <w:tcPr>
            <w:tcW w:w="720" w:type="dxa"/>
            <w:shd w:val="clear" w:color="auto" w:fill="auto"/>
            <w:vAlign w:val="top"/>
          </w:tcPr>
          <w:p w14:paraId="0DE0B65D">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0</w:t>
            </w:r>
          </w:p>
        </w:tc>
        <w:tc>
          <w:tcPr>
            <w:tcW w:w="720" w:type="dxa"/>
            <w:shd w:val="clear" w:color="auto" w:fill="auto"/>
            <w:vAlign w:val="top"/>
          </w:tcPr>
          <w:p w14:paraId="22EFAADC">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26</w:t>
            </w:r>
          </w:p>
        </w:tc>
        <w:tc>
          <w:tcPr>
            <w:tcW w:w="720" w:type="dxa"/>
            <w:shd w:val="clear" w:color="auto" w:fill="auto"/>
            <w:vAlign w:val="top"/>
          </w:tcPr>
          <w:p w14:paraId="7DC20C05">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21</w:t>
            </w:r>
          </w:p>
        </w:tc>
        <w:tc>
          <w:tcPr>
            <w:tcW w:w="720" w:type="dxa"/>
            <w:shd w:val="clear" w:color="auto" w:fill="auto"/>
            <w:vAlign w:val="top"/>
          </w:tcPr>
          <w:p w14:paraId="55B16AC3">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26</w:t>
            </w:r>
          </w:p>
        </w:tc>
        <w:tc>
          <w:tcPr>
            <w:tcW w:w="720" w:type="dxa"/>
            <w:shd w:val="clear" w:color="auto" w:fill="auto"/>
            <w:vAlign w:val="top"/>
          </w:tcPr>
          <w:p w14:paraId="27339B84">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21</w:t>
            </w:r>
          </w:p>
        </w:tc>
        <w:tc>
          <w:tcPr>
            <w:tcW w:w="720" w:type="dxa"/>
            <w:vAlign w:val="top"/>
          </w:tcPr>
          <w:p w14:paraId="7D97A81E">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26</w:t>
            </w:r>
          </w:p>
        </w:tc>
        <w:tc>
          <w:tcPr>
            <w:tcW w:w="720" w:type="dxa"/>
            <w:vAlign w:val="top"/>
          </w:tcPr>
          <w:p w14:paraId="6638491B">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21</w:t>
            </w:r>
          </w:p>
        </w:tc>
      </w:tr>
      <w:tr w14:paraId="2D83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tcPr>
          <w:p w14:paraId="0D8F5942">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合计</w:t>
            </w:r>
          </w:p>
        </w:tc>
        <w:tc>
          <w:tcPr>
            <w:tcW w:w="720" w:type="dxa"/>
            <w:vAlign w:val="center"/>
          </w:tcPr>
          <w:p w14:paraId="3D9513BC">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519</w:t>
            </w:r>
          </w:p>
        </w:tc>
        <w:tc>
          <w:tcPr>
            <w:tcW w:w="720" w:type="dxa"/>
            <w:vAlign w:val="center"/>
          </w:tcPr>
          <w:p w14:paraId="321078AD">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433</w:t>
            </w:r>
          </w:p>
        </w:tc>
        <w:tc>
          <w:tcPr>
            <w:tcW w:w="720" w:type="dxa"/>
            <w:vAlign w:val="center"/>
          </w:tcPr>
          <w:p w14:paraId="23CE0D02">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625</w:t>
            </w:r>
          </w:p>
        </w:tc>
        <w:tc>
          <w:tcPr>
            <w:tcW w:w="720" w:type="dxa"/>
            <w:vAlign w:val="center"/>
          </w:tcPr>
          <w:p w14:paraId="1D049F9D">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523</w:t>
            </w:r>
          </w:p>
        </w:tc>
        <w:tc>
          <w:tcPr>
            <w:tcW w:w="720" w:type="dxa"/>
            <w:vAlign w:val="center"/>
          </w:tcPr>
          <w:p w14:paraId="5E81EEE3">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687</w:t>
            </w:r>
          </w:p>
        </w:tc>
        <w:tc>
          <w:tcPr>
            <w:tcW w:w="720" w:type="dxa"/>
            <w:vAlign w:val="center"/>
          </w:tcPr>
          <w:p w14:paraId="30F84829">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552</w:t>
            </w:r>
          </w:p>
        </w:tc>
        <w:tc>
          <w:tcPr>
            <w:tcW w:w="720" w:type="dxa"/>
            <w:vAlign w:val="center"/>
          </w:tcPr>
          <w:p w14:paraId="6ADEC01D">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640</w:t>
            </w:r>
          </w:p>
        </w:tc>
        <w:tc>
          <w:tcPr>
            <w:tcW w:w="720" w:type="dxa"/>
            <w:vAlign w:val="center"/>
          </w:tcPr>
          <w:p w14:paraId="02CA0456">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506</w:t>
            </w:r>
          </w:p>
        </w:tc>
      </w:tr>
    </w:tbl>
    <w:p w14:paraId="0A828B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（2）</w:t>
      </w:r>
      <w:r>
        <w:rPr>
          <w:rFonts w:hint="eastAsia" w:ascii="仿宋_GB2312" w:hAnsi="Times New Roman" w:eastAsia="仿宋_GB2312" w:cs="Times New Roman"/>
          <w:sz w:val="24"/>
          <w:szCs w:val="24"/>
          <w:lang w:val="en-US" w:eastAsia="zh-CN"/>
        </w:rPr>
        <w:t>受补贴企业数量</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分值6</w:t>
      </w:r>
      <w:r>
        <w:rPr>
          <w:rFonts w:hint="eastAsia" w:ascii="仿宋_GB2312" w:hAnsi="Times New Roman" w:eastAsia="仿宋_GB2312" w:cs="Times New Roman"/>
          <w:sz w:val="24"/>
          <w:szCs w:val="24"/>
          <w:lang w:val="zh-CN" w:eastAsia="zh-CN"/>
        </w:rPr>
        <w:t>分，得分4分）</w:t>
      </w:r>
    </w:p>
    <w:p w14:paraId="6AE62E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en-US" w:eastAsia="zh-CN"/>
        </w:rPr>
        <w:t>因2024年项目资金主要是对2022年申报企业的补贴，因此该指标是对2021年和2022年两年申报受补贴企业数的对比。2022年石狮市水路运输业相关补贴共惠及12家企业，较2021年度的8家企业增加了4家。</w:t>
      </w:r>
      <w:r>
        <w:rPr>
          <w:rFonts w:hint="eastAsia" w:ascii="仿宋_GB2312" w:hAnsi="Times New Roman" w:eastAsia="仿宋_GB2312" w:cs="Times New Roman"/>
          <w:sz w:val="24"/>
          <w:szCs w:val="24"/>
          <w:lang w:val="zh-CN" w:eastAsia="zh-CN"/>
        </w:rPr>
        <w:t>因此，该项指标得4分。</w:t>
      </w:r>
    </w:p>
    <w:p w14:paraId="65F978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2.</w:t>
      </w:r>
      <w:r>
        <w:rPr>
          <w:rFonts w:hint="eastAsia" w:ascii="仿宋_GB2312" w:hAnsi="Times New Roman" w:eastAsia="仿宋_GB2312" w:cs="Times New Roman"/>
          <w:sz w:val="24"/>
          <w:szCs w:val="24"/>
          <w:lang w:val="en-US" w:eastAsia="zh-CN"/>
        </w:rPr>
        <w:t>经济</w:t>
      </w:r>
      <w:r>
        <w:rPr>
          <w:rFonts w:hint="eastAsia" w:ascii="仿宋_GB2312" w:hAnsi="Times New Roman" w:eastAsia="仿宋_GB2312" w:cs="Times New Roman"/>
          <w:sz w:val="24"/>
          <w:szCs w:val="24"/>
          <w:lang w:val="zh-CN" w:eastAsia="zh-CN"/>
        </w:rPr>
        <w:t>效益（</w:t>
      </w:r>
      <w:r>
        <w:rPr>
          <w:rFonts w:hint="eastAsia" w:ascii="仿宋_GB2312" w:hAnsi="Times New Roman" w:eastAsia="仿宋_GB2312" w:cs="Times New Roman"/>
          <w:sz w:val="24"/>
          <w:szCs w:val="24"/>
          <w:lang w:val="en-US" w:eastAsia="zh-CN"/>
        </w:rPr>
        <w:t>分值10</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5.92</w:t>
      </w:r>
      <w:r>
        <w:rPr>
          <w:rFonts w:hint="eastAsia" w:ascii="仿宋_GB2312" w:hAnsi="Times New Roman" w:eastAsia="仿宋_GB2312" w:cs="Times New Roman"/>
          <w:sz w:val="24"/>
          <w:szCs w:val="24"/>
          <w:lang w:val="zh-CN" w:eastAsia="zh-CN"/>
        </w:rPr>
        <w:t>分）</w:t>
      </w:r>
    </w:p>
    <w:p w14:paraId="2C7603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1</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受补贴企业</w:t>
      </w:r>
      <w:r>
        <w:rPr>
          <w:rFonts w:hint="default" w:ascii="仿宋_GB2312" w:hAnsi="Times New Roman" w:eastAsia="仿宋_GB2312" w:cs="Times New Roman"/>
          <w:sz w:val="24"/>
          <w:szCs w:val="24"/>
          <w:lang w:val="en-US" w:eastAsia="zh-CN"/>
        </w:rPr>
        <w:t>营收增长</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分值4</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2.9</w:t>
      </w:r>
      <w:r>
        <w:rPr>
          <w:rFonts w:hint="eastAsia" w:ascii="仿宋_GB2312" w:hAnsi="Times New Roman" w:eastAsia="仿宋_GB2312" w:cs="Times New Roman"/>
          <w:sz w:val="24"/>
          <w:szCs w:val="24"/>
          <w:lang w:val="zh-CN" w:eastAsia="zh-CN"/>
        </w:rPr>
        <w:t>分）</w:t>
      </w:r>
    </w:p>
    <w:p w14:paraId="1D78D5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根据受补贴企业回收的问卷数据（如表8所示），2022-2024年受补贴企业总体实现营收逐年增长，其中2023年、2024年连续两年实现营收增长的企业有6家，2023年、2024年中一年较上年实现营收增长的有4家，营收逐年减少的有2家，根据评分标准，该指标得2.9分（计算详见附表2）。</w:t>
      </w:r>
    </w:p>
    <w:p w14:paraId="515BB087">
      <w:pPr>
        <w:pStyle w:val="8"/>
        <w:jc w:val="center"/>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zh-CN" w:eastAsia="zh-CN" w:bidi="ar-SA"/>
        </w:rPr>
        <w:t>表</w:t>
      </w:r>
      <w:r>
        <w:rPr>
          <w:rFonts w:hint="eastAsia" w:ascii="仿宋_GB2312" w:hAnsi="Times New Roman" w:eastAsia="仿宋_GB2312" w:cs="Times New Roman"/>
          <w:b/>
          <w:bCs/>
          <w:kern w:val="2"/>
          <w:sz w:val="24"/>
          <w:szCs w:val="24"/>
          <w:lang w:val="en-US" w:eastAsia="zh-CN" w:bidi="ar-SA"/>
        </w:rPr>
        <w:t>8  受补贴企业2022-2024年营收变动情况</w:t>
      </w:r>
    </w:p>
    <w:p w14:paraId="422221BD">
      <w:pPr>
        <w:pStyle w:val="8"/>
        <w:jc w:val="center"/>
        <w:rPr>
          <w:rFonts w:hint="default" w:ascii="仿宋_GB2312" w:hAnsi="Times New Roman" w:eastAsia="仿宋_GB2312" w:cs="Times New Roman"/>
          <w:b w:val="0"/>
          <w:bCs w:val="0"/>
          <w:kern w:val="2"/>
          <w:sz w:val="24"/>
          <w:szCs w:val="24"/>
          <w:lang w:val="en-US" w:eastAsia="zh-CN" w:bidi="ar-SA"/>
        </w:rPr>
      </w:pPr>
      <w:r>
        <w:rPr>
          <w:rFonts w:hint="eastAsia" w:ascii="仿宋_GB2312" w:hAnsi="Times New Roman" w:eastAsia="仿宋_GB2312" w:cs="Times New Roman"/>
          <w:b w:val="0"/>
          <w:bCs w:val="0"/>
          <w:kern w:val="2"/>
          <w:sz w:val="24"/>
          <w:szCs w:val="24"/>
          <w:lang w:val="en-US" w:eastAsia="zh-CN" w:bidi="ar-SA"/>
        </w:rPr>
        <w:t xml:space="preserve">                                                 单位：万元</w:t>
      </w:r>
    </w:p>
    <w:tbl>
      <w:tblPr>
        <w:tblStyle w:val="15"/>
        <w:tblW w:w="7755" w:type="dxa"/>
        <w:jc w:val="center"/>
        <w:tblLayout w:type="fixed"/>
        <w:tblCellMar>
          <w:top w:w="0" w:type="dxa"/>
          <w:left w:w="108" w:type="dxa"/>
          <w:bottom w:w="0" w:type="dxa"/>
          <w:right w:w="108" w:type="dxa"/>
        </w:tblCellMar>
      </w:tblPr>
      <w:tblGrid>
        <w:gridCol w:w="3275"/>
        <w:gridCol w:w="1493"/>
        <w:gridCol w:w="1493"/>
        <w:gridCol w:w="1494"/>
      </w:tblGrid>
      <w:tr w14:paraId="26E90AE6">
        <w:tblPrEx>
          <w:tblCellMar>
            <w:top w:w="0" w:type="dxa"/>
            <w:left w:w="108" w:type="dxa"/>
            <w:bottom w:w="0" w:type="dxa"/>
            <w:right w:w="108" w:type="dxa"/>
          </w:tblCellMar>
        </w:tblPrEx>
        <w:trPr>
          <w:trHeight w:val="272" w:hRule="atLeast"/>
          <w:tblHeader/>
          <w:jc w:val="center"/>
        </w:trPr>
        <w:tc>
          <w:tcPr>
            <w:tcW w:w="32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F9F41C">
            <w:pPr>
              <w:keepNext w:val="0"/>
              <w:keepLines w:val="0"/>
              <w:widowControl/>
              <w:suppressLineNumbers w:val="0"/>
              <w:jc w:val="center"/>
              <w:textAlignment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企业</w:t>
            </w:r>
          </w:p>
        </w:tc>
        <w:tc>
          <w:tcPr>
            <w:tcW w:w="1493" w:type="dxa"/>
            <w:tcBorders>
              <w:top w:val="single" w:color="auto" w:sz="4" w:space="0"/>
              <w:left w:val="nil"/>
              <w:bottom w:val="single" w:color="auto" w:sz="4" w:space="0"/>
              <w:right w:val="single" w:color="auto" w:sz="4" w:space="0"/>
            </w:tcBorders>
            <w:shd w:val="clear" w:color="auto" w:fill="auto"/>
            <w:noWrap/>
            <w:vAlign w:val="bottom"/>
          </w:tcPr>
          <w:p w14:paraId="73EC14D1">
            <w:pPr>
              <w:pStyle w:val="6"/>
              <w:numPr>
                <w:ilvl w:val="0"/>
                <w:numId w:val="0"/>
              </w:numPr>
              <w:tabs>
                <w:tab w:val="clear" w:pos="2040"/>
              </w:tabs>
              <w:jc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2022</w:t>
            </w:r>
          </w:p>
        </w:tc>
        <w:tc>
          <w:tcPr>
            <w:tcW w:w="1493" w:type="dxa"/>
            <w:tcBorders>
              <w:top w:val="single" w:color="auto" w:sz="4" w:space="0"/>
              <w:left w:val="nil"/>
              <w:bottom w:val="single" w:color="auto" w:sz="4" w:space="0"/>
              <w:right w:val="single" w:color="auto" w:sz="4" w:space="0"/>
            </w:tcBorders>
            <w:shd w:val="clear" w:color="auto" w:fill="auto"/>
            <w:noWrap/>
            <w:vAlign w:val="bottom"/>
          </w:tcPr>
          <w:p w14:paraId="3772B1A4">
            <w:pPr>
              <w:pStyle w:val="6"/>
              <w:numPr>
                <w:ilvl w:val="0"/>
                <w:numId w:val="0"/>
              </w:numPr>
              <w:tabs>
                <w:tab w:val="clear" w:pos="2040"/>
              </w:tabs>
              <w:jc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2023</w:t>
            </w:r>
          </w:p>
        </w:tc>
        <w:tc>
          <w:tcPr>
            <w:tcW w:w="1494" w:type="dxa"/>
            <w:tcBorders>
              <w:top w:val="single" w:color="auto" w:sz="4" w:space="0"/>
              <w:left w:val="nil"/>
              <w:bottom w:val="single" w:color="auto" w:sz="4" w:space="0"/>
              <w:right w:val="single" w:color="auto" w:sz="4" w:space="0"/>
            </w:tcBorders>
            <w:shd w:val="clear" w:color="auto" w:fill="auto"/>
            <w:noWrap/>
            <w:vAlign w:val="bottom"/>
          </w:tcPr>
          <w:p w14:paraId="482DCEEF">
            <w:pPr>
              <w:pStyle w:val="6"/>
              <w:numPr>
                <w:ilvl w:val="0"/>
                <w:numId w:val="0"/>
              </w:numPr>
              <w:tabs>
                <w:tab w:val="clear" w:pos="2040"/>
              </w:tabs>
              <w:jc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2024</w:t>
            </w:r>
          </w:p>
        </w:tc>
      </w:tr>
      <w:tr w14:paraId="07F7A454">
        <w:tblPrEx>
          <w:tblCellMar>
            <w:top w:w="0" w:type="dxa"/>
            <w:left w:w="108" w:type="dxa"/>
            <w:bottom w:w="0" w:type="dxa"/>
            <w:right w:w="108" w:type="dxa"/>
          </w:tblCellMar>
        </w:tblPrEx>
        <w:trPr>
          <w:trHeight w:val="270" w:hRule="atLeast"/>
          <w:jc w:val="center"/>
        </w:trPr>
        <w:tc>
          <w:tcPr>
            <w:tcW w:w="3275" w:type="dxa"/>
            <w:tcBorders>
              <w:top w:val="nil"/>
              <w:left w:val="single" w:color="auto" w:sz="4" w:space="0"/>
              <w:bottom w:val="single" w:color="auto" w:sz="4" w:space="0"/>
              <w:right w:val="single" w:color="auto" w:sz="4" w:space="0"/>
            </w:tcBorders>
            <w:shd w:val="clear" w:color="auto" w:fill="auto"/>
            <w:noWrap/>
            <w:vAlign w:val="center"/>
          </w:tcPr>
          <w:p w14:paraId="5045CF4C">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石狮鼎盛船务有限公司</w:t>
            </w:r>
          </w:p>
        </w:tc>
        <w:tc>
          <w:tcPr>
            <w:tcW w:w="1493" w:type="dxa"/>
            <w:tcBorders>
              <w:top w:val="nil"/>
              <w:left w:val="nil"/>
              <w:bottom w:val="single" w:color="auto" w:sz="4" w:space="0"/>
              <w:right w:val="single" w:color="auto" w:sz="4" w:space="0"/>
            </w:tcBorders>
            <w:shd w:val="clear" w:color="auto" w:fill="auto"/>
            <w:noWrap/>
            <w:vAlign w:val="bottom"/>
          </w:tcPr>
          <w:p w14:paraId="39F1C4BA">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20076</w:t>
            </w:r>
          </w:p>
        </w:tc>
        <w:tc>
          <w:tcPr>
            <w:tcW w:w="1493" w:type="dxa"/>
            <w:tcBorders>
              <w:top w:val="nil"/>
              <w:left w:val="nil"/>
              <w:bottom w:val="single" w:color="auto" w:sz="4" w:space="0"/>
              <w:right w:val="single" w:color="auto" w:sz="4" w:space="0"/>
            </w:tcBorders>
            <w:shd w:val="clear" w:color="auto" w:fill="auto"/>
            <w:noWrap/>
            <w:vAlign w:val="bottom"/>
          </w:tcPr>
          <w:p w14:paraId="38B3CB2C">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18195</w:t>
            </w:r>
          </w:p>
        </w:tc>
        <w:tc>
          <w:tcPr>
            <w:tcW w:w="1494" w:type="dxa"/>
            <w:tcBorders>
              <w:top w:val="nil"/>
              <w:left w:val="nil"/>
              <w:bottom w:val="single" w:color="auto" w:sz="4" w:space="0"/>
              <w:right w:val="single" w:color="auto" w:sz="4" w:space="0"/>
            </w:tcBorders>
            <w:shd w:val="clear" w:color="auto" w:fill="auto"/>
            <w:noWrap/>
            <w:vAlign w:val="bottom"/>
          </w:tcPr>
          <w:p w14:paraId="3884625A">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20306</w:t>
            </w:r>
          </w:p>
        </w:tc>
      </w:tr>
      <w:tr w14:paraId="4D66AC9E">
        <w:tblPrEx>
          <w:tblCellMar>
            <w:top w:w="0" w:type="dxa"/>
            <w:left w:w="108" w:type="dxa"/>
            <w:bottom w:w="0" w:type="dxa"/>
            <w:right w:w="108" w:type="dxa"/>
          </w:tblCellMar>
        </w:tblPrEx>
        <w:trPr>
          <w:trHeight w:val="270" w:hRule="atLeast"/>
          <w:jc w:val="center"/>
        </w:trPr>
        <w:tc>
          <w:tcPr>
            <w:tcW w:w="3275" w:type="dxa"/>
            <w:tcBorders>
              <w:top w:val="nil"/>
              <w:left w:val="single" w:color="auto" w:sz="4" w:space="0"/>
              <w:bottom w:val="single" w:color="auto" w:sz="4" w:space="0"/>
              <w:right w:val="single" w:color="auto" w:sz="4" w:space="0"/>
            </w:tcBorders>
            <w:shd w:val="clear" w:color="auto" w:fill="auto"/>
            <w:noWrap/>
            <w:vAlign w:val="top"/>
          </w:tcPr>
          <w:p w14:paraId="7E416790">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石狮鼎鑫海运有限公司</w:t>
            </w:r>
          </w:p>
        </w:tc>
        <w:tc>
          <w:tcPr>
            <w:tcW w:w="1493" w:type="dxa"/>
            <w:tcBorders>
              <w:top w:val="nil"/>
              <w:left w:val="nil"/>
              <w:bottom w:val="single" w:color="auto" w:sz="4" w:space="0"/>
              <w:right w:val="single" w:color="auto" w:sz="4" w:space="0"/>
            </w:tcBorders>
            <w:shd w:val="clear" w:color="auto" w:fill="auto"/>
            <w:noWrap/>
            <w:vAlign w:val="bottom"/>
          </w:tcPr>
          <w:p w14:paraId="519FC557">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42852</w:t>
            </w:r>
          </w:p>
        </w:tc>
        <w:tc>
          <w:tcPr>
            <w:tcW w:w="1493" w:type="dxa"/>
            <w:tcBorders>
              <w:top w:val="nil"/>
              <w:left w:val="nil"/>
              <w:bottom w:val="single" w:color="auto" w:sz="4" w:space="0"/>
              <w:right w:val="single" w:color="auto" w:sz="4" w:space="0"/>
            </w:tcBorders>
            <w:shd w:val="clear" w:color="auto" w:fill="auto"/>
            <w:noWrap/>
            <w:vAlign w:val="bottom"/>
          </w:tcPr>
          <w:p w14:paraId="3577E43E">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21625</w:t>
            </w:r>
          </w:p>
        </w:tc>
        <w:tc>
          <w:tcPr>
            <w:tcW w:w="1494" w:type="dxa"/>
            <w:tcBorders>
              <w:top w:val="nil"/>
              <w:left w:val="nil"/>
              <w:bottom w:val="single" w:color="auto" w:sz="4" w:space="0"/>
              <w:right w:val="single" w:color="auto" w:sz="4" w:space="0"/>
            </w:tcBorders>
            <w:shd w:val="clear" w:color="auto" w:fill="auto"/>
            <w:noWrap/>
            <w:vAlign w:val="bottom"/>
          </w:tcPr>
          <w:p w14:paraId="519E9E61">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31597</w:t>
            </w:r>
          </w:p>
        </w:tc>
      </w:tr>
      <w:tr w14:paraId="5894258E">
        <w:tblPrEx>
          <w:tblCellMar>
            <w:top w:w="0" w:type="dxa"/>
            <w:left w:w="108" w:type="dxa"/>
            <w:bottom w:w="0" w:type="dxa"/>
            <w:right w:w="108" w:type="dxa"/>
          </w:tblCellMar>
        </w:tblPrEx>
        <w:trPr>
          <w:trHeight w:val="270" w:hRule="atLeast"/>
          <w:jc w:val="center"/>
        </w:trPr>
        <w:tc>
          <w:tcPr>
            <w:tcW w:w="3275" w:type="dxa"/>
            <w:tcBorders>
              <w:top w:val="nil"/>
              <w:left w:val="single" w:color="auto" w:sz="4" w:space="0"/>
              <w:bottom w:val="single" w:color="auto" w:sz="4" w:space="0"/>
              <w:right w:val="single" w:color="auto" w:sz="4" w:space="0"/>
            </w:tcBorders>
            <w:shd w:val="clear" w:color="auto" w:fill="auto"/>
            <w:noWrap/>
            <w:vAlign w:val="top"/>
          </w:tcPr>
          <w:p w14:paraId="6D94D41D">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福建省东亿船务有限责任公司</w:t>
            </w:r>
          </w:p>
        </w:tc>
        <w:tc>
          <w:tcPr>
            <w:tcW w:w="1493" w:type="dxa"/>
            <w:tcBorders>
              <w:top w:val="nil"/>
              <w:left w:val="nil"/>
              <w:bottom w:val="single" w:color="auto" w:sz="4" w:space="0"/>
              <w:right w:val="single" w:color="auto" w:sz="4" w:space="0"/>
            </w:tcBorders>
            <w:shd w:val="clear" w:color="auto" w:fill="auto"/>
            <w:noWrap/>
            <w:vAlign w:val="bottom"/>
          </w:tcPr>
          <w:p w14:paraId="0798A3DD">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3427</w:t>
            </w:r>
          </w:p>
        </w:tc>
        <w:tc>
          <w:tcPr>
            <w:tcW w:w="1493" w:type="dxa"/>
            <w:tcBorders>
              <w:top w:val="nil"/>
              <w:left w:val="nil"/>
              <w:bottom w:val="single" w:color="auto" w:sz="4" w:space="0"/>
              <w:right w:val="single" w:color="auto" w:sz="4" w:space="0"/>
            </w:tcBorders>
            <w:shd w:val="clear" w:color="auto" w:fill="auto"/>
            <w:noWrap/>
            <w:vAlign w:val="bottom"/>
          </w:tcPr>
          <w:p w14:paraId="0757A9DB">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19132</w:t>
            </w:r>
          </w:p>
        </w:tc>
        <w:tc>
          <w:tcPr>
            <w:tcW w:w="1494" w:type="dxa"/>
            <w:tcBorders>
              <w:top w:val="nil"/>
              <w:left w:val="nil"/>
              <w:bottom w:val="single" w:color="auto" w:sz="4" w:space="0"/>
              <w:right w:val="single" w:color="auto" w:sz="4" w:space="0"/>
            </w:tcBorders>
            <w:shd w:val="clear" w:color="auto" w:fill="auto"/>
            <w:noWrap/>
            <w:vAlign w:val="bottom"/>
          </w:tcPr>
          <w:p w14:paraId="11A96F9E">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19997</w:t>
            </w:r>
          </w:p>
        </w:tc>
      </w:tr>
      <w:tr w14:paraId="296B89AC">
        <w:tblPrEx>
          <w:tblCellMar>
            <w:top w:w="0" w:type="dxa"/>
            <w:left w:w="108" w:type="dxa"/>
            <w:bottom w:w="0" w:type="dxa"/>
            <w:right w:w="108" w:type="dxa"/>
          </w:tblCellMar>
        </w:tblPrEx>
        <w:trPr>
          <w:trHeight w:val="270" w:hRule="atLeast"/>
          <w:jc w:val="center"/>
        </w:trPr>
        <w:tc>
          <w:tcPr>
            <w:tcW w:w="3275" w:type="dxa"/>
            <w:tcBorders>
              <w:top w:val="nil"/>
              <w:left w:val="single" w:color="auto" w:sz="4" w:space="0"/>
              <w:bottom w:val="single" w:color="auto" w:sz="4" w:space="0"/>
              <w:right w:val="single" w:color="auto" w:sz="4" w:space="0"/>
            </w:tcBorders>
            <w:shd w:val="clear" w:color="auto" w:fill="auto"/>
            <w:noWrap/>
            <w:vAlign w:val="top"/>
          </w:tcPr>
          <w:p w14:paraId="48371CA4">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石狮市华信船运有限公司</w:t>
            </w:r>
          </w:p>
        </w:tc>
        <w:tc>
          <w:tcPr>
            <w:tcW w:w="1493" w:type="dxa"/>
            <w:tcBorders>
              <w:top w:val="nil"/>
              <w:left w:val="nil"/>
              <w:bottom w:val="single" w:color="auto" w:sz="4" w:space="0"/>
              <w:right w:val="single" w:color="auto" w:sz="4" w:space="0"/>
            </w:tcBorders>
            <w:shd w:val="clear" w:color="auto" w:fill="auto"/>
            <w:noWrap/>
            <w:vAlign w:val="bottom"/>
          </w:tcPr>
          <w:p w14:paraId="52488E7E">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5424</w:t>
            </w:r>
          </w:p>
        </w:tc>
        <w:tc>
          <w:tcPr>
            <w:tcW w:w="1493" w:type="dxa"/>
            <w:tcBorders>
              <w:top w:val="nil"/>
              <w:left w:val="nil"/>
              <w:bottom w:val="single" w:color="auto" w:sz="4" w:space="0"/>
              <w:right w:val="single" w:color="auto" w:sz="4" w:space="0"/>
            </w:tcBorders>
            <w:shd w:val="clear" w:color="auto" w:fill="auto"/>
            <w:noWrap/>
            <w:vAlign w:val="bottom"/>
          </w:tcPr>
          <w:p w14:paraId="75425D4B">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4977</w:t>
            </w:r>
          </w:p>
        </w:tc>
        <w:tc>
          <w:tcPr>
            <w:tcW w:w="1494" w:type="dxa"/>
            <w:tcBorders>
              <w:top w:val="nil"/>
              <w:left w:val="nil"/>
              <w:bottom w:val="single" w:color="auto" w:sz="4" w:space="0"/>
              <w:right w:val="single" w:color="auto" w:sz="4" w:space="0"/>
            </w:tcBorders>
            <w:shd w:val="clear" w:color="auto" w:fill="auto"/>
            <w:noWrap/>
            <w:vAlign w:val="bottom"/>
          </w:tcPr>
          <w:p w14:paraId="1D4ED0D0">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4071</w:t>
            </w:r>
          </w:p>
        </w:tc>
      </w:tr>
      <w:tr w14:paraId="30B272C0">
        <w:tblPrEx>
          <w:tblCellMar>
            <w:top w:w="0" w:type="dxa"/>
            <w:left w:w="108" w:type="dxa"/>
            <w:bottom w:w="0" w:type="dxa"/>
            <w:right w:w="108" w:type="dxa"/>
          </w:tblCellMar>
        </w:tblPrEx>
        <w:trPr>
          <w:trHeight w:val="270" w:hRule="atLeast"/>
          <w:jc w:val="center"/>
        </w:trPr>
        <w:tc>
          <w:tcPr>
            <w:tcW w:w="3275" w:type="dxa"/>
            <w:tcBorders>
              <w:top w:val="nil"/>
              <w:left w:val="single" w:color="auto" w:sz="4" w:space="0"/>
              <w:bottom w:val="single" w:color="auto" w:sz="4" w:space="0"/>
              <w:right w:val="single" w:color="auto" w:sz="4" w:space="0"/>
            </w:tcBorders>
            <w:shd w:val="clear" w:color="auto" w:fill="auto"/>
            <w:noWrap/>
            <w:vAlign w:val="top"/>
          </w:tcPr>
          <w:p w14:paraId="32B129C3">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福建千祥船务有限公司</w:t>
            </w:r>
          </w:p>
        </w:tc>
        <w:tc>
          <w:tcPr>
            <w:tcW w:w="1493" w:type="dxa"/>
            <w:tcBorders>
              <w:top w:val="nil"/>
              <w:left w:val="nil"/>
              <w:bottom w:val="single" w:color="auto" w:sz="4" w:space="0"/>
              <w:right w:val="single" w:color="auto" w:sz="4" w:space="0"/>
            </w:tcBorders>
            <w:shd w:val="clear" w:color="auto" w:fill="auto"/>
            <w:noWrap/>
            <w:vAlign w:val="bottom"/>
          </w:tcPr>
          <w:p w14:paraId="6874B9ED">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2525.1903</w:t>
            </w:r>
          </w:p>
        </w:tc>
        <w:tc>
          <w:tcPr>
            <w:tcW w:w="1493" w:type="dxa"/>
            <w:tcBorders>
              <w:top w:val="nil"/>
              <w:left w:val="nil"/>
              <w:bottom w:val="single" w:color="auto" w:sz="4" w:space="0"/>
              <w:right w:val="single" w:color="auto" w:sz="4" w:space="0"/>
            </w:tcBorders>
            <w:shd w:val="clear" w:color="auto" w:fill="auto"/>
            <w:noWrap/>
            <w:vAlign w:val="bottom"/>
          </w:tcPr>
          <w:p w14:paraId="49BF205F">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6543.9041</w:t>
            </w:r>
          </w:p>
        </w:tc>
        <w:tc>
          <w:tcPr>
            <w:tcW w:w="1494" w:type="dxa"/>
            <w:tcBorders>
              <w:top w:val="nil"/>
              <w:left w:val="nil"/>
              <w:bottom w:val="single" w:color="auto" w:sz="4" w:space="0"/>
              <w:right w:val="single" w:color="auto" w:sz="4" w:space="0"/>
            </w:tcBorders>
            <w:shd w:val="clear" w:color="auto" w:fill="auto"/>
            <w:noWrap/>
            <w:vAlign w:val="bottom"/>
          </w:tcPr>
          <w:p w14:paraId="7F6ED38A">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7439.3035</w:t>
            </w:r>
          </w:p>
        </w:tc>
      </w:tr>
      <w:tr w14:paraId="53AF5DE7">
        <w:tblPrEx>
          <w:tblCellMar>
            <w:top w:w="0" w:type="dxa"/>
            <w:left w:w="108" w:type="dxa"/>
            <w:bottom w:w="0" w:type="dxa"/>
            <w:right w:w="108" w:type="dxa"/>
          </w:tblCellMar>
        </w:tblPrEx>
        <w:trPr>
          <w:trHeight w:val="270" w:hRule="atLeast"/>
          <w:jc w:val="center"/>
        </w:trPr>
        <w:tc>
          <w:tcPr>
            <w:tcW w:w="3275" w:type="dxa"/>
            <w:tcBorders>
              <w:top w:val="nil"/>
              <w:left w:val="single" w:color="auto" w:sz="4" w:space="0"/>
              <w:bottom w:val="single" w:color="auto" w:sz="4" w:space="0"/>
              <w:right w:val="single" w:color="auto" w:sz="4" w:space="0"/>
            </w:tcBorders>
            <w:shd w:val="clear" w:color="auto" w:fill="auto"/>
            <w:noWrap/>
            <w:vAlign w:val="top"/>
          </w:tcPr>
          <w:p w14:paraId="65A292F8">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石狮弘兴船务有限公司</w:t>
            </w:r>
          </w:p>
        </w:tc>
        <w:tc>
          <w:tcPr>
            <w:tcW w:w="1493" w:type="dxa"/>
            <w:tcBorders>
              <w:top w:val="nil"/>
              <w:left w:val="nil"/>
              <w:bottom w:val="single" w:color="auto" w:sz="4" w:space="0"/>
              <w:right w:val="single" w:color="auto" w:sz="4" w:space="0"/>
            </w:tcBorders>
            <w:shd w:val="clear" w:color="auto" w:fill="auto"/>
            <w:noWrap/>
            <w:vAlign w:val="bottom"/>
          </w:tcPr>
          <w:p w14:paraId="39F68DF9">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3080.98</w:t>
            </w:r>
          </w:p>
        </w:tc>
        <w:tc>
          <w:tcPr>
            <w:tcW w:w="1493" w:type="dxa"/>
            <w:tcBorders>
              <w:top w:val="nil"/>
              <w:left w:val="nil"/>
              <w:bottom w:val="single" w:color="auto" w:sz="4" w:space="0"/>
              <w:right w:val="single" w:color="auto" w:sz="4" w:space="0"/>
            </w:tcBorders>
            <w:shd w:val="clear" w:color="auto" w:fill="auto"/>
            <w:noWrap/>
            <w:vAlign w:val="bottom"/>
          </w:tcPr>
          <w:p w14:paraId="569D54FC">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2208.84</w:t>
            </w:r>
          </w:p>
        </w:tc>
        <w:tc>
          <w:tcPr>
            <w:tcW w:w="1494" w:type="dxa"/>
            <w:tcBorders>
              <w:top w:val="nil"/>
              <w:left w:val="nil"/>
              <w:bottom w:val="single" w:color="auto" w:sz="4" w:space="0"/>
              <w:right w:val="single" w:color="auto" w:sz="4" w:space="0"/>
            </w:tcBorders>
            <w:shd w:val="clear" w:color="auto" w:fill="auto"/>
            <w:noWrap/>
            <w:vAlign w:val="bottom"/>
          </w:tcPr>
          <w:p w14:paraId="195AFACA">
            <w:pPr>
              <w:pStyle w:val="6"/>
              <w:numPr>
                <w:ilvl w:val="0"/>
                <w:numId w:val="0"/>
              </w:numPr>
              <w:tabs>
                <w:tab w:val="clear" w:pos="2040"/>
              </w:tabs>
              <w:ind w:left="0" w:leftChars="0" w:firstLine="0" w:firstLineChars="0"/>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450.78</w:t>
            </w:r>
          </w:p>
        </w:tc>
      </w:tr>
      <w:tr w14:paraId="1BFF480B">
        <w:tblPrEx>
          <w:tblCellMar>
            <w:top w:w="0" w:type="dxa"/>
            <w:left w:w="108" w:type="dxa"/>
            <w:bottom w:w="0" w:type="dxa"/>
            <w:right w:w="108" w:type="dxa"/>
          </w:tblCellMar>
        </w:tblPrEx>
        <w:trPr>
          <w:trHeight w:val="270" w:hRule="atLeast"/>
          <w:jc w:val="center"/>
        </w:trPr>
        <w:tc>
          <w:tcPr>
            <w:tcW w:w="3275" w:type="dxa"/>
            <w:tcBorders>
              <w:top w:val="nil"/>
              <w:left w:val="single" w:color="auto" w:sz="4" w:space="0"/>
              <w:bottom w:val="single" w:color="auto" w:sz="4" w:space="0"/>
              <w:right w:val="single" w:color="auto" w:sz="4" w:space="0"/>
            </w:tcBorders>
            <w:shd w:val="clear" w:color="auto" w:fill="auto"/>
            <w:noWrap/>
            <w:vAlign w:val="top"/>
          </w:tcPr>
          <w:p w14:paraId="6585F2D5">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石狮市祥展航运有限公司</w:t>
            </w:r>
          </w:p>
        </w:tc>
        <w:tc>
          <w:tcPr>
            <w:tcW w:w="1493" w:type="dxa"/>
            <w:tcBorders>
              <w:top w:val="nil"/>
              <w:left w:val="nil"/>
              <w:bottom w:val="single" w:color="auto" w:sz="4" w:space="0"/>
              <w:right w:val="single" w:color="auto" w:sz="4" w:space="0"/>
            </w:tcBorders>
            <w:shd w:val="clear" w:color="auto" w:fill="auto"/>
            <w:noWrap/>
            <w:vAlign w:val="bottom"/>
          </w:tcPr>
          <w:p w14:paraId="6762E6E8">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1400</w:t>
            </w:r>
          </w:p>
        </w:tc>
        <w:tc>
          <w:tcPr>
            <w:tcW w:w="1493" w:type="dxa"/>
            <w:tcBorders>
              <w:top w:val="nil"/>
              <w:left w:val="nil"/>
              <w:bottom w:val="single" w:color="auto" w:sz="4" w:space="0"/>
              <w:right w:val="single" w:color="auto" w:sz="4" w:space="0"/>
            </w:tcBorders>
            <w:shd w:val="clear" w:color="auto" w:fill="auto"/>
            <w:noWrap/>
            <w:vAlign w:val="bottom"/>
          </w:tcPr>
          <w:p w14:paraId="4C704079">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1683.5</w:t>
            </w:r>
          </w:p>
        </w:tc>
        <w:tc>
          <w:tcPr>
            <w:tcW w:w="1494" w:type="dxa"/>
            <w:tcBorders>
              <w:top w:val="nil"/>
              <w:left w:val="nil"/>
              <w:bottom w:val="single" w:color="auto" w:sz="4" w:space="0"/>
              <w:right w:val="single" w:color="auto" w:sz="4" w:space="0"/>
            </w:tcBorders>
            <w:shd w:val="clear" w:color="auto" w:fill="auto"/>
            <w:noWrap/>
            <w:vAlign w:val="bottom"/>
          </w:tcPr>
          <w:p w14:paraId="02F0CA4C">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2289.4</w:t>
            </w:r>
          </w:p>
        </w:tc>
      </w:tr>
      <w:tr w14:paraId="12C9FF2F">
        <w:tblPrEx>
          <w:tblCellMar>
            <w:top w:w="0" w:type="dxa"/>
            <w:left w:w="108" w:type="dxa"/>
            <w:bottom w:w="0" w:type="dxa"/>
            <w:right w:w="108" w:type="dxa"/>
          </w:tblCellMar>
        </w:tblPrEx>
        <w:trPr>
          <w:trHeight w:val="270" w:hRule="atLeast"/>
          <w:jc w:val="center"/>
        </w:trPr>
        <w:tc>
          <w:tcPr>
            <w:tcW w:w="3275" w:type="dxa"/>
            <w:tcBorders>
              <w:top w:val="nil"/>
              <w:left w:val="single" w:color="auto" w:sz="4" w:space="0"/>
              <w:bottom w:val="single" w:color="auto" w:sz="4" w:space="0"/>
              <w:right w:val="single" w:color="auto" w:sz="4" w:space="0"/>
            </w:tcBorders>
            <w:shd w:val="clear" w:color="auto" w:fill="auto"/>
            <w:noWrap/>
            <w:vAlign w:val="top"/>
          </w:tcPr>
          <w:p w14:paraId="2C9A6F6A">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泉州宝晟船务有限公司</w:t>
            </w:r>
          </w:p>
        </w:tc>
        <w:tc>
          <w:tcPr>
            <w:tcW w:w="1493" w:type="dxa"/>
            <w:tcBorders>
              <w:top w:val="nil"/>
              <w:left w:val="nil"/>
              <w:bottom w:val="single" w:color="auto" w:sz="4" w:space="0"/>
              <w:right w:val="single" w:color="auto" w:sz="4" w:space="0"/>
            </w:tcBorders>
            <w:shd w:val="clear" w:color="auto" w:fill="auto"/>
            <w:noWrap/>
            <w:vAlign w:val="bottom"/>
          </w:tcPr>
          <w:p w14:paraId="7BB1C795">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376.6</w:t>
            </w:r>
          </w:p>
        </w:tc>
        <w:tc>
          <w:tcPr>
            <w:tcW w:w="1493" w:type="dxa"/>
            <w:tcBorders>
              <w:top w:val="nil"/>
              <w:left w:val="nil"/>
              <w:bottom w:val="single" w:color="auto" w:sz="4" w:space="0"/>
              <w:right w:val="single" w:color="auto" w:sz="4" w:space="0"/>
            </w:tcBorders>
            <w:shd w:val="clear" w:color="auto" w:fill="auto"/>
            <w:noWrap/>
            <w:vAlign w:val="bottom"/>
          </w:tcPr>
          <w:p w14:paraId="62F2D24C">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934.69</w:t>
            </w:r>
          </w:p>
        </w:tc>
        <w:tc>
          <w:tcPr>
            <w:tcW w:w="1494" w:type="dxa"/>
            <w:tcBorders>
              <w:top w:val="nil"/>
              <w:left w:val="nil"/>
              <w:bottom w:val="single" w:color="auto" w:sz="4" w:space="0"/>
              <w:right w:val="single" w:color="auto" w:sz="4" w:space="0"/>
            </w:tcBorders>
            <w:shd w:val="clear" w:color="auto" w:fill="auto"/>
            <w:noWrap/>
            <w:vAlign w:val="bottom"/>
          </w:tcPr>
          <w:p w14:paraId="26711379">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633.34</w:t>
            </w:r>
          </w:p>
        </w:tc>
      </w:tr>
      <w:tr w14:paraId="0DA5E3AD">
        <w:tblPrEx>
          <w:tblCellMar>
            <w:top w:w="0" w:type="dxa"/>
            <w:left w:w="108" w:type="dxa"/>
            <w:bottom w:w="0" w:type="dxa"/>
            <w:right w:w="108" w:type="dxa"/>
          </w:tblCellMar>
        </w:tblPrEx>
        <w:trPr>
          <w:trHeight w:val="270" w:hRule="atLeast"/>
          <w:jc w:val="center"/>
        </w:trPr>
        <w:tc>
          <w:tcPr>
            <w:tcW w:w="3275" w:type="dxa"/>
            <w:tcBorders>
              <w:top w:val="nil"/>
              <w:left w:val="single" w:color="auto" w:sz="4" w:space="0"/>
              <w:bottom w:val="single" w:color="auto" w:sz="4" w:space="0"/>
              <w:right w:val="single" w:color="auto" w:sz="4" w:space="0"/>
            </w:tcBorders>
            <w:shd w:val="clear" w:color="auto" w:fill="auto"/>
            <w:noWrap/>
            <w:vAlign w:val="top"/>
          </w:tcPr>
          <w:p w14:paraId="7B5D193B">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福建安丰船务有限公司</w:t>
            </w:r>
          </w:p>
        </w:tc>
        <w:tc>
          <w:tcPr>
            <w:tcW w:w="1493" w:type="dxa"/>
            <w:tcBorders>
              <w:top w:val="nil"/>
              <w:left w:val="nil"/>
              <w:bottom w:val="single" w:color="auto" w:sz="4" w:space="0"/>
              <w:right w:val="single" w:color="auto" w:sz="4" w:space="0"/>
            </w:tcBorders>
            <w:shd w:val="clear" w:color="auto" w:fill="auto"/>
            <w:noWrap/>
            <w:vAlign w:val="bottom"/>
          </w:tcPr>
          <w:p w14:paraId="3B6D0DDC">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196</w:t>
            </w:r>
          </w:p>
        </w:tc>
        <w:tc>
          <w:tcPr>
            <w:tcW w:w="1493" w:type="dxa"/>
            <w:tcBorders>
              <w:top w:val="nil"/>
              <w:left w:val="nil"/>
              <w:bottom w:val="single" w:color="auto" w:sz="4" w:space="0"/>
              <w:right w:val="single" w:color="auto" w:sz="4" w:space="0"/>
            </w:tcBorders>
            <w:shd w:val="clear" w:color="auto" w:fill="auto"/>
            <w:noWrap/>
            <w:vAlign w:val="bottom"/>
          </w:tcPr>
          <w:p w14:paraId="725F6385">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520</w:t>
            </w:r>
          </w:p>
        </w:tc>
        <w:tc>
          <w:tcPr>
            <w:tcW w:w="1494" w:type="dxa"/>
            <w:tcBorders>
              <w:top w:val="nil"/>
              <w:left w:val="nil"/>
              <w:bottom w:val="single" w:color="auto" w:sz="4" w:space="0"/>
              <w:right w:val="single" w:color="auto" w:sz="4" w:space="0"/>
            </w:tcBorders>
            <w:shd w:val="clear" w:color="auto" w:fill="auto"/>
            <w:noWrap/>
            <w:vAlign w:val="bottom"/>
          </w:tcPr>
          <w:p w14:paraId="69684388">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890</w:t>
            </w:r>
          </w:p>
        </w:tc>
      </w:tr>
      <w:tr w14:paraId="6E75C56F">
        <w:tblPrEx>
          <w:tblCellMar>
            <w:top w:w="0" w:type="dxa"/>
            <w:left w:w="108" w:type="dxa"/>
            <w:bottom w:w="0" w:type="dxa"/>
            <w:right w:w="108" w:type="dxa"/>
          </w:tblCellMar>
        </w:tblPrEx>
        <w:trPr>
          <w:trHeight w:val="270" w:hRule="atLeast"/>
          <w:jc w:val="center"/>
        </w:trPr>
        <w:tc>
          <w:tcPr>
            <w:tcW w:w="3275" w:type="dxa"/>
            <w:tcBorders>
              <w:top w:val="nil"/>
              <w:left w:val="single" w:color="auto" w:sz="4" w:space="0"/>
              <w:bottom w:val="single" w:color="auto" w:sz="4" w:space="0"/>
              <w:right w:val="single" w:color="auto" w:sz="4" w:space="0"/>
            </w:tcBorders>
            <w:shd w:val="clear" w:color="auto" w:fill="auto"/>
            <w:noWrap/>
            <w:vAlign w:val="top"/>
          </w:tcPr>
          <w:p w14:paraId="6ECA5D08">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石狮聚远海运有限公司</w:t>
            </w:r>
          </w:p>
        </w:tc>
        <w:tc>
          <w:tcPr>
            <w:tcW w:w="1493" w:type="dxa"/>
            <w:tcBorders>
              <w:top w:val="nil"/>
              <w:left w:val="nil"/>
              <w:bottom w:val="single" w:color="auto" w:sz="4" w:space="0"/>
              <w:right w:val="single" w:color="auto" w:sz="4" w:space="0"/>
            </w:tcBorders>
            <w:shd w:val="clear" w:color="auto" w:fill="auto"/>
            <w:noWrap/>
            <w:vAlign w:val="bottom"/>
          </w:tcPr>
          <w:p w14:paraId="2CDB6AB2">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322</w:t>
            </w:r>
          </w:p>
        </w:tc>
        <w:tc>
          <w:tcPr>
            <w:tcW w:w="1493" w:type="dxa"/>
            <w:tcBorders>
              <w:top w:val="nil"/>
              <w:left w:val="nil"/>
              <w:bottom w:val="single" w:color="auto" w:sz="4" w:space="0"/>
              <w:right w:val="single" w:color="auto" w:sz="4" w:space="0"/>
            </w:tcBorders>
            <w:shd w:val="clear" w:color="auto" w:fill="auto"/>
            <w:noWrap/>
            <w:vAlign w:val="bottom"/>
          </w:tcPr>
          <w:p w14:paraId="53BB76E9">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735</w:t>
            </w:r>
          </w:p>
        </w:tc>
        <w:tc>
          <w:tcPr>
            <w:tcW w:w="1494" w:type="dxa"/>
            <w:tcBorders>
              <w:top w:val="nil"/>
              <w:left w:val="nil"/>
              <w:bottom w:val="single" w:color="auto" w:sz="4" w:space="0"/>
              <w:right w:val="single" w:color="auto" w:sz="4" w:space="0"/>
            </w:tcBorders>
            <w:shd w:val="clear" w:color="auto" w:fill="auto"/>
            <w:noWrap/>
            <w:vAlign w:val="bottom"/>
          </w:tcPr>
          <w:p w14:paraId="3E440C7D">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940</w:t>
            </w:r>
          </w:p>
        </w:tc>
      </w:tr>
      <w:tr w14:paraId="2A02C89D">
        <w:tblPrEx>
          <w:tblCellMar>
            <w:top w:w="0" w:type="dxa"/>
            <w:left w:w="108" w:type="dxa"/>
            <w:bottom w:w="0" w:type="dxa"/>
            <w:right w:w="108" w:type="dxa"/>
          </w:tblCellMar>
        </w:tblPrEx>
        <w:trPr>
          <w:trHeight w:val="270" w:hRule="atLeast"/>
          <w:jc w:val="center"/>
        </w:trPr>
        <w:tc>
          <w:tcPr>
            <w:tcW w:w="3275" w:type="dxa"/>
            <w:tcBorders>
              <w:top w:val="nil"/>
              <w:left w:val="single" w:color="auto" w:sz="4" w:space="0"/>
              <w:bottom w:val="single" w:color="auto" w:sz="4" w:space="0"/>
              <w:right w:val="single" w:color="auto" w:sz="4" w:space="0"/>
            </w:tcBorders>
            <w:shd w:val="clear" w:color="auto" w:fill="auto"/>
            <w:noWrap/>
            <w:vAlign w:val="top"/>
          </w:tcPr>
          <w:p w14:paraId="5D0B43F3">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泉州弘旭船务有限公司</w:t>
            </w:r>
          </w:p>
        </w:tc>
        <w:tc>
          <w:tcPr>
            <w:tcW w:w="1493" w:type="dxa"/>
            <w:tcBorders>
              <w:top w:val="nil"/>
              <w:left w:val="nil"/>
              <w:bottom w:val="single" w:color="auto" w:sz="4" w:space="0"/>
              <w:right w:val="single" w:color="auto" w:sz="4" w:space="0"/>
            </w:tcBorders>
            <w:shd w:val="clear" w:color="auto" w:fill="auto"/>
            <w:noWrap/>
            <w:vAlign w:val="bottom"/>
          </w:tcPr>
          <w:p w14:paraId="161FE3D1">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381.78</w:t>
            </w:r>
          </w:p>
        </w:tc>
        <w:tc>
          <w:tcPr>
            <w:tcW w:w="1493" w:type="dxa"/>
            <w:tcBorders>
              <w:top w:val="nil"/>
              <w:left w:val="nil"/>
              <w:bottom w:val="single" w:color="auto" w:sz="4" w:space="0"/>
              <w:right w:val="single" w:color="auto" w:sz="4" w:space="0"/>
            </w:tcBorders>
            <w:shd w:val="clear" w:color="auto" w:fill="auto"/>
            <w:noWrap/>
            <w:vAlign w:val="bottom"/>
          </w:tcPr>
          <w:p w14:paraId="364779E4">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1551.45</w:t>
            </w:r>
          </w:p>
        </w:tc>
        <w:tc>
          <w:tcPr>
            <w:tcW w:w="1494" w:type="dxa"/>
            <w:tcBorders>
              <w:top w:val="nil"/>
              <w:left w:val="nil"/>
              <w:bottom w:val="single" w:color="auto" w:sz="4" w:space="0"/>
              <w:right w:val="single" w:color="auto" w:sz="4" w:space="0"/>
            </w:tcBorders>
            <w:shd w:val="clear" w:color="auto" w:fill="auto"/>
            <w:noWrap/>
            <w:vAlign w:val="bottom"/>
          </w:tcPr>
          <w:p w14:paraId="3DEC9F27">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516.14</w:t>
            </w:r>
          </w:p>
        </w:tc>
      </w:tr>
      <w:tr w14:paraId="62DB1BE1">
        <w:tblPrEx>
          <w:tblCellMar>
            <w:top w:w="0" w:type="dxa"/>
            <w:left w:w="108" w:type="dxa"/>
            <w:bottom w:w="0" w:type="dxa"/>
            <w:right w:w="108" w:type="dxa"/>
          </w:tblCellMar>
        </w:tblPrEx>
        <w:trPr>
          <w:trHeight w:val="270" w:hRule="atLeast"/>
          <w:jc w:val="center"/>
        </w:trPr>
        <w:tc>
          <w:tcPr>
            <w:tcW w:w="3275" w:type="dxa"/>
            <w:tcBorders>
              <w:top w:val="nil"/>
              <w:left w:val="single" w:color="auto" w:sz="4" w:space="0"/>
              <w:bottom w:val="single" w:color="auto" w:sz="4" w:space="0"/>
              <w:right w:val="single" w:color="auto" w:sz="4" w:space="0"/>
            </w:tcBorders>
            <w:shd w:val="clear" w:color="auto" w:fill="auto"/>
            <w:noWrap/>
            <w:vAlign w:val="top"/>
          </w:tcPr>
          <w:p w14:paraId="21A404C6">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福建鑫淼海运有限公司</w:t>
            </w:r>
          </w:p>
        </w:tc>
        <w:tc>
          <w:tcPr>
            <w:tcW w:w="1493" w:type="dxa"/>
            <w:tcBorders>
              <w:top w:val="nil"/>
              <w:left w:val="nil"/>
              <w:bottom w:val="single" w:color="auto" w:sz="4" w:space="0"/>
              <w:right w:val="single" w:color="auto" w:sz="4" w:space="0"/>
            </w:tcBorders>
            <w:shd w:val="clear" w:color="auto" w:fill="auto"/>
            <w:noWrap/>
            <w:vAlign w:val="bottom"/>
          </w:tcPr>
          <w:p w14:paraId="1B72145C">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675.94</w:t>
            </w:r>
          </w:p>
        </w:tc>
        <w:tc>
          <w:tcPr>
            <w:tcW w:w="1493" w:type="dxa"/>
            <w:tcBorders>
              <w:top w:val="nil"/>
              <w:left w:val="nil"/>
              <w:bottom w:val="single" w:color="auto" w:sz="4" w:space="0"/>
              <w:right w:val="single" w:color="auto" w:sz="4" w:space="0"/>
            </w:tcBorders>
            <w:shd w:val="clear" w:color="auto" w:fill="auto"/>
            <w:noWrap/>
            <w:vAlign w:val="bottom"/>
          </w:tcPr>
          <w:p w14:paraId="4CAAEB17">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 xml:space="preserve">34437.19 </w:t>
            </w:r>
          </w:p>
        </w:tc>
        <w:tc>
          <w:tcPr>
            <w:tcW w:w="1494" w:type="dxa"/>
            <w:tcBorders>
              <w:top w:val="nil"/>
              <w:left w:val="nil"/>
              <w:bottom w:val="single" w:color="auto" w:sz="4" w:space="0"/>
              <w:right w:val="single" w:color="auto" w:sz="4" w:space="0"/>
            </w:tcBorders>
            <w:shd w:val="clear" w:color="auto" w:fill="auto"/>
            <w:noWrap/>
            <w:vAlign w:val="bottom"/>
          </w:tcPr>
          <w:p w14:paraId="33E26E2B">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37965.09</w:t>
            </w:r>
          </w:p>
        </w:tc>
      </w:tr>
      <w:tr w14:paraId="2647C154">
        <w:tblPrEx>
          <w:tblCellMar>
            <w:top w:w="0" w:type="dxa"/>
            <w:left w:w="108" w:type="dxa"/>
            <w:bottom w:w="0" w:type="dxa"/>
            <w:right w:w="108" w:type="dxa"/>
          </w:tblCellMar>
        </w:tblPrEx>
        <w:trPr>
          <w:trHeight w:val="270" w:hRule="atLeast"/>
          <w:jc w:val="center"/>
        </w:trPr>
        <w:tc>
          <w:tcPr>
            <w:tcW w:w="3275" w:type="dxa"/>
            <w:tcBorders>
              <w:top w:val="nil"/>
              <w:left w:val="single" w:color="auto" w:sz="4" w:space="0"/>
              <w:bottom w:val="single" w:color="auto" w:sz="4" w:space="0"/>
              <w:right w:val="single" w:color="auto" w:sz="4" w:space="0"/>
            </w:tcBorders>
            <w:shd w:val="clear" w:color="auto" w:fill="auto"/>
            <w:noWrap/>
            <w:vAlign w:val="top"/>
          </w:tcPr>
          <w:p w14:paraId="289F58A4">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合计</w:t>
            </w:r>
          </w:p>
        </w:tc>
        <w:tc>
          <w:tcPr>
            <w:tcW w:w="1493" w:type="dxa"/>
            <w:tcBorders>
              <w:top w:val="nil"/>
              <w:left w:val="nil"/>
              <w:bottom w:val="single" w:color="auto" w:sz="4" w:space="0"/>
              <w:right w:val="single" w:color="auto" w:sz="4" w:space="0"/>
            </w:tcBorders>
            <w:shd w:val="clear" w:color="auto" w:fill="auto"/>
            <w:noWrap/>
            <w:vAlign w:val="bottom"/>
          </w:tcPr>
          <w:p w14:paraId="4F72073B">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80737.4903</w:t>
            </w:r>
          </w:p>
        </w:tc>
        <w:tc>
          <w:tcPr>
            <w:tcW w:w="1493" w:type="dxa"/>
            <w:tcBorders>
              <w:top w:val="nil"/>
              <w:left w:val="nil"/>
              <w:bottom w:val="single" w:color="auto" w:sz="4" w:space="0"/>
              <w:right w:val="single" w:color="auto" w:sz="4" w:space="0"/>
            </w:tcBorders>
            <w:shd w:val="clear" w:color="auto" w:fill="auto"/>
            <w:noWrap/>
            <w:vAlign w:val="bottom"/>
          </w:tcPr>
          <w:p w14:paraId="601C9008">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112543.5741</w:t>
            </w:r>
          </w:p>
        </w:tc>
        <w:tc>
          <w:tcPr>
            <w:tcW w:w="1494" w:type="dxa"/>
            <w:tcBorders>
              <w:top w:val="nil"/>
              <w:left w:val="nil"/>
              <w:bottom w:val="single" w:color="auto" w:sz="4" w:space="0"/>
              <w:right w:val="single" w:color="auto" w:sz="4" w:space="0"/>
            </w:tcBorders>
            <w:shd w:val="clear" w:color="auto" w:fill="auto"/>
            <w:noWrap/>
            <w:vAlign w:val="bottom"/>
          </w:tcPr>
          <w:p w14:paraId="1A932C5A">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127095.0535</w:t>
            </w:r>
          </w:p>
        </w:tc>
      </w:tr>
    </w:tbl>
    <w:p w14:paraId="067883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2</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受补贴企业税收增长</w:t>
      </w:r>
      <w:r>
        <w:rPr>
          <w:rFonts w:hint="eastAsia" w:ascii="仿宋_GB2312" w:hAnsi="Times New Roman" w:eastAsia="仿宋_GB2312" w:cs="Times New Roman"/>
          <w:sz w:val="24"/>
          <w:szCs w:val="24"/>
          <w:lang w:val="zh-CN" w:eastAsia="zh-CN"/>
        </w:rPr>
        <w:t>（</w:t>
      </w:r>
      <w:r>
        <w:rPr>
          <w:rFonts w:hint="eastAsia" w:ascii="仿宋_GB2312" w:hAnsi="Times New Roman" w:eastAsia="仿宋_GB2312" w:cs="Times New Roman"/>
          <w:sz w:val="24"/>
          <w:szCs w:val="24"/>
          <w:lang w:val="en-US" w:eastAsia="zh-CN"/>
        </w:rPr>
        <w:t>分值6</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3.18</w:t>
      </w:r>
      <w:r>
        <w:rPr>
          <w:rFonts w:hint="eastAsia" w:ascii="仿宋_GB2312" w:hAnsi="Times New Roman" w:eastAsia="仿宋_GB2312" w:cs="Times New Roman"/>
          <w:sz w:val="24"/>
          <w:szCs w:val="24"/>
          <w:lang w:val="zh-CN" w:eastAsia="zh-CN"/>
        </w:rPr>
        <w:t>分）</w:t>
      </w:r>
    </w:p>
    <w:p w14:paraId="6B7AB1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en-US" w:eastAsia="zh-CN"/>
        </w:rPr>
        <w:t>根据受补贴企业回收的问卷数据（如表8所示），2022-2024年受补贴企业总体税收情况是先增后降。其中2023年、2024年连续两年实现税收增长的企业有4家，2023年、2024年中一年较上年实现税收增长的有5家，税收逐年减少的有3家，根据评分标准，该指标得3.18分（计算详见附表2）。</w:t>
      </w:r>
    </w:p>
    <w:p w14:paraId="0D36008B">
      <w:pPr>
        <w:pStyle w:val="8"/>
        <w:jc w:val="center"/>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zh-CN" w:eastAsia="zh-CN" w:bidi="ar-SA"/>
        </w:rPr>
        <w:t>表</w:t>
      </w:r>
      <w:r>
        <w:rPr>
          <w:rFonts w:hint="eastAsia" w:ascii="仿宋_GB2312" w:hAnsi="Times New Roman" w:eastAsia="仿宋_GB2312" w:cs="Times New Roman"/>
          <w:b/>
          <w:bCs/>
          <w:kern w:val="2"/>
          <w:sz w:val="24"/>
          <w:szCs w:val="24"/>
          <w:lang w:val="en-US" w:eastAsia="zh-CN" w:bidi="ar-SA"/>
        </w:rPr>
        <w:t>9  受补贴企业2022-2024年纳税情况</w:t>
      </w:r>
    </w:p>
    <w:p w14:paraId="5697D2BD">
      <w:pPr>
        <w:pStyle w:val="8"/>
        <w:jc w:val="center"/>
        <w:rPr>
          <w:rFonts w:hint="default" w:ascii="仿宋_GB2312" w:hAnsi="Times New Roman" w:eastAsia="仿宋_GB2312" w:cs="Times New Roman"/>
          <w:b w:val="0"/>
          <w:bCs w:val="0"/>
          <w:kern w:val="2"/>
          <w:sz w:val="24"/>
          <w:szCs w:val="24"/>
          <w:lang w:val="en-US" w:eastAsia="zh-CN" w:bidi="ar-SA"/>
        </w:rPr>
      </w:pPr>
      <w:r>
        <w:rPr>
          <w:rFonts w:hint="eastAsia" w:ascii="仿宋_GB2312" w:hAnsi="Times New Roman" w:eastAsia="仿宋_GB2312" w:cs="Times New Roman"/>
          <w:b w:val="0"/>
          <w:bCs w:val="0"/>
          <w:kern w:val="2"/>
          <w:sz w:val="24"/>
          <w:szCs w:val="24"/>
          <w:lang w:val="en-US" w:eastAsia="zh-CN" w:bidi="ar-SA"/>
        </w:rPr>
        <w:t xml:space="preserve">                                                单位：万元</w:t>
      </w:r>
    </w:p>
    <w:tbl>
      <w:tblPr>
        <w:tblStyle w:val="15"/>
        <w:tblW w:w="7470" w:type="dxa"/>
        <w:jc w:val="center"/>
        <w:tblLayout w:type="fixed"/>
        <w:tblCellMar>
          <w:top w:w="0" w:type="dxa"/>
          <w:left w:w="108" w:type="dxa"/>
          <w:bottom w:w="0" w:type="dxa"/>
          <w:right w:w="108" w:type="dxa"/>
        </w:tblCellMar>
      </w:tblPr>
      <w:tblGrid>
        <w:gridCol w:w="3505"/>
        <w:gridCol w:w="1321"/>
        <w:gridCol w:w="1321"/>
        <w:gridCol w:w="1323"/>
      </w:tblGrid>
      <w:tr w14:paraId="66139EDE">
        <w:tblPrEx>
          <w:tblCellMar>
            <w:top w:w="0" w:type="dxa"/>
            <w:left w:w="108" w:type="dxa"/>
            <w:bottom w:w="0" w:type="dxa"/>
            <w:right w:w="108" w:type="dxa"/>
          </w:tblCellMar>
        </w:tblPrEx>
        <w:trPr>
          <w:trHeight w:val="272" w:hRule="atLeast"/>
          <w:tblHeader/>
          <w:jc w:val="center"/>
        </w:trPr>
        <w:tc>
          <w:tcPr>
            <w:tcW w:w="35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566EA9">
            <w:pPr>
              <w:keepNext w:val="0"/>
              <w:keepLines w:val="0"/>
              <w:widowControl/>
              <w:suppressLineNumbers w:val="0"/>
              <w:jc w:val="center"/>
              <w:textAlignment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企业</w:t>
            </w:r>
          </w:p>
        </w:tc>
        <w:tc>
          <w:tcPr>
            <w:tcW w:w="1321" w:type="dxa"/>
            <w:tcBorders>
              <w:top w:val="single" w:color="auto" w:sz="4" w:space="0"/>
              <w:left w:val="nil"/>
              <w:bottom w:val="single" w:color="auto" w:sz="4" w:space="0"/>
              <w:right w:val="single" w:color="auto" w:sz="4" w:space="0"/>
            </w:tcBorders>
            <w:shd w:val="clear" w:color="auto" w:fill="auto"/>
            <w:noWrap/>
            <w:vAlign w:val="bottom"/>
          </w:tcPr>
          <w:p w14:paraId="45489688">
            <w:pPr>
              <w:pStyle w:val="6"/>
              <w:numPr>
                <w:ilvl w:val="0"/>
                <w:numId w:val="0"/>
              </w:numPr>
              <w:tabs>
                <w:tab w:val="clear" w:pos="2040"/>
              </w:tabs>
              <w:ind w:left="0" w:leftChars="0" w:firstLine="0" w:firstLineChars="0"/>
              <w:jc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2022</w:t>
            </w:r>
          </w:p>
        </w:tc>
        <w:tc>
          <w:tcPr>
            <w:tcW w:w="1321" w:type="dxa"/>
            <w:tcBorders>
              <w:top w:val="single" w:color="auto" w:sz="4" w:space="0"/>
              <w:left w:val="nil"/>
              <w:bottom w:val="single" w:color="auto" w:sz="4" w:space="0"/>
              <w:right w:val="single" w:color="auto" w:sz="4" w:space="0"/>
            </w:tcBorders>
            <w:shd w:val="clear" w:color="auto" w:fill="auto"/>
            <w:noWrap/>
            <w:vAlign w:val="bottom"/>
          </w:tcPr>
          <w:p w14:paraId="754ABB91">
            <w:pPr>
              <w:pStyle w:val="6"/>
              <w:numPr>
                <w:ilvl w:val="0"/>
                <w:numId w:val="0"/>
              </w:numPr>
              <w:tabs>
                <w:tab w:val="clear" w:pos="2040"/>
              </w:tabs>
              <w:ind w:left="0" w:leftChars="0" w:firstLine="0" w:firstLineChars="0"/>
              <w:jc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2023</w:t>
            </w:r>
          </w:p>
        </w:tc>
        <w:tc>
          <w:tcPr>
            <w:tcW w:w="1323" w:type="dxa"/>
            <w:tcBorders>
              <w:top w:val="single" w:color="auto" w:sz="4" w:space="0"/>
              <w:left w:val="nil"/>
              <w:bottom w:val="single" w:color="auto" w:sz="4" w:space="0"/>
              <w:right w:val="single" w:color="auto" w:sz="4" w:space="0"/>
            </w:tcBorders>
            <w:shd w:val="clear" w:color="auto" w:fill="auto"/>
            <w:noWrap/>
            <w:vAlign w:val="bottom"/>
          </w:tcPr>
          <w:p w14:paraId="78599B17">
            <w:pPr>
              <w:pStyle w:val="6"/>
              <w:numPr>
                <w:ilvl w:val="0"/>
                <w:numId w:val="0"/>
              </w:numPr>
              <w:tabs>
                <w:tab w:val="clear" w:pos="2040"/>
              </w:tabs>
              <w:ind w:left="0" w:leftChars="0" w:firstLine="0" w:firstLineChars="0"/>
              <w:jc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2024</w:t>
            </w:r>
          </w:p>
        </w:tc>
      </w:tr>
      <w:tr w14:paraId="03273E14">
        <w:tblPrEx>
          <w:tblCellMar>
            <w:top w:w="0" w:type="dxa"/>
            <w:left w:w="108" w:type="dxa"/>
            <w:bottom w:w="0" w:type="dxa"/>
            <w:right w:w="108" w:type="dxa"/>
          </w:tblCellMar>
        </w:tblPrEx>
        <w:trPr>
          <w:trHeight w:val="270" w:hRule="atLeast"/>
          <w:jc w:val="center"/>
        </w:trPr>
        <w:tc>
          <w:tcPr>
            <w:tcW w:w="3505" w:type="dxa"/>
            <w:tcBorders>
              <w:top w:val="nil"/>
              <w:left w:val="single" w:color="auto" w:sz="4" w:space="0"/>
              <w:bottom w:val="single" w:color="auto" w:sz="4" w:space="0"/>
              <w:right w:val="single" w:color="auto" w:sz="4" w:space="0"/>
            </w:tcBorders>
            <w:shd w:val="clear" w:color="auto" w:fill="auto"/>
            <w:noWrap/>
            <w:vAlign w:val="center"/>
          </w:tcPr>
          <w:p w14:paraId="1BE7FDAD">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石狮鼎盛船务有限公司</w:t>
            </w:r>
          </w:p>
        </w:tc>
        <w:tc>
          <w:tcPr>
            <w:tcW w:w="1321" w:type="dxa"/>
            <w:tcBorders>
              <w:top w:val="nil"/>
              <w:left w:val="nil"/>
              <w:bottom w:val="single" w:color="auto" w:sz="4" w:space="0"/>
              <w:right w:val="single" w:color="auto" w:sz="4" w:space="0"/>
            </w:tcBorders>
            <w:shd w:val="clear" w:color="auto" w:fill="auto"/>
            <w:noWrap/>
            <w:vAlign w:val="bottom"/>
          </w:tcPr>
          <w:p w14:paraId="0AC6E376">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202</w:t>
            </w:r>
          </w:p>
        </w:tc>
        <w:tc>
          <w:tcPr>
            <w:tcW w:w="1321" w:type="dxa"/>
            <w:tcBorders>
              <w:top w:val="nil"/>
              <w:left w:val="nil"/>
              <w:bottom w:val="single" w:color="auto" w:sz="4" w:space="0"/>
              <w:right w:val="single" w:color="auto" w:sz="4" w:space="0"/>
            </w:tcBorders>
            <w:shd w:val="clear" w:color="auto" w:fill="auto"/>
            <w:noWrap/>
            <w:vAlign w:val="bottom"/>
          </w:tcPr>
          <w:p w14:paraId="4692ED73">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133</w:t>
            </w:r>
          </w:p>
        </w:tc>
        <w:tc>
          <w:tcPr>
            <w:tcW w:w="1323" w:type="dxa"/>
            <w:tcBorders>
              <w:top w:val="nil"/>
              <w:left w:val="nil"/>
              <w:bottom w:val="single" w:color="auto" w:sz="4" w:space="0"/>
              <w:right w:val="single" w:color="auto" w:sz="4" w:space="0"/>
            </w:tcBorders>
            <w:shd w:val="clear" w:color="auto" w:fill="auto"/>
            <w:noWrap/>
            <w:vAlign w:val="bottom"/>
          </w:tcPr>
          <w:p w14:paraId="36F6A487">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204</w:t>
            </w:r>
          </w:p>
        </w:tc>
      </w:tr>
      <w:tr w14:paraId="18AAFA32">
        <w:tblPrEx>
          <w:tblCellMar>
            <w:top w:w="0" w:type="dxa"/>
            <w:left w:w="108" w:type="dxa"/>
            <w:bottom w:w="0" w:type="dxa"/>
            <w:right w:w="108" w:type="dxa"/>
          </w:tblCellMar>
        </w:tblPrEx>
        <w:trPr>
          <w:trHeight w:val="270" w:hRule="atLeast"/>
          <w:jc w:val="center"/>
        </w:trPr>
        <w:tc>
          <w:tcPr>
            <w:tcW w:w="3505" w:type="dxa"/>
            <w:tcBorders>
              <w:top w:val="nil"/>
              <w:left w:val="single" w:color="auto" w:sz="4" w:space="0"/>
              <w:bottom w:val="single" w:color="auto" w:sz="4" w:space="0"/>
              <w:right w:val="single" w:color="auto" w:sz="4" w:space="0"/>
            </w:tcBorders>
            <w:shd w:val="clear" w:color="auto" w:fill="auto"/>
            <w:noWrap/>
            <w:vAlign w:val="top"/>
          </w:tcPr>
          <w:p w14:paraId="230630D3">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石狮鼎鑫海运有限公司</w:t>
            </w:r>
          </w:p>
        </w:tc>
        <w:tc>
          <w:tcPr>
            <w:tcW w:w="1321" w:type="dxa"/>
            <w:tcBorders>
              <w:top w:val="nil"/>
              <w:left w:val="nil"/>
              <w:bottom w:val="single" w:color="auto" w:sz="4" w:space="0"/>
              <w:right w:val="single" w:color="auto" w:sz="4" w:space="0"/>
            </w:tcBorders>
            <w:shd w:val="clear" w:color="auto" w:fill="auto"/>
            <w:noWrap/>
            <w:vAlign w:val="bottom"/>
          </w:tcPr>
          <w:p w14:paraId="3589CA25">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287</w:t>
            </w:r>
          </w:p>
        </w:tc>
        <w:tc>
          <w:tcPr>
            <w:tcW w:w="1321" w:type="dxa"/>
            <w:tcBorders>
              <w:top w:val="nil"/>
              <w:left w:val="nil"/>
              <w:bottom w:val="single" w:color="auto" w:sz="4" w:space="0"/>
              <w:right w:val="single" w:color="auto" w:sz="4" w:space="0"/>
            </w:tcBorders>
            <w:shd w:val="clear" w:color="auto" w:fill="auto"/>
            <w:noWrap/>
            <w:vAlign w:val="bottom"/>
          </w:tcPr>
          <w:p w14:paraId="6B99A5A3">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258</w:t>
            </w:r>
          </w:p>
        </w:tc>
        <w:tc>
          <w:tcPr>
            <w:tcW w:w="1323" w:type="dxa"/>
            <w:tcBorders>
              <w:top w:val="nil"/>
              <w:left w:val="nil"/>
              <w:bottom w:val="single" w:color="auto" w:sz="4" w:space="0"/>
              <w:right w:val="single" w:color="auto" w:sz="4" w:space="0"/>
            </w:tcBorders>
            <w:shd w:val="clear" w:color="auto" w:fill="auto"/>
            <w:noWrap/>
            <w:vAlign w:val="bottom"/>
          </w:tcPr>
          <w:p w14:paraId="76734722">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140</w:t>
            </w:r>
          </w:p>
        </w:tc>
      </w:tr>
      <w:tr w14:paraId="234A6FB3">
        <w:tblPrEx>
          <w:tblCellMar>
            <w:top w:w="0" w:type="dxa"/>
            <w:left w:w="108" w:type="dxa"/>
            <w:bottom w:w="0" w:type="dxa"/>
            <w:right w:w="108" w:type="dxa"/>
          </w:tblCellMar>
        </w:tblPrEx>
        <w:trPr>
          <w:trHeight w:val="270" w:hRule="atLeast"/>
          <w:jc w:val="center"/>
        </w:trPr>
        <w:tc>
          <w:tcPr>
            <w:tcW w:w="3505" w:type="dxa"/>
            <w:tcBorders>
              <w:top w:val="nil"/>
              <w:left w:val="single" w:color="auto" w:sz="4" w:space="0"/>
              <w:bottom w:val="single" w:color="auto" w:sz="4" w:space="0"/>
              <w:right w:val="single" w:color="auto" w:sz="4" w:space="0"/>
            </w:tcBorders>
            <w:shd w:val="clear" w:color="auto" w:fill="auto"/>
            <w:noWrap/>
            <w:vAlign w:val="top"/>
          </w:tcPr>
          <w:p w14:paraId="3C6C6FAF">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福建省东亿船务有限责任公司</w:t>
            </w:r>
          </w:p>
        </w:tc>
        <w:tc>
          <w:tcPr>
            <w:tcW w:w="1321" w:type="dxa"/>
            <w:tcBorders>
              <w:top w:val="nil"/>
              <w:left w:val="nil"/>
              <w:bottom w:val="single" w:color="auto" w:sz="4" w:space="0"/>
              <w:right w:val="single" w:color="auto" w:sz="4" w:space="0"/>
            </w:tcBorders>
            <w:shd w:val="clear" w:color="auto" w:fill="auto"/>
            <w:noWrap/>
            <w:vAlign w:val="bottom"/>
          </w:tcPr>
          <w:p w14:paraId="54327517">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111</w:t>
            </w:r>
          </w:p>
        </w:tc>
        <w:tc>
          <w:tcPr>
            <w:tcW w:w="1321" w:type="dxa"/>
            <w:tcBorders>
              <w:top w:val="nil"/>
              <w:left w:val="nil"/>
              <w:bottom w:val="single" w:color="auto" w:sz="4" w:space="0"/>
              <w:right w:val="single" w:color="auto" w:sz="4" w:space="0"/>
            </w:tcBorders>
            <w:shd w:val="clear" w:color="auto" w:fill="auto"/>
            <w:noWrap/>
            <w:vAlign w:val="bottom"/>
          </w:tcPr>
          <w:p w14:paraId="340C1B2E">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397</w:t>
            </w:r>
          </w:p>
        </w:tc>
        <w:tc>
          <w:tcPr>
            <w:tcW w:w="1323" w:type="dxa"/>
            <w:tcBorders>
              <w:top w:val="nil"/>
              <w:left w:val="nil"/>
              <w:bottom w:val="single" w:color="auto" w:sz="4" w:space="0"/>
              <w:right w:val="single" w:color="auto" w:sz="4" w:space="0"/>
            </w:tcBorders>
            <w:shd w:val="clear" w:color="auto" w:fill="auto"/>
            <w:noWrap/>
            <w:vAlign w:val="bottom"/>
          </w:tcPr>
          <w:p w14:paraId="5EAF2B5E">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318</w:t>
            </w:r>
          </w:p>
        </w:tc>
      </w:tr>
      <w:tr w14:paraId="685717E6">
        <w:tblPrEx>
          <w:tblCellMar>
            <w:top w:w="0" w:type="dxa"/>
            <w:left w:w="108" w:type="dxa"/>
            <w:bottom w:w="0" w:type="dxa"/>
            <w:right w:w="108" w:type="dxa"/>
          </w:tblCellMar>
        </w:tblPrEx>
        <w:trPr>
          <w:trHeight w:val="270" w:hRule="atLeast"/>
          <w:jc w:val="center"/>
        </w:trPr>
        <w:tc>
          <w:tcPr>
            <w:tcW w:w="3505" w:type="dxa"/>
            <w:tcBorders>
              <w:top w:val="nil"/>
              <w:left w:val="single" w:color="auto" w:sz="4" w:space="0"/>
              <w:bottom w:val="single" w:color="auto" w:sz="4" w:space="0"/>
              <w:right w:val="single" w:color="auto" w:sz="4" w:space="0"/>
            </w:tcBorders>
            <w:shd w:val="clear" w:color="auto" w:fill="auto"/>
            <w:noWrap/>
            <w:vAlign w:val="top"/>
          </w:tcPr>
          <w:p w14:paraId="627234D2">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石狮市华信船运有限公司</w:t>
            </w:r>
          </w:p>
        </w:tc>
        <w:tc>
          <w:tcPr>
            <w:tcW w:w="1321" w:type="dxa"/>
            <w:tcBorders>
              <w:top w:val="nil"/>
              <w:left w:val="nil"/>
              <w:bottom w:val="single" w:color="auto" w:sz="4" w:space="0"/>
              <w:right w:val="single" w:color="auto" w:sz="4" w:space="0"/>
            </w:tcBorders>
            <w:shd w:val="clear" w:color="auto" w:fill="auto"/>
            <w:noWrap/>
            <w:vAlign w:val="bottom"/>
          </w:tcPr>
          <w:p w14:paraId="3F505493">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130</w:t>
            </w:r>
          </w:p>
        </w:tc>
        <w:tc>
          <w:tcPr>
            <w:tcW w:w="1321" w:type="dxa"/>
            <w:tcBorders>
              <w:top w:val="nil"/>
              <w:left w:val="nil"/>
              <w:bottom w:val="single" w:color="auto" w:sz="4" w:space="0"/>
              <w:right w:val="single" w:color="auto" w:sz="4" w:space="0"/>
            </w:tcBorders>
            <w:shd w:val="clear" w:color="auto" w:fill="auto"/>
            <w:noWrap/>
            <w:vAlign w:val="bottom"/>
          </w:tcPr>
          <w:p w14:paraId="3D7780DC">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123</w:t>
            </w:r>
          </w:p>
        </w:tc>
        <w:tc>
          <w:tcPr>
            <w:tcW w:w="1323" w:type="dxa"/>
            <w:tcBorders>
              <w:top w:val="nil"/>
              <w:left w:val="nil"/>
              <w:bottom w:val="single" w:color="auto" w:sz="4" w:space="0"/>
              <w:right w:val="single" w:color="auto" w:sz="4" w:space="0"/>
            </w:tcBorders>
            <w:shd w:val="clear" w:color="auto" w:fill="auto"/>
            <w:noWrap/>
            <w:vAlign w:val="bottom"/>
          </w:tcPr>
          <w:p w14:paraId="5D6D7B33">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108</w:t>
            </w:r>
          </w:p>
        </w:tc>
      </w:tr>
      <w:tr w14:paraId="68C48434">
        <w:tblPrEx>
          <w:tblCellMar>
            <w:top w:w="0" w:type="dxa"/>
            <w:left w:w="108" w:type="dxa"/>
            <w:bottom w:w="0" w:type="dxa"/>
            <w:right w:w="108" w:type="dxa"/>
          </w:tblCellMar>
        </w:tblPrEx>
        <w:trPr>
          <w:trHeight w:val="270" w:hRule="atLeast"/>
          <w:jc w:val="center"/>
        </w:trPr>
        <w:tc>
          <w:tcPr>
            <w:tcW w:w="3505" w:type="dxa"/>
            <w:tcBorders>
              <w:top w:val="nil"/>
              <w:left w:val="single" w:color="auto" w:sz="4" w:space="0"/>
              <w:bottom w:val="single" w:color="auto" w:sz="4" w:space="0"/>
              <w:right w:val="single" w:color="auto" w:sz="4" w:space="0"/>
            </w:tcBorders>
            <w:shd w:val="clear" w:color="auto" w:fill="auto"/>
            <w:noWrap/>
            <w:vAlign w:val="top"/>
          </w:tcPr>
          <w:p w14:paraId="1442E9F6">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福建千祥船务有限公司</w:t>
            </w:r>
          </w:p>
        </w:tc>
        <w:tc>
          <w:tcPr>
            <w:tcW w:w="1321" w:type="dxa"/>
            <w:tcBorders>
              <w:top w:val="nil"/>
              <w:left w:val="nil"/>
              <w:bottom w:val="single" w:color="auto" w:sz="4" w:space="0"/>
              <w:right w:val="single" w:color="auto" w:sz="4" w:space="0"/>
            </w:tcBorders>
            <w:shd w:val="clear" w:color="auto" w:fill="auto"/>
            <w:noWrap/>
            <w:vAlign w:val="bottom"/>
          </w:tcPr>
          <w:p w14:paraId="1C3D4100">
            <w:pPr>
              <w:pStyle w:val="6"/>
              <w:numPr>
                <w:ilvl w:val="0"/>
                <w:numId w:val="0"/>
              </w:numPr>
              <w:tabs>
                <w:tab w:val="clear" w:pos="2040"/>
              </w:tabs>
              <w:ind w:left="0" w:leftChars="0" w:firstLine="0" w:firstLineChars="0"/>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28.5961</w:t>
            </w:r>
          </w:p>
        </w:tc>
        <w:tc>
          <w:tcPr>
            <w:tcW w:w="1321" w:type="dxa"/>
            <w:tcBorders>
              <w:top w:val="nil"/>
              <w:left w:val="nil"/>
              <w:bottom w:val="single" w:color="auto" w:sz="4" w:space="0"/>
              <w:right w:val="single" w:color="auto" w:sz="4" w:space="0"/>
            </w:tcBorders>
            <w:shd w:val="clear" w:color="auto" w:fill="auto"/>
            <w:noWrap/>
            <w:vAlign w:val="bottom"/>
          </w:tcPr>
          <w:p w14:paraId="673BBAC6">
            <w:pPr>
              <w:pStyle w:val="6"/>
              <w:numPr>
                <w:ilvl w:val="0"/>
                <w:numId w:val="0"/>
              </w:numPr>
              <w:tabs>
                <w:tab w:val="clear" w:pos="2040"/>
              </w:tabs>
              <w:ind w:left="0" w:leftChars="0" w:firstLine="0" w:firstLineChars="0"/>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53.1286</w:t>
            </w:r>
          </w:p>
        </w:tc>
        <w:tc>
          <w:tcPr>
            <w:tcW w:w="1323" w:type="dxa"/>
            <w:tcBorders>
              <w:top w:val="nil"/>
              <w:left w:val="nil"/>
              <w:bottom w:val="single" w:color="auto" w:sz="4" w:space="0"/>
              <w:right w:val="single" w:color="auto" w:sz="4" w:space="0"/>
            </w:tcBorders>
            <w:shd w:val="clear" w:color="auto" w:fill="auto"/>
            <w:noWrap/>
            <w:vAlign w:val="bottom"/>
          </w:tcPr>
          <w:p w14:paraId="2742870B">
            <w:pPr>
              <w:pStyle w:val="6"/>
              <w:numPr>
                <w:ilvl w:val="0"/>
                <w:numId w:val="0"/>
              </w:numPr>
              <w:tabs>
                <w:tab w:val="clear" w:pos="2040"/>
              </w:tabs>
              <w:ind w:left="0" w:leftChars="0" w:firstLine="0" w:firstLineChars="0"/>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48.8148</w:t>
            </w:r>
          </w:p>
        </w:tc>
      </w:tr>
      <w:tr w14:paraId="1BD58906">
        <w:tblPrEx>
          <w:tblCellMar>
            <w:top w:w="0" w:type="dxa"/>
            <w:left w:w="108" w:type="dxa"/>
            <w:bottom w:w="0" w:type="dxa"/>
            <w:right w:w="108" w:type="dxa"/>
          </w:tblCellMar>
        </w:tblPrEx>
        <w:trPr>
          <w:trHeight w:val="270" w:hRule="atLeast"/>
          <w:jc w:val="center"/>
        </w:trPr>
        <w:tc>
          <w:tcPr>
            <w:tcW w:w="3505" w:type="dxa"/>
            <w:tcBorders>
              <w:top w:val="nil"/>
              <w:left w:val="single" w:color="auto" w:sz="4" w:space="0"/>
              <w:bottom w:val="single" w:color="auto" w:sz="4" w:space="0"/>
              <w:right w:val="single" w:color="auto" w:sz="4" w:space="0"/>
            </w:tcBorders>
            <w:shd w:val="clear" w:color="auto" w:fill="auto"/>
            <w:noWrap/>
            <w:vAlign w:val="top"/>
          </w:tcPr>
          <w:p w14:paraId="670CEADC">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石狮弘兴船务有限公司</w:t>
            </w:r>
          </w:p>
        </w:tc>
        <w:tc>
          <w:tcPr>
            <w:tcW w:w="1321" w:type="dxa"/>
            <w:tcBorders>
              <w:top w:val="nil"/>
              <w:left w:val="nil"/>
              <w:bottom w:val="single" w:color="auto" w:sz="4" w:space="0"/>
              <w:right w:val="single" w:color="auto" w:sz="4" w:space="0"/>
            </w:tcBorders>
            <w:shd w:val="clear" w:color="auto" w:fill="auto"/>
            <w:noWrap/>
            <w:vAlign w:val="bottom"/>
          </w:tcPr>
          <w:p w14:paraId="649A85E4">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257.48</w:t>
            </w:r>
          </w:p>
        </w:tc>
        <w:tc>
          <w:tcPr>
            <w:tcW w:w="1321" w:type="dxa"/>
            <w:tcBorders>
              <w:top w:val="nil"/>
              <w:left w:val="nil"/>
              <w:bottom w:val="single" w:color="auto" w:sz="4" w:space="0"/>
              <w:right w:val="single" w:color="auto" w:sz="4" w:space="0"/>
            </w:tcBorders>
            <w:shd w:val="clear" w:color="auto" w:fill="auto"/>
            <w:noWrap/>
            <w:vAlign w:val="bottom"/>
          </w:tcPr>
          <w:p w14:paraId="093EB038">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203.01</w:t>
            </w:r>
          </w:p>
        </w:tc>
        <w:tc>
          <w:tcPr>
            <w:tcW w:w="1323" w:type="dxa"/>
            <w:tcBorders>
              <w:top w:val="nil"/>
              <w:left w:val="nil"/>
              <w:bottom w:val="single" w:color="auto" w:sz="4" w:space="0"/>
              <w:right w:val="single" w:color="auto" w:sz="4" w:space="0"/>
            </w:tcBorders>
            <w:shd w:val="clear" w:color="auto" w:fill="auto"/>
            <w:noWrap/>
            <w:vAlign w:val="bottom"/>
          </w:tcPr>
          <w:p w14:paraId="41C4FE30">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10.09</w:t>
            </w:r>
          </w:p>
        </w:tc>
      </w:tr>
      <w:tr w14:paraId="73AADAFC">
        <w:tblPrEx>
          <w:tblCellMar>
            <w:top w:w="0" w:type="dxa"/>
            <w:left w:w="108" w:type="dxa"/>
            <w:bottom w:w="0" w:type="dxa"/>
            <w:right w:w="108" w:type="dxa"/>
          </w:tblCellMar>
        </w:tblPrEx>
        <w:trPr>
          <w:trHeight w:val="270" w:hRule="atLeast"/>
          <w:jc w:val="center"/>
        </w:trPr>
        <w:tc>
          <w:tcPr>
            <w:tcW w:w="3505" w:type="dxa"/>
            <w:tcBorders>
              <w:top w:val="nil"/>
              <w:left w:val="single" w:color="auto" w:sz="4" w:space="0"/>
              <w:bottom w:val="single" w:color="auto" w:sz="4" w:space="0"/>
              <w:right w:val="single" w:color="auto" w:sz="4" w:space="0"/>
            </w:tcBorders>
            <w:shd w:val="clear" w:color="auto" w:fill="auto"/>
            <w:noWrap/>
            <w:vAlign w:val="top"/>
          </w:tcPr>
          <w:p w14:paraId="7D633FAE">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石狮市祥展航运有限公司</w:t>
            </w:r>
          </w:p>
        </w:tc>
        <w:tc>
          <w:tcPr>
            <w:tcW w:w="1321" w:type="dxa"/>
            <w:tcBorders>
              <w:top w:val="nil"/>
              <w:left w:val="nil"/>
              <w:bottom w:val="single" w:color="auto" w:sz="4" w:space="0"/>
              <w:right w:val="single" w:color="auto" w:sz="4" w:space="0"/>
            </w:tcBorders>
            <w:shd w:val="clear" w:color="auto" w:fill="auto"/>
            <w:noWrap/>
            <w:vAlign w:val="bottom"/>
          </w:tcPr>
          <w:p w14:paraId="64332746">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6.2</w:t>
            </w:r>
          </w:p>
        </w:tc>
        <w:tc>
          <w:tcPr>
            <w:tcW w:w="1321" w:type="dxa"/>
            <w:tcBorders>
              <w:top w:val="nil"/>
              <w:left w:val="nil"/>
              <w:bottom w:val="single" w:color="auto" w:sz="4" w:space="0"/>
              <w:right w:val="single" w:color="auto" w:sz="4" w:space="0"/>
            </w:tcBorders>
            <w:shd w:val="clear" w:color="auto" w:fill="auto"/>
            <w:noWrap/>
            <w:vAlign w:val="bottom"/>
          </w:tcPr>
          <w:p w14:paraId="1B6DEAFB">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35.2</w:t>
            </w:r>
          </w:p>
        </w:tc>
        <w:tc>
          <w:tcPr>
            <w:tcW w:w="1323" w:type="dxa"/>
            <w:tcBorders>
              <w:top w:val="nil"/>
              <w:left w:val="nil"/>
              <w:bottom w:val="single" w:color="auto" w:sz="4" w:space="0"/>
              <w:right w:val="single" w:color="auto" w:sz="4" w:space="0"/>
            </w:tcBorders>
            <w:shd w:val="clear" w:color="auto" w:fill="auto"/>
            <w:noWrap/>
            <w:vAlign w:val="bottom"/>
          </w:tcPr>
          <w:p w14:paraId="334896ED">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45.4</w:t>
            </w:r>
          </w:p>
        </w:tc>
      </w:tr>
      <w:tr w14:paraId="762CAB5B">
        <w:tblPrEx>
          <w:tblCellMar>
            <w:top w:w="0" w:type="dxa"/>
            <w:left w:w="108" w:type="dxa"/>
            <w:bottom w:w="0" w:type="dxa"/>
            <w:right w:w="108" w:type="dxa"/>
          </w:tblCellMar>
        </w:tblPrEx>
        <w:trPr>
          <w:trHeight w:val="270" w:hRule="atLeast"/>
          <w:jc w:val="center"/>
        </w:trPr>
        <w:tc>
          <w:tcPr>
            <w:tcW w:w="3505" w:type="dxa"/>
            <w:tcBorders>
              <w:top w:val="nil"/>
              <w:left w:val="single" w:color="auto" w:sz="4" w:space="0"/>
              <w:bottom w:val="single" w:color="auto" w:sz="4" w:space="0"/>
              <w:right w:val="single" w:color="auto" w:sz="4" w:space="0"/>
            </w:tcBorders>
            <w:shd w:val="clear" w:color="auto" w:fill="auto"/>
            <w:noWrap/>
            <w:vAlign w:val="top"/>
          </w:tcPr>
          <w:p w14:paraId="718BDEC7">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泉州宝晟船务有限公司</w:t>
            </w:r>
          </w:p>
        </w:tc>
        <w:tc>
          <w:tcPr>
            <w:tcW w:w="1321" w:type="dxa"/>
            <w:tcBorders>
              <w:top w:val="nil"/>
              <w:left w:val="nil"/>
              <w:bottom w:val="single" w:color="auto" w:sz="4" w:space="0"/>
              <w:right w:val="single" w:color="auto" w:sz="4" w:space="0"/>
            </w:tcBorders>
            <w:shd w:val="clear" w:color="auto" w:fill="auto"/>
            <w:noWrap/>
            <w:vAlign w:val="bottom"/>
          </w:tcPr>
          <w:p w14:paraId="33AA7C53">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1.78</w:t>
            </w:r>
          </w:p>
        </w:tc>
        <w:tc>
          <w:tcPr>
            <w:tcW w:w="1321" w:type="dxa"/>
            <w:tcBorders>
              <w:top w:val="nil"/>
              <w:left w:val="nil"/>
              <w:bottom w:val="single" w:color="auto" w:sz="4" w:space="0"/>
              <w:right w:val="single" w:color="auto" w:sz="4" w:space="0"/>
            </w:tcBorders>
            <w:shd w:val="clear" w:color="auto" w:fill="auto"/>
            <w:noWrap/>
            <w:vAlign w:val="bottom"/>
          </w:tcPr>
          <w:p w14:paraId="594B2027">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11.97</w:t>
            </w:r>
          </w:p>
        </w:tc>
        <w:tc>
          <w:tcPr>
            <w:tcW w:w="1323" w:type="dxa"/>
            <w:tcBorders>
              <w:top w:val="nil"/>
              <w:left w:val="nil"/>
              <w:bottom w:val="single" w:color="auto" w:sz="4" w:space="0"/>
              <w:right w:val="single" w:color="auto" w:sz="4" w:space="0"/>
            </w:tcBorders>
            <w:shd w:val="clear" w:color="auto" w:fill="auto"/>
            <w:noWrap/>
            <w:vAlign w:val="bottom"/>
          </w:tcPr>
          <w:p w14:paraId="660AE50F">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4.3</w:t>
            </w:r>
          </w:p>
        </w:tc>
      </w:tr>
      <w:tr w14:paraId="59FB5CFA">
        <w:tblPrEx>
          <w:tblCellMar>
            <w:top w:w="0" w:type="dxa"/>
            <w:left w:w="108" w:type="dxa"/>
            <w:bottom w:w="0" w:type="dxa"/>
            <w:right w:w="108" w:type="dxa"/>
          </w:tblCellMar>
        </w:tblPrEx>
        <w:trPr>
          <w:trHeight w:val="270" w:hRule="atLeast"/>
          <w:jc w:val="center"/>
        </w:trPr>
        <w:tc>
          <w:tcPr>
            <w:tcW w:w="3505" w:type="dxa"/>
            <w:tcBorders>
              <w:top w:val="nil"/>
              <w:left w:val="single" w:color="auto" w:sz="4" w:space="0"/>
              <w:bottom w:val="single" w:color="auto" w:sz="4" w:space="0"/>
              <w:right w:val="single" w:color="auto" w:sz="4" w:space="0"/>
            </w:tcBorders>
            <w:shd w:val="clear" w:color="auto" w:fill="auto"/>
            <w:noWrap/>
            <w:vAlign w:val="top"/>
          </w:tcPr>
          <w:p w14:paraId="6DCEC718">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福建安丰船务有限公司</w:t>
            </w:r>
          </w:p>
        </w:tc>
        <w:tc>
          <w:tcPr>
            <w:tcW w:w="1321" w:type="dxa"/>
            <w:tcBorders>
              <w:top w:val="nil"/>
              <w:left w:val="nil"/>
              <w:bottom w:val="single" w:color="auto" w:sz="4" w:space="0"/>
              <w:right w:val="single" w:color="auto" w:sz="4" w:space="0"/>
            </w:tcBorders>
            <w:shd w:val="clear" w:color="auto" w:fill="auto"/>
            <w:noWrap/>
            <w:vAlign w:val="bottom"/>
          </w:tcPr>
          <w:p w14:paraId="64B0B612">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1.7</w:t>
            </w:r>
          </w:p>
        </w:tc>
        <w:tc>
          <w:tcPr>
            <w:tcW w:w="1321" w:type="dxa"/>
            <w:tcBorders>
              <w:top w:val="nil"/>
              <w:left w:val="nil"/>
              <w:bottom w:val="single" w:color="auto" w:sz="4" w:space="0"/>
              <w:right w:val="single" w:color="auto" w:sz="4" w:space="0"/>
            </w:tcBorders>
            <w:shd w:val="clear" w:color="auto" w:fill="auto"/>
            <w:noWrap/>
            <w:vAlign w:val="bottom"/>
          </w:tcPr>
          <w:p w14:paraId="3D5B5FF4">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2.1</w:t>
            </w:r>
          </w:p>
        </w:tc>
        <w:tc>
          <w:tcPr>
            <w:tcW w:w="1323" w:type="dxa"/>
            <w:tcBorders>
              <w:top w:val="nil"/>
              <w:left w:val="nil"/>
              <w:bottom w:val="single" w:color="auto" w:sz="4" w:space="0"/>
              <w:right w:val="single" w:color="auto" w:sz="4" w:space="0"/>
            </w:tcBorders>
            <w:shd w:val="clear" w:color="auto" w:fill="auto"/>
            <w:noWrap/>
            <w:vAlign w:val="bottom"/>
          </w:tcPr>
          <w:p w14:paraId="3E7ED882">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3.4</w:t>
            </w:r>
          </w:p>
        </w:tc>
      </w:tr>
      <w:tr w14:paraId="2A89E7C0">
        <w:tblPrEx>
          <w:tblCellMar>
            <w:top w:w="0" w:type="dxa"/>
            <w:left w:w="108" w:type="dxa"/>
            <w:bottom w:w="0" w:type="dxa"/>
            <w:right w:w="108" w:type="dxa"/>
          </w:tblCellMar>
        </w:tblPrEx>
        <w:trPr>
          <w:trHeight w:val="270" w:hRule="atLeast"/>
          <w:jc w:val="center"/>
        </w:trPr>
        <w:tc>
          <w:tcPr>
            <w:tcW w:w="3505" w:type="dxa"/>
            <w:tcBorders>
              <w:top w:val="nil"/>
              <w:left w:val="single" w:color="auto" w:sz="4" w:space="0"/>
              <w:bottom w:val="single" w:color="auto" w:sz="4" w:space="0"/>
              <w:right w:val="single" w:color="auto" w:sz="4" w:space="0"/>
            </w:tcBorders>
            <w:shd w:val="clear" w:color="auto" w:fill="auto"/>
            <w:noWrap/>
            <w:vAlign w:val="top"/>
          </w:tcPr>
          <w:p w14:paraId="61AB11A2">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石狮聚远海运有限公司</w:t>
            </w:r>
          </w:p>
        </w:tc>
        <w:tc>
          <w:tcPr>
            <w:tcW w:w="1321" w:type="dxa"/>
            <w:tcBorders>
              <w:top w:val="nil"/>
              <w:left w:val="nil"/>
              <w:bottom w:val="single" w:color="auto" w:sz="4" w:space="0"/>
              <w:right w:val="single" w:color="auto" w:sz="4" w:space="0"/>
            </w:tcBorders>
            <w:shd w:val="clear" w:color="auto" w:fill="auto"/>
            <w:noWrap/>
            <w:vAlign w:val="bottom"/>
          </w:tcPr>
          <w:p w14:paraId="6CFF7E26">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1.7</w:t>
            </w:r>
          </w:p>
        </w:tc>
        <w:tc>
          <w:tcPr>
            <w:tcW w:w="1321" w:type="dxa"/>
            <w:tcBorders>
              <w:top w:val="nil"/>
              <w:left w:val="nil"/>
              <w:bottom w:val="single" w:color="auto" w:sz="4" w:space="0"/>
              <w:right w:val="single" w:color="auto" w:sz="4" w:space="0"/>
            </w:tcBorders>
            <w:shd w:val="clear" w:color="auto" w:fill="auto"/>
            <w:noWrap/>
            <w:vAlign w:val="bottom"/>
          </w:tcPr>
          <w:p w14:paraId="687C0E57">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4</w:t>
            </w:r>
          </w:p>
        </w:tc>
        <w:tc>
          <w:tcPr>
            <w:tcW w:w="1323" w:type="dxa"/>
            <w:tcBorders>
              <w:top w:val="nil"/>
              <w:left w:val="nil"/>
              <w:bottom w:val="single" w:color="auto" w:sz="4" w:space="0"/>
              <w:right w:val="single" w:color="auto" w:sz="4" w:space="0"/>
            </w:tcBorders>
            <w:shd w:val="clear" w:color="auto" w:fill="auto"/>
            <w:noWrap/>
            <w:vAlign w:val="bottom"/>
          </w:tcPr>
          <w:p w14:paraId="56CAC16C">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4.3</w:t>
            </w:r>
          </w:p>
        </w:tc>
      </w:tr>
      <w:tr w14:paraId="007E8A5F">
        <w:tblPrEx>
          <w:tblCellMar>
            <w:top w:w="0" w:type="dxa"/>
            <w:left w:w="108" w:type="dxa"/>
            <w:bottom w:w="0" w:type="dxa"/>
            <w:right w:w="108" w:type="dxa"/>
          </w:tblCellMar>
        </w:tblPrEx>
        <w:trPr>
          <w:trHeight w:val="270" w:hRule="atLeast"/>
          <w:jc w:val="center"/>
        </w:trPr>
        <w:tc>
          <w:tcPr>
            <w:tcW w:w="3505" w:type="dxa"/>
            <w:tcBorders>
              <w:top w:val="nil"/>
              <w:left w:val="single" w:color="auto" w:sz="4" w:space="0"/>
              <w:bottom w:val="single" w:color="auto" w:sz="4" w:space="0"/>
              <w:right w:val="single" w:color="auto" w:sz="4" w:space="0"/>
            </w:tcBorders>
            <w:shd w:val="clear" w:color="auto" w:fill="auto"/>
            <w:noWrap/>
            <w:vAlign w:val="top"/>
          </w:tcPr>
          <w:p w14:paraId="56E42362">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泉州弘旭船务有限公司</w:t>
            </w:r>
          </w:p>
        </w:tc>
        <w:tc>
          <w:tcPr>
            <w:tcW w:w="1321" w:type="dxa"/>
            <w:tcBorders>
              <w:top w:val="nil"/>
              <w:left w:val="nil"/>
              <w:bottom w:val="single" w:color="auto" w:sz="4" w:space="0"/>
              <w:right w:val="single" w:color="auto" w:sz="4" w:space="0"/>
            </w:tcBorders>
            <w:shd w:val="clear" w:color="auto" w:fill="auto"/>
            <w:noWrap/>
            <w:vAlign w:val="bottom"/>
          </w:tcPr>
          <w:p w14:paraId="473823E1">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2.39</w:t>
            </w:r>
          </w:p>
        </w:tc>
        <w:tc>
          <w:tcPr>
            <w:tcW w:w="1321" w:type="dxa"/>
            <w:tcBorders>
              <w:top w:val="nil"/>
              <w:left w:val="nil"/>
              <w:bottom w:val="single" w:color="auto" w:sz="4" w:space="0"/>
              <w:right w:val="single" w:color="auto" w:sz="4" w:space="0"/>
            </w:tcBorders>
            <w:shd w:val="clear" w:color="auto" w:fill="auto"/>
            <w:noWrap/>
            <w:vAlign w:val="bottom"/>
          </w:tcPr>
          <w:p w14:paraId="056C36CF">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45.5</w:t>
            </w:r>
          </w:p>
        </w:tc>
        <w:tc>
          <w:tcPr>
            <w:tcW w:w="1323" w:type="dxa"/>
            <w:tcBorders>
              <w:top w:val="nil"/>
              <w:left w:val="nil"/>
              <w:bottom w:val="single" w:color="auto" w:sz="4" w:space="0"/>
              <w:right w:val="single" w:color="auto" w:sz="4" w:space="0"/>
            </w:tcBorders>
            <w:shd w:val="clear" w:color="auto" w:fill="auto"/>
            <w:noWrap/>
            <w:vAlign w:val="bottom"/>
          </w:tcPr>
          <w:p w14:paraId="6B3EC9B4">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13.33</w:t>
            </w:r>
          </w:p>
        </w:tc>
      </w:tr>
      <w:tr w14:paraId="02CACED5">
        <w:tblPrEx>
          <w:tblCellMar>
            <w:top w:w="0" w:type="dxa"/>
            <w:left w:w="108" w:type="dxa"/>
            <w:bottom w:w="0" w:type="dxa"/>
            <w:right w:w="108" w:type="dxa"/>
          </w:tblCellMar>
        </w:tblPrEx>
        <w:trPr>
          <w:trHeight w:val="270" w:hRule="atLeast"/>
          <w:jc w:val="center"/>
        </w:trPr>
        <w:tc>
          <w:tcPr>
            <w:tcW w:w="3505" w:type="dxa"/>
            <w:tcBorders>
              <w:top w:val="nil"/>
              <w:left w:val="single" w:color="auto" w:sz="4" w:space="0"/>
              <w:bottom w:val="single" w:color="auto" w:sz="4" w:space="0"/>
              <w:right w:val="single" w:color="auto" w:sz="4" w:space="0"/>
            </w:tcBorders>
            <w:shd w:val="clear" w:color="auto" w:fill="auto"/>
            <w:noWrap/>
            <w:vAlign w:val="top"/>
          </w:tcPr>
          <w:p w14:paraId="4684C30B">
            <w:pPr>
              <w:keepNext w:val="0"/>
              <w:keepLines w:val="0"/>
              <w:widowControl/>
              <w:suppressLineNumbers w:val="0"/>
              <w:jc w:val="center"/>
              <w:textAlignment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福建鑫淼海运有限公司</w:t>
            </w:r>
          </w:p>
        </w:tc>
        <w:tc>
          <w:tcPr>
            <w:tcW w:w="1321" w:type="dxa"/>
            <w:tcBorders>
              <w:top w:val="nil"/>
              <w:left w:val="nil"/>
              <w:bottom w:val="single" w:color="auto" w:sz="4" w:space="0"/>
              <w:right w:val="single" w:color="auto" w:sz="4" w:space="0"/>
            </w:tcBorders>
            <w:shd w:val="clear" w:color="auto" w:fill="auto"/>
            <w:noWrap/>
            <w:vAlign w:val="bottom"/>
          </w:tcPr>
          <w:p w14:paraId="1C2113B8">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0.93</w:t>
            </w:r>
          </w:p>
        </w:tc>
        <w:tc>
          <w:tcPr>
            <w:tcW w:w="1321" w:type="dxa"/>
            <w:tcBorders>
              <w:top w:val="nil"/>
              <w:left w:val="nil"/>
              <w:bottom w:val="single" w:color="auto" w:sz="4" w:space="0"/>
              <w:right w:val="single" w:color="auto" w:sz="4" w:space="0"/>
            </w:tcBorders>
            <w:shd w:val="clear" w:color="auto" w:fill="auto"/>
            <w:noWrap/>
            <w:vAlign w:val="bottom"/>
          </w:tcPr>
          <w:p w14:paraId="33786895">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34.28</w:t>
            </w:r>
          </w:p>
        </w:tc>
        <w:tc>
          <w:tcPr>
            <w:tcW w:w="1323" w:type="dxa"/>
            <w:tcBorders>
              <w:top w:val="nil"/>
              <w:left w:val="nil"/>
              <w:bottom w:val="single" w:color="auto" w:sz="4" w:space="0"/>
              <w:right w:val="single" w:color="auto" w:sz="4" w:space="0"/>
            </w:tcBorders>
            <w:shd w:val="clear" w:color="auto" w:fill="auto"/>
            <w:noWrap/>
            <w:vAlign w:val="bottom"/>
          </w:tcPr>
          <w:p w14:paraId="3EC6BCD2">
            <w:pPr>
              <w:pStyle w:val="6"/>
              <w:numPr>
                <w:ilvl w:val="0"/>
                <w:numId w:val="0"/>
              </w:numPr>
              <w:tabs>
                <w:tab w:val="clear" w:pos="2040"/>
              </w:tabs>
              <w:jc w:val="center"/>
              <w:rPr>
                <w:rFonts w:hint="eastAsia" w:ascii="仿宋" w:hAnsi="仿宋" w:eastAsia="仿宋" w:cs="仿宋"/>
                <w:b w:val="0"/>
                <w:bCs w:val="0"/>
                <w:kern w:val="2"/>
                <w:sz w:val="21"/>
                <w:szCs w:val="21"/>
                <w:vertAlign w:val="baseline"/>
                <w:lang w:val="zh-CN" w:eastAsia="zh-CN" w:bidi="ar-SA"/>
              </w:rPr>
            </w:pPr>
            <w:r>
              <w:rPr>
                <w:rFonts w:hint="eastAsia" w:ascii="仿宋" w:hAnsi="仿宋" w:eastAsia="仿宋" w:cs="仿宋"/>
                <w:b w:val="0"/>
                <w:bCs w:val="0"/>
                <w:kern w:val="2"/>
                <w:sz w:val="21"/>
                <w:szCs w:val="21"/>
                <w:vertAlign w:val="baseline"/>
                <w:lang w:val="en-US" w:eastAsia="zh-CN" w:bidi="ar-SA"/>
              </w:rPr>
              <w:t>212.57</w:t>
            </w:r>
          </w:p>
        </w:tc>
      </w:tr>
      <w:tr w14:paraId="1125D212">
        <w:tblPrEx>
          <w:tblCellMar>
            <w:top w:w="0" w:type="dxa"/>
            <w:left w:w="108" w:type="dxa"/>
            <w:bottom w:w="0" w:type="dxa"/>
            <w:right w:w="108" w:type="dxa"/>
          </w:tblCellMar>
        </w:tblPrEx>
        <w:trPr>
          <w:trHeight w:val="270" w:hRule="atLeast"/>
          <w:jc w:val="center"/>
        </w:trPr>
        <w:tc>
          <w:tcPr>
            <w:tcW w:w="3505" w:type="dxa"/>
            <w:tcBorders>
              <w:top w:val="nil"/>
              <w:left w:val="single" w:color="auto" w:sz="4" w:space="0"/>
              <w:bottom w:val="single" w:color="auto" w:sz="4" w:space="0"/>
              <w:right w:val="single" w:color="auto" w:sz="4" w:space="0"/>
            </w:tcBorders>
            <w:shd w:val="clear" w:color="auto" w:fill="auto"/>
            <w:noWrap/>
            <w:vAlign w:val="top"/>
          </w:tcPr>
          <w:p w14:paraId="7A3BFDA9">
            <w:pPr>
              <w:keepNext w:val="0"/>
              <w:keepLines w:val="0"/>
              <w:widowControl/>
              <w:suppressLineNumbers w:val="0"/>
              <w:jc w:val="center"/>
              <w:textAlignment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合计</w:t>
            </w:r>
          </w:p>
        </w:tc>
        <w:tc>
          <w:tcPr>
            <w:tcW w:w="1321" w:type="dxa"/>
            <w:tcBorders>
              <w:top w:val="nil"/>
              <w:left w:val="nil"/>
              <w:bottom w:val="single" w:color="auto" w:sz="4" w:space="0"/>
              <w:right w:val="single" w:color="auto" w:sz="4" w:space="0"/>
            </w:tcBorders>
            <w:shd w:val="clear" w:color="auto" w:fill="auto"/>
            <w:noWrap/>
            <w:vAlign w:val="bottom"/>
          </w:tcPr>
          <w:p w14:paraId="4D78C6D3">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1030.7761</w:t>
            </w:r>
          </w:p>
        </w:tc>
        <w:tc>
          <w:tcPr>
            <w:tcW w:w="1321" w:type="dxa"/>
            <w:tcBorders>
              <w:top w:val="nil"/>
              <w:left w:val="nil"/>
              <w:bottom w:val="single" w:color="auto" w:sz="4" w:space="0"/>
              <w:right w:val="single" w:color="auto" w:sz="4" w:space="0"/>
            </w:tcBorders>
            <w:shd w:val="clear" w:color="auto" w:fill="auto"/>
            <w:noWrap/>
            <w:vAlign w:val="bottom"/>
          </w:tcPr>
          <w:p w14:paraId="6B4F5F60">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1300.1886</w:t>
            </w:r>
          </w:p>
        </w:tc>
        <w:tc>
          <w:tcPr>
            <w:tcW w:w="1323" w:type="dxa"/>
            <w:tcBorders>
              <w:top w:val="nil"/>
              <w:left w:val="nil"/>
              <w:bottom w:val="single" w:color="auto" w:sz="4" w:space="0"/>
              <w:right w:val="single" w:color="auto" w:sz="4" w:space="0"/>
            </w:tcBorders>
            <w:shd w:val="clear" w:color="auto" w:fill="auto"/>
            <w:noWrap/>
            <w:vAlign w:val="bottom"/>
          </w:tcPr>
          <w:p w14:paraId="6650D23F">
            <w:pPr>
              <w:pStyle w:val="6"/>
              <w:numPr>
                <w:ilvl w:val="0"/>
                <w:numId w:val="0"/>
              </w:numPr>
              <w:tabs>
                <w:tab w:val="clear" w:pos="2040"/>
              </w:tabs>
              <w:jc w:val="center"/>
              <w:rPr>
                <w:rFonts w:hint="default" w:ascii="仿宋" w:hAnsi="仿宋" w:eastAsia="仿宋" w:cs="仿宋"/>
                <w:b w:val="0"/>
                <w:bCs w:val="0"/>
                <w:kern w:val="2"/>
                <w:sz w:val="21"/>
                <w:szCs w:val="21"/>
                <w:vertAlign w:val="baseline"/>
                <w:lang w:val="en-US" w:eastAsia="zh-CN" w:bidi="ar-SA"/>
              </w:rPr>
            </w:pPr>
            <w:r>
              <w:rPr>
                <w:rFonts w:hint="eastAsia" w:ascii="仿宋" w:hAnsi="仿宋" w:eastAsia="仿宋" w:cs="仿宋"/>
                <w:b w:val="0"/>
                <w:bCs w:val="0"/>
                <w:kern w:val="2"/>
                <w:sz w:val="21"/>
                <w:szCs w:val="21"/>
                <w:vertAlign w:val="baseline"/>
                <w:lang w:val="en-US" w:eastAsia="zh-CN" w:bidi="ar-SA"/>
              </w:rPr>
              <w:t>1112.2048</w:t>
            </w:r>
          </w:p>
        </w:tc>
      </w:tr>
    </w:tbl>
    <w:p w14:paraId="137A5A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3.可持续影响（</w:t>
      </w:r>
      <w:r>
        <w:rPr>
          <w:rFonts w:hint="eastAsia" w:ascii="仿宋_GB2312" w:hAnsi="Times New Roman" w:eastAsia="仿宋_GB2312" w:cs="Times New Roman"/>
          <w:sz w:val="24"/>
          <w:szCs w:val="24"/>
          <w:lang w:val="en-US" w:eastAsia="zh-CN"/>
        </w:rPr>
        <w:t>分值5</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5</w:t>
      </w:r>
      <w:r>
        <w:rPr>
          <w:rFonts w:hint="eastAsia" w:ascii="仿宋_GB2312" w:hAnsi="Times New Roman" w:eastAsia="仿宋_GB2312" w:cs="Times New Roman"/>
          <w:sz w:val="24"/>
          <w:szCs w:val="24"/>
          <w:lang w:val="zh-CN" w:eastAsia="zh-CN"/>
        </w:rPr>
        <w:t>分）</w:t>
      </w:r>
    </w:p>
    <w:p w14:paraId="7819E3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en-US" w:eastAsia="zh-CN"/>
        </w:rPr>
        <w:t>可持续影响用“水路货运量和周转量变化”指标进行衡量。根据石狮市交通和港口发展局提供的数据，2022年1-12月份全市水路累计完成货运量6693.43万吨，货运周转量10813952.19万吨公里；2023年1-12月份全市水路完成货运量7218.76万吨，货运周转量11221069.58万亿吨公里；2024年1-12月份全市水路完成货运量 8932.2万吨，货运周转量12795809.74万亿吨公里。2022-2024年水路货运量和周转率均实现了逐年增长。该指标可得满分。</w:t>
      </w:r>
    </w:p>
    <w:p w14:paraId="646906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zh-CN" w:eastAsia="zh-CN"/>
        </w:rPr>
      </w:pPr>
      <w:r>
        <w:rPr>
          <w:rFonts w:hint="eastAsia" w:ascii="仿宋_GB2312" w:hAnsi="Times New Roman" w:eastAsia="仿宋_GB2312" w:cs="Times New Roman"/>
          <w:sz w:val="24"/>
          <w:szCs w:val="24"/>
          <w:lang w:val="zh-CN" w:eastAsia="zh-CN"/>
        </w:rPr>
        <w:t>4.满意度（</w:t>
      </w:r>
      <w:r>
        <w:rPr>
          <w:rFonts w:hint="eastAsia" w:ascii="仿宋_GB2312" w:hAnsi="Times New Roman" w:eastAsia="仿宋_GB2312" w:cs="Times New Roman"/>
          <w:sz w:val="24"/>
          <w:szCs w:val="24"/>
          <w:lang w:val="en-US" w:eastAsia="zh-CN"/>
        </w:rPr>
        <w:t>分值8</w:t>
      </w:r>
      <w:r>
        <w:rPr>
          <w:rFonts w:hint="eastAsia" w:ascii="仿宋_GB2312" w:hAnsi="Times New Roman" w:eastAsia="仿宋_GB2312" w:cs="Times New Roman"/>
          <w:sz w:val="24"/>
          <w:szCs w:val="24"/>
          <w:lang w:val="zh-CN" w:eastAsia="zh-CN"/>
        </w:rPr>
        <w:t>分，得分</w:t>
      </w:r>
      <w:r>
        <w:rPr>
          <w:rFonts w:hint="eastAsia" w:ascii="仿宋_GB2312" w:hAnsi="Times New Roman" w:eastAsia="仿宋_GB2312" w:cs="Times New Roman"/>
          <w:sz w:val="24"/>
          <w:szCs w:val="24"/>
          <w:lang w:val="en-US" w:eastAsia="zh-CN"/>
        </w:rPr>
        <w:t>8</w:t>
      </w:r>
      <w:r>
        <w:rPr>
          <w:rFonts w:hint="eastAsia" w:ascii="仿宋_GB2312" w:hAnsi="Times New Roman" w:eastAsia="仿宋_GB2312" w:cs="Times New Roman"/>
          <w:sz w:val="24"/>
          <w:szCs w:val="24"/>
          <w:lang w:val="zh-CN" w:eastAsia="zh-CN"/>
        </w:rPr>
        <w:t>分）</w:t>
      </w:r>
    </w:p>
    <w:p w14:paraId="6F002D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en-US" w:eastAsia="zh-CN"/>
        </w:rPr>
      </w:pPr>
      <w:bookmarkStart w:id="54" w:name="_Toc184981309"/>
      <w:bookmarkStart w:id="55" w:name="_Toc184981071"/>
      <w:bookmarkStart w:id="56" w:name="_Toc21059"/>
      <w:r>
        <w:rPr>
          <w:rFonts w:hint="eastAsia" w:ascii="仿宋_GB2312" w:hAnsi="Times New Roman" w:eastAsia="仿宋_GB2312" w:cs="Times New Roman"/>
          <w:sz w:val="24"/>
          <w:szCs w:val="24"/>
          <w:lang w:val="en-US" w:eastAsia="zh-CN"/>
        </w:rPr>
        <w:t>满意度用“受补贴企业满意度”指标进行衡量，在回收的15份2021年来受补贴企业问卷中，除1家企业未对满意度（第11题）进行评分，其余14家企业有10家满意度评分满分5分，4家评分4分，因此满意度为94.29%（满意度=（5×10+4×4）/（5×14））。综上，满意度指标得满分。</w:t>
      </w:r>
    </w:p>
    <w:p w14:paraId="728E35E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default" w:ascii="仿宋_GB2312" w:hAnsi="Times New Roman" w:eastAsia="仿宋_GB2312" w:cs="Times New Roman"/>
          <w:sz w:val="24"/>
          <w:szCs w:val="24"/>
          <w:lang w:val="en-US" w:eastAsia="zh-CN"/>
        </w:rPr>
      </w:pPr>
    </w:p>
    <w:p w14:paraId="572B19DD">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lang w:val="zh-CN" w:eastAsia="zh-CN"/>
        </w:rPr>
      </w:pPr>
      <w:bookmarkStart w:id="57" w:name="_Toc31618"/>
      <w:r>
        <w:rPr>
          <w:rFonts w:hint="eastAsia" w:ascii="仿宋" w:hAnsi="仿宋" w:eastAsia="仿宋" w:cs="仿宋"/>
          <w:b/>
          <w:bCs/>
          <w:sz w:val="28"/>
          <w:szCs w:val="28"/>
          <w:lang w:val="zh-CN" w:eastAsia="zh-CN"/>
        </w:rPr>
        <w:t>五、存在的问题及原因分析</w:t>
      </w:r>
      <w:bookmarkEnd w:id="54"/>
      <w:bookmarkEnd w:id="55"/>
      <w:bookmarkEnd w:id="56"/>
      <w:bookmarkEnd w:id="57"/>
    </w:p>
    <w:p w14:paraId="7B6278F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default" w:ascii="仿宋_GB2312" w:hAnsi="Times New Roman" w:eastAsia="仿宋_GB2312" w:cs="Times New Roman"/>
          <w:b/>
          <w:bCs/>
          <w:sz w:val="24"/>
          <w:szCs w:val="24"/>
          <w:lang w:val="en-US" w:eastAsia="zh-CN"/>
        </w:rPr>
      </w:pPr>
      <w:bookmarkStart w:id="58" w:name="_Toc19516"/>
      <w:bookmarkStart w:id="59" w:name="_Toc24341"/>
      <w:bookmarkStart w:id="60" w:name="_Toc184981310"/>
      <w:bookmarkStart w:id="61" w:name="_Toc184981072"/>
      <w:bookmarkStart w:id="62" w:name="_Toc22761"/>
      <w:r>
        <w:rPr>
          <w:rFonts w:hint="eastAsia" w:ascii="仿宋_GB2312" w:hAnsi="Times New Roman" w:eastAsia="仿宋_GB2312" w:cs="Times New Roman"/>
          <w:b/>
          <w:bCs/>
          <w:sz w:val="24"/>
          <w:szCs w:val="24"/>
        </w:rPr>
        <w:t>（一）</w:t>
      </w:r>
      <w:bookmarkEnd w:id="58"/>
      <w:bookmarkEnd w:id="59"/>
      <w:bookmarkEnd w:id="60"/>
      <w:bookmarkEnd w:id="61"/>
      <w:r>
        <w:rPr>
          <w:rFonts w:hint="eastAsia" w:ascii="仿宋_GB2312" w:hAnsi="Times New Roman" w:eastAsia="仿宋_GB2312" w:cs="Times New Roman"/>
          <w:b/>
          <w:bCs/>
          <w:sz w:val="24"/>
          <w:szCs w:val="24"/>
          <w:lang w:val="en-US" w:eastAsia="zh-CN"/>
        </w:rPr>
        <w:t>绩效目标设置不够精准，且未能覆盖全部任务目标</w:t>
      </w:r>
      <w:bookmarkEnd w:id="62"/>
    </w:p>
    <w:p w14:paraId="738323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石狮市水路运输业相关补贴从泉政文〔2017〕150号开始实施后经补贴条款修订，已经过多年的绩效目标设定，但在绩效指标和目标值的设定上仍缺乏精准性。存在个性化三级指标设置将指标和目标值叠加的问题，如表3所示，“新增船舶16艘”“税收1000万元”“增加就业200人”“大于等于90%”等四个效益和满意度指标，且“新增船舶16艘”的目标值为18艘，前后表述不一致，目标设置上不够认真细致。此外，“成本指标”设置为“购置船舶费用”与目标值“7100万”不匹配。指标个数仅满足于达到财政部门设定的数量要求，未能覆盖项目全部的任务目标。</w:t>
      </w:r>
    </w:p>
    <w:p w14:paraId="3E7D817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default" w:ascii="仿宋_GB2312" w:hAnsi="Times New Roman" w:eastAsia="仿宋_GB2312" w:cs="Times New Roman"/>
          <w:b/>
          <w:bCs/>
          <w:sz w:val="24"/>
          <w:szCs w:val="24"/>
          <w:lang w:val="en-US" w:eastAsia="zh-CN"/>
        </w:rPr>
      </w:pPr>
      <w:bookmarkStart w:id="63" w:name="_Toc13264"/>
      <w:bookmarkStart w:id="64" w:name="_Toc184981073"/>
      <w:bookmarkStart w:id="65" w:name="_Toc8452"/>
      <w:bookmarkStart w:id="66" w:name="_Toc184981311"/>
      <w:bookmarkStart w:id="67" w:name="_Toc12352"/>
      <w:r>
        <w:rPr>
          <w:rFonts w:hint="eastAsia" w:ascii="仿宋_GB2312" w:hAnsi="Times New Roman" w:eastAsia="仿宋_GB2312" w:cs="Times New Roman"/>
          <w:b/>
          <w:bCs/>
          <w:sz w:val="24"/>
          <w:szCs w:val="24"/>
        </w:rPr>
        <w:t>（二）</w:t>
      </w:r>
      <w:bookmarkEnd w:id="63"/>
      <w:bookmarkEnd w:id="64"/>
      <w:bookmarkEnd w:id="65"/>
      <w:bookmarkEnd w:id="66"/>
      <w:r>
        <w:rPr>
          <w:rFonts w:hint="eastAsia" w:ascii="仿宋_GB2312" w:hAnsi="Times New Roman" w:eastAsia="仿宋_GB2312" w:cs="Times New Roman"/>
          <w:b/>
          <w:bCs/>
          <w:sz w:val="24"/>
          <w:szCs w:val="24"/>
          <w:lang w:val="en-US" w:eastAsia="zh-CN"/>
        </w:rPr>
        <w:t>资金分配上存在政策条款的重复补贴，少数企业获得绝大部分补贴</w:t>
      </w:r>
      <w:bookmarkEnd w:id="67"/>
    </w:p>
    <w:p w14:paraId="58F8FAD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根据泉政文〔2021〕15号文件，石狮市水路运输业相关补助主要包括鼓励企业新增运力、促进企业规模发展和实施船舶贷款贴息三个方面，工作组发现在实际落实政策进行资金补贴过程中，出现政策条款的叠加。如表4、表5、表6数据显示，有新永昌19、千祥和谐、鼎鑫105、鼎鑫106、鼎鑫107、鼎鑫108、鼎鑫109、鼎鑫112、鼎鑫113、东亿601、东亿602、东亿603等12艘船舶同时叠加享受新增运力和贷款贴息补贴，除千祥和谐外，其余船舶所属企业还享受到企业规模发展补贴，这一补贴中也重复补贴了这部分新增的船舶运力。</w:t>
      </w:r>
    </w:p>
    <w:p w14:paraId="024130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鼎盛、东亿、鼎鑫、鑫淼等四家企业所获得的补贴资金占比达90.29%，根据重复叠加的政策条款计算，2024年补贴指标在新增运力基础上，叠加在鼎盛、东亿、鼎鑫三家企业10艘船舶上的规模运力和贴息补贴为815.6279万元，占当年度实际补贴的12.85%。</w:t>
      </w:r>
    </w:p>
    <w:p w14:paraId="329DDB0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default" w:ascii="仿宋_GB2312" w:hAnsi="Times New Roman" w:eastAsia="仿宋_GB2312" w:cs="Times New Roman"/>
          <w:b/>
          <w:bCs/>
          <w:sz w:val="24"/>
          <w:szCs w:val="24"/>
          <w:lang w:val="en-US" w:eastAsia="zh-CN"/>
        </w:rPr>
      </w:pPr>
      <w:bookmarkStart w:id="68" w:name="_Toc19658"/>
      <w:r>
        <w:rPr>
          <w:rFonts w:hint="eastAsia" w:ascii="仿宋_GB2312" w:hAnsi="Times New Roman" w:eastAsia="仿宋_GB2312" w:cs="Times New Roman"/>
          <w:b/>
          <w:bCs/>
          <w:sz w:val="24"/>
          <w:szCs w:val="24"/>
        </w:rPr>
        <w:t>（</w:t>
      </w:r>
      <w:r>
        <w:rPr>
          <w:rFonts w:hint="eastAsia" w:ascii="仿宋_GB2312" w:hAnsi="Times New Roman" w:eastAsia="仿宋_GB2312" w:cs="Times New Roman"/>
          <w:b/>
          <w:bCs/>
          <w:sz w:val="24"/>
          <w:szCs w:val="24"/>
          <w:lang w:val="en-US" w:eastAsia="zh-CN"/>
        </w:rPr>
        <w:t>三</w:t>
      </w:r>
      <w:r>
        <w:rPr>
          <w:rFonts w:hint="eastAsia" w:ascii="仿宋_GB2312" w:hAnsi="Times New Roman" w:eastAsia="仿宋_GB2312" w:cs="Times New Roman"/>
          <w:b/>
          <w:bCs/>
          <w:sz w:val="24"/>
          <w:szCs w:val="24"/>
        </w:rPr>
        <w:t>）</w:t>
      </w:r>
      <w:r>
        <w:rPr>
          <w:rFonts w:hint="eastAsia" w:ascii="仿宋_GB2312" w:hAnsi="Times New Roman" w:eastAsia="仿宋_GB2312" w:cs="Times New Roman"/>
          <w:b/>
          <w:bCs/>
          <w:sz w:val="24"/>
          <w:szCs w:val="24"/>
          <w:lang w:val="en-US" w:eastAsia="zh-CN"/>
        </w:rPr>
        <w:t>政策条款缺少推进行业高质量发展的指向，增加就业和税收的效果不显著</w:t>
      </w:r>
      <w:bookmarkEnd w:id="68"/>
    </w:p>
    <w:p w14:paraId="10ACE5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sz w:val="24"/>
          <w:szCs w:val="24"/>
          <w:lang w:val="en-US" w:eastAsia="zh-CN"/>
        </w:rPr>
        <w:t>根据交水发〔2020〕18号文件精神，应大力推进海运业高质量发展，泉政文〔2021〕15号文件仍停留在提升运力规模，未体现对行业高质量发展的政策导向。尤其从石狮市水路运输业规模来看，目前已占船舶数量和运力占泉州总运力的35%左右，2024年全市水路运输企业有</w:t>
      </w:r>
      <w:r>
        <w:rPr>
          <w:rFonts w:hint="default" w:ascii="仿宋_GB2312" w:hAnsi="Times New Roman" w:eastAsia="仿宋_GB2312" w:cs="Times New Roman"/>
          <w:sz w:val="24"/>
          <w:szCs w:val="24"/>
          <w:lang w:val="en-US" w:eastAsia="zh-CN"/>
        </w:rPr>
        <w:t>41</w:t>
      </w:r>
      <w:r>
        <w:rPr>
          <w:rFonts w:hint="eastAsia" w:ascii="仿宋_GB2312" w:hAnsi="Times New Roman" w:eastAsia="仿宋_GB2312" w:cs="Times New Roman"/>
          <w:sz w:val="24"/>
          <w:szCs w:val="24"/>
          <w:lang w:val="en-US" w:eastAsia="zh-CN"/>
        </w:rPr>
        <w:t>家，水路运输船舶 110艘，运力231.26万载重吨，较2023年企业增加1家，但船舶数量和运力规模都有所减少，行业发展规模停滞的情况下，政策上未体现提升行业质量的奖补举措。</w:t>
      </w:r>
    </w:p>
    <w:p w14:paraId="7710C5E7">
      <w:pPr>
        <w:pStyle w:val="6"/>
        <w:numPr>
          <w:ilvl w:val="0"/>
          <w:numId w:val="0"/>
        </w:numPr>
        <w:tabs>
          <w:tab w:val="clear" w:pos="2040"/>
        </w:tabs>
        <w:spacing w:line="360" w:lineRule="auto"/>
        <w:ind w:left="0" w:leftChars="0"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kern w:val="2"/>
          <w:sz w:val="24"/>
          <w:szCs w:val="24"/>
          <w:lang w:val="en-US" w:eastAsia="zh-CN" w:bidi="ar-SA"/>
        </w:rPr>
        <w:t>从表7和表9的数据上看，2024年受补贴企业的雇员数量和税收额较上年均有所减少，一方面是由于市场大环境的影响，另一方面也说明补贴政策对于企业的激励作用不显著。</w:t>
      </w:r>
      <w:r>
        <w:rPr>
          <w:rFonts w:hint="eastAsia" w:ascii="仿宋_GB2312" w:hAnsi="Times New Roman" w:eastAsia="仿宋_GB2312" w:cs="Times New Roman"/>
          <w:sz w:val="24"/>
          <w:szCs w:val="24"/>
          <w:lang w:val="en-US" w:eastAsia="zh-CN"/>
        </w:rPr>
        <w:t>补贴资金占比达90.29%的鼎盛、东亿、鼎鑫、鑫淼等四家企业，2022-2024年税收贡献在12家受补贴企业中占比分别为58.21%、63.24%和78.63%（根据表9数据计算），显著低于企业在政策中的受益程度。</w:t>
      </w:r>
    </w:p>
    <w:p w14:paraId="10AFB03C">
      <w:pPr>
        <w:pStyle w:val="6"/>
        <w:numPr>
          <w:ilvl w:val="0"/>
          <w:numId w:val="0"/>
        </w:numPr>
        <w:tabs>
          <w:tab w:val="clear" w:pos="2040"/>
        </w:tabs>
        <w:spacing w:line="360" w:lineRule="auto"/>
        <w:ind w:left="0" w:leftChars="0" w:firstLine="480" w:firstLineChars="200"/>
        <w:rPr>
          <w:rFonts w:hint="default" w:ascii="仿宋_GB2312" w:hAnsi="Times New Roman" w:eastAsia="仿宋_GB2312" w:cs="Times New Roman"/>
          <w:sz w:val="24"/>
          <w:szCs w:val="24"/>
          <w:lang w:val="en-US" w:eastAsia="zh-CN"/>
        </w:rPr>
      </w:pPr>
    </w:p>
    <w:p w14:paraId="537293BD">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lang w:val="zh-CN" w:eastAsia="zh-CN"/>
        </w:rPr>
      </w:pPr>
      <w:bookmarkStart w:id="69" w:name="_Toc24504"/>
      <w:bookmarkStart w:id="70" w:name="_Toc31722"/>
      <w:bookmarkStart w:id="71" w:name="_Toc184981312"/>
      <w:bookmarkStart w:id="72" w:name="_Toc184981074"/>
      <w:r>
        <w:rPr>
          <w:rFonts w:hint="eastAsia" w:ascii="仿宋" w:hAnsi="仿宋" w:eastAsia="仿宋" w:cs="仿宋"/>
          <w:b/>
          <w:bCs/>
          <w:sz w:val="28"/>
          <w:szCs w:val="28"/>
          <w:lang w:val="zh-CN" w:eastAsia="zh-CN"/>
        </w:rPr>
        <w:t>六、有关建议</w:t>
      </w:r>
      <w:bookmarkEnd w:id="69"/>
      <w:bookmarkEnd w:id="70"/>
      <w:bookmarkEnd w:id="71"/>
      <w:bookmarkEnd w:id="72"/>
    </w:p>
    <w:p w14:paraId="740110A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_GB2312" w:hAnsi="Times New Roman" w:eastAsia="仿宋_GB2312" w:cs="Times New Roman"/>
          <w:b/>
          <w:bCs/>
          <w:sz w:val="24"/>
          <w:szCs w:val="24"/>
          <w:lang w:eastAsia="zh-CN"/>
        </w:rPr>
      </w:pPr>
      <w:bookmarkStart w:id="73" w:name="_Toc184981075"/>
      <w:bookmarkStart w:id="74" w:name="_Toc19117"/>
      <w:bookmarkStart w:id="75" w:name="_Toc184981313"/>
      <w:bookmarkStart w:id="76" w:name="_Toc23294"/>
      <w:r>
        <w:rPr>
          <w:rFonts w:hint="eastAsia" w:ascii="仿宋_GB2312" w:hAnsi="Times New Roman" w:eastAsia="仿宋_GB2312" w:cs="Times New Roman"/>
          <w:b/>
          <w:bCs/>
          <w:sz w:val="24"/>
          <w:szCs w:val="24"/>
        </w:rPr>
        <w:t>（一）</w:t>
      </w:r>
      <w:r>
        <w:rPr>
          <w:rFonts w:hint="eastAsia" w:ascii="仿宋_GB2312" w:hAnsi="Times New Roman" w:eastAsia="仿宋_GB2312" w:cs="Times New Roman"/>
          <w:b/>
          <w:bCs/>
          <w:sz w:val="24"/>
          <w:szCs w:val="24"/>
          <w:lang w:val="en-US" w:eastAsia="zh-CN"/>
        </w:rPr>
        <w:t>改进绩效目标表填报，完善</w:t>
      </w:r>
      <w:r>
        <w:rPr>
          <w:rFonts w:hint="eastAsia" w:ascii="仿宋_GB2312" w:hAnsi="Times New Roman" w:eastAsia="仿宋_GB2312" w:cs="Times New Roman"/>
          <w:b/>
          <w:bCs/>
          <w:sz w:val="24"/>
          <w:szCs w:val="24"/>
        </w:rPr>
        <w:t>绩效</w:t>
      </w:r>
      <w:r>
        <w:rPr>
          <w:rFonts w:hint="eastAsia" w:ascii="仿宋_GB2312" w:hAnsi="Times New Roman" w:eastAsia="仿宋_GB2312" w:cs="Times New Roman"/>
          <w:b/>
          <w:bCs/>
          <w:sz w:val="24"/>
          <w:szCs w:val="24"/>
          <w:lang w:val="en-US" w:eastAsia="zh-CN"/>
        </w:rPr>
        <w:t>指标和</w:t>
      </w:r>
      <w:r>
        <w:rPr>
          <w:rFonts w:hint="eastAsia" w:ascii="仿宋_GB2312" w:hAnsi="Times New Roman" w:eastAsia="仿宋_GB2312" w:cs="Times New Roman"/>
          <w:b/>
          <w:bCs/>
          <w:sz w:val="24"/>
          <w:szCs w:val="24"/>
        </w:rPr>
        <w:t>目标</w:t>
      </w:r>
      <w:bookmarkEnd w:id="73"/>
      <w:bookmarkEnd w:id="74"/>
      <w:bookmarkEnd w:id="75"/>
      <w:r>
        <w:rPr>
          <w:rFonts w:hint="eastAsia" w:ascii="仿宋_GB2312" w:hAnsi="Times New Roman" w:eastAsia="仿宋_GB2312" w:cs="Times New Roman"/>
          <w:b/>
          <w:bCs/>
          <w:sz w:val="24"/>
          <w:szCs w:val="24"/>
          <w:lang w:val="en-US" w:eastAsia="zh-CN"/>
        </w:rPr>
        <w:t>值</w:t>
      </w:r>
      <w:bookmarkEnd w:id="76"/>
    </w:p>
    <w:p w14:paraId="56075C1A">
      <w:pPr>
        <w:pStyle w:val="6"/>
        <w:numPr>
          <w:ilvl w:val="0"/>
          <w:numId w:val="0"/>
        </w:numPr>
        <w:tabs>
          <w:tab w:val="clear" w:pos="2040"/>
        </w:tabs>
        <w:spacing w:line="360" w:lineRule="auto"/>
        <w:ind w:left="0" w:leftChars="0" w:firstLine="480" w:firstLineChars="200"/>
        <w:rPr>
          <w:rFonts w:hint="default"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下一阶段应进一步完善项目绩效目标申报中的指标和目标值设计。目前项目绩效目标虽设置了可衡量的定量指标，但应将指标和目标值进行拆分，如</w:t>
      </w:r>
      <w:r>
        <w:rPr>
          <w:rFonts w:hint="eastAsia" w:ascii="仿宋_GB2312" w:hAnsi="Times New Roman" w:eastAsia="仿宋_GB2312" w:cs="Times New Roman"/>
          <w:sz w:val="24"/>
          <w:szCs w:val="24"/>
          <w:lang w:val="en-US" w:eastAsia="zh-CN"/>
        </w:rPr>
        <w:t>“新增船舶16艘”“税收1000万元”“增加就业200人”“大于等于90%”应分别修订为“新增船舶数量”“年度税收”“增加就业量”“企业满意度”，在目标值中才体现具体的数值，并且在指标解释部分应清晰描述目标值为定量还是增量，是否与前一年度进行对比等</w:t>
      </w:r>
      <w:r>
        <w:rPr>
          <w:rFonts w:hint="eastAsia" w:ascii="仿宋_GB2312" w:hAnsi="Times New Roman" w:eastAsia="仿宋_GB2312" w:cs="Times New Roman"/>
          <w:kern w:val="2"/>
          <w:sz w:val="24"/>
          <w:szCs w:val="24"/>
          <w:lang w:val="zh-CN" w:eastAsia="zh-CN" w:bidi="ar-SA"/>
        </w:rPr>
        <w:t>。</w:t>
      </w:r>
      <w:r>
        <w:rPr>
          <w:rFonts w:hint="eastAsia" w:ascii="仿宋_GB2312" w:hAnsi="Times New Roman" w:eastAsia="仿宋_GB2312" w:cs="Times New Roman"/>
          <w:kern w:val="2"/>
          <w:sz w:val="24"/>
          <w:szCs w:val="24"/>
          <w:lang w:val="en-US" w:eastAsia="zh-CN" w:bidi="ar-SA"/>
        </w:rPr>
        <w:t>应修正“成本目标”指标，如以预算数为目标，则设置为“补贴支出”。增加指标数量，覆盖项目政策补贴的三个方面，当前指标设置中只考虑了新增运力奖励，而对运力规模和贷款贴息未设置相应指标。</w:t>
      </w:r>
    </w:p>
    <w:p w14:paraId="3E7C8F6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default" w:ascii="仿宋_GB2312" w:hAnsi="Times New Roman" w:eastAsia="仿宋_GB2312" w:cs="Times New Roman"/>
          <w:b/>
          <w:bCs/>
          <w:sz w:val="24"/>
          <w:szCs w:val="24"/>
          <w:lang w:val="en-US" w:eastAsia="zh-CN"/>
        </w:rPr>
      </w:pPr>
      <w:bookmarkStart w:id="77" w:name="_Toc14072"/>
      <w:bookmarkStart w:id="78" w:name="_Toc184981076"/>
      <w:bookmarkStart w:id="79" w:name="_Toc184981314"/>
      <w:bookmarkStart w:id="80" w:name="_Toc18520"/>
      <w:r>
        <w:rPr>
          <w:rFonts w:hint="eastAsia" w:ascii="仿宋_GB2312" w:hAnsi="Times New Roman" w:eastAsia="仿宋_GB2312" w:cs="Times New Roman"/>
          <w:b/>
          <w:bCs/>
          <w:sz w:val="24"/>
          <w:szCs w:val="24"/>
        </w:rPr>
        <w:t>（二）</w:t>
      </w:r>
      <w:bookmarkEnd w:id="77"/>
      <w:bookmarkEnd w:id="78"/>
      <w:bookmarkEnd w:id="79"/>
      <w:r>
        <w:rPr>
          <w:rFonts w:hint="eastAsia" w:ascii="仿宋_GB2312" w:hAnsi="Times New Roman" w:eastAsia="仿宋_GB2312" w:cs="Times New Roman"/>
          <w:b/>
          <w:bCs/>
          <w:sz w:val="24"/>
          <w:szCs w:val="24"/>
          <w:lang w:val="en-US" w:eastAsia="zh-CN"/>
        </w:rPr>
        <w:t>修订政策中重叠补贴的条款，争取市县财政共同分担补贴</w:t>
      </w:r>
      <w:bookmarkEnd w:id="80"/>
    </w:p>
    <w:p w14:paraId="26CB9F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仿宋_GB2312" w:hAnsi="Times New Roman" w:eastAsia="仿宋_GB2312" w:cs="Times New Roman"/>
          <w:kern w:val="2"/>
          <w:sz w:val="24"/>
          <w:szCs w:val="24"/>
          <w:lang w:val="en-US" w:eastAsia="zh-CN" w:bidi="ar-SA"/>
        </w:rPr>
      </w:pPr>
      <w:bookmarkStart w:id="81" w:name="_Toc16136"/>
      <w:r>
        <w:rPr>
          <w:rFonts w:hint="eastAsia" w:ascii="仿宋_GB2312" w:hAnsi="Times New Roman" w:eastAsia="仿宋_GB2312" w:cs="Times New Roman"/>
          <w:kern w:val="2"/>
          <w:sz w:val="24"/>
          <w:szCs w:val="24"/>
          <w:lang w:val="en-US" w:eastAsia="zh-CN" w:bidi="ar-SA"/>
        </w:rPr>
        <w:t>政策重叠对地方财政造成较大支付压力。</w:t>
      </w:r>
      <w:bookmarkEnd w:id="81"/>
      <w:r>
        <w:rPr>
          <w:rFonts w:hint="eastAsia" w:ascii="仿宋_GB2312" w:hAnsi="Times New Roman" w:eastAsia="仿宋_GB2312" w:cs="Times New Roman"/>
          <w:kern w:val="2"/>
          <w:sz w:val="24"/>
          <w:szCs w:val="24"/>
          <w:lang w:val="en-US" w:eastAsia="zh-CN" w:bidi="ar-SA"/>
        </w:rPr>
        <w:t>其他地市如厦门市《关于加快推进水路运输业务发展的实施办法》（厦港规〔2020〕1号）中设置新增船舶运力直补奖励、新增船舶运力融资补助和提高船舶周转效率奖励，其中新增船舶运力只可选择“直补奖励”或“融资补助”中的一项，避免了政策重复补贴问题。因此，建议石狮市可向泉州市人民政府申请调整水路运输业相关补贴政策，减少重复性补贴，同时石狮市水路运输业在泉州市占比约为35%，行业发展对于泉州市整体均有较大的意义，市级财政更应倾向支持行业发展较好的地区，</w:t>
      </w:r>
      <w:r>
        <w:rPr>
          <w:rFonts w:hint="eastAsia" w:ascii="仿宋_GB2312" w:hAnsi="Times New Roman" w:eastAsia="仿宋_GB2312" w:cs="Times New Roman"/>
          <w:kern w:val="2"/>
          <w:sz w:val="24"/>
          <w:szCs w:val="24"/>
          <w:highlight w:val="none"/>
          <w:lang w:val="en-US" w:eastAsia="zh-CN" w:bidi="ar-SA"/>
        </w:rPr>
        <w:t>建议可由市县两级财政共同分担，减轻地方财政</w:t>
      </w:r>
      <w:r>
        <w:rPr>
          <w:rFonts w:hint="eastAsia" w:ascii="仿宋_GB2312" w:hAnsi="Times New Roman" w:eastAsia="仿宋_GB2312" w:cs="Times New Roman"/>
          <w:kern w:val="2"/>
          <w:sz w:val="24"/>
          <w:szCs w:val="24"/>
          <w:lang w:val="en-US" w:eastAsia="zh-CN" w:bidi="ar-SA"/>
        </w:rPr>
        <w:t>压力。</w:t>
      </w:r>
    </w:p>
    <w:p w14:paraId="214F6A2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default" w:ascii="仿宋_GB2312" w:hAnsi="Times New Roman" w:eastAsia="仿宋_GB2312" w:cs="Times New Roman"/>
          <w:b/>
          <w:bCs/>
          <w:sz w:val="24"/>
          <w:szCs w:val="24"/>
          <w:lang w:val="en-US"/>
        </w:rPr>
      </w:pPr>
      <w:bookmarkStart w:id="82" w:name="_Toc184981077"/>
      <w:bookmarkStart w:id="83" w:name="_Toc692"/>
      <w:bookmarkStart w:id="84" w:name="_Toc184981315"/>
      <w:bookmarkStart w:id="85" w:name="_Toc12472"/>
      <w:r>
        <w:rPr>
          <w:rFonts w:hint="eastAsia" w:ascii="仿宋_GB2312" w:hAnsi="Times New Roman" w:eastAsia="仿宋_GB2312" w:cs="Times New Roman"/>
          <w:b/>
          <w:bCs/>
          <w:sz w:val="24"/>
          <w:szCs w:val="24"/>
        </w:rPr>
        <w:t>（三）</w:t>
      </w:r>
      <w:bookmarkEnd w:id="82"/>
      <w:bookmarkEnd w:id="83"/>
      <w:bookmarkEnd w:id="84"/>
      <w:r>
        <w:rPr>
          <w:rFonts w:hint="eastAsia" w:ascii="仿宋_GB2312" w:hAnsi="Times New Roman" w:eastAsia="仿宋_GB2312" w:cs="Times New Roman"/>
          <w:b/>
          <w:bCs/>
          <w:sz w:val="24"/>
          <w:szCs w:val="24"/>
          <w:lang w:val="en-US" w:eastAsia="zh-CN"/>
        </w:rPr>
        <w:t>增加促进行业高质量发展的补贴条款，提升行业总体发展水平</w:t>
      </w:r>
      <w:bookmarkEnd w:id="85"/>
    </w:p>
    <w:p w14:paraId="4AFAFC9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20"/>
        <w:jc w:val="both"/>
        <w:textAlignment w:val="auto"/>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sz w:val="24"/>
          <w:szCs w:val="24"/>
          <w:lang w:val="en-US" w:eastAsia="zh-CN"/>
        </w:rPr>
        <w:t>泉政文〔2021〕15号文件的几项补贴条款均只涉及运力增加，对于其他有利于提高水路运输业高质量发展的指标没有形成有效的激励</w:t>
      </w:r>
      <w:r>
        <w:rPr>
          <w:rFonts w:hint="eastAsia" w:ascii="仿宋_GB2312" w:hAnsi="Times New Roman" w:eastAsia="仿宋_GB2312" w:cs="Times New Roman"/>
          <w:kern w:val="2"/>
          <w:sz w:val="24"/>
          <w:szCs w:val="24"/>
          <w:lang w:val="zh-CN" w:eastAsia="zh-CN" w:bidi="ar-SA"/>
        </w:rPr>
        <w:t>。</w:t>
      </w:r>
      <w:r>
        <w:rPr>
          <w:rFonts w:hint="eastAsia" w:ascii="仿宋_GB2312" w:hAnsi="Times New Roman" w:eastAsia="仿宋_GB2312" w:cs="Times New Roman"/>
          <w:kern w:val="2"/>
          <w:sz w:val="24"/>
          <w:szCs w:val="24"/>
          <w:lang w:val="en-US" w:eastAsia="zh-CN" w:bidi="ar-SA"/>
        </w:rPr>
        <w:t>建议可参考其他地市的政策条款，如厦门市设置“提高船舶周转效率奖励”（厦港规〔2020〕1号）对年度完成不同运输周转量的企业给予80万元或100万元不等的一次性奖励，福州市设置“</w:t>
      </w:r>
      <w:r>
        <w:rPr>
          <w:rFonts w:hint="default" w:ascii="仿宋_GB2312" w:hAnsi="Times New Roman" w:eastAsia="仿宋_GB2312" w:cs="Times New Roman"/>
          <w:kern w:val="2"/>
          <w:sz w:val="24"/>
          <w:szCs w:val="24"/>
          <w:lang w:val="en-US" w:eastAsia="zh-CN" w:bidi="ar-SA"/>
        </w:rPr>
        <w:t>安全管理奖励</w:t>
      </w:r>
      <w:r>
        <w:rPr>
          <w:rFonts w:hint="eastAsia" w:ascii="仿宋_GB2312" w:hAnsi="Times New Roman" w:eastAsia="仿宋_GB2312" w:cs="Times New Roman"/>
          <w:kern w:val="2"/>
          <w:sz w:val="24"/>
          <w:szCs w:val="24"/>
          <w:lang w:val="en-US" w:eastAsia="zh-CN" w:bidi="ar-SA"/>
        </w:rPr>
        <w:t>”（</w:t>
      </w:r>
      <w:r>
        <w:rPr>
          <w:rFonts w:hint="default" w:ascii="仿宋_GB2312" w:hAnsi="Times New Roman" w:eastAsia="仿宋_GB2312" w:cs="Times New Roman"/>
          <w:kern w:val="2"/>
          <w:sz w:val="24"/>
          <w:szCs w:val="24"/>
          <w:lang w:val="en-US" w:eastAsia="zh-CN" w:bidi="ar-SA"/>
        </w:rPr>
        <w:t>榕政办规</w:t>
      </w:r>
      <w:r>
        <w:rPr>
          <w:rFonts w:hint="eastAsia" w:ascii="仿宋_GB2312" w:hAnsi="Times New Roman" w:eastAsia="仿宋_GB2312" w:cs="Times New Roman"/>
          <w:kern w:val="2"/>
          <w:sz w:val="24"/>
          <w:szCs w:val="24"/>
          <w:lang w:val="en-US" w:eastAsia="zh-CN" w:bidi="ar-SA"/>
        </w:rPr>
        <w:t>〔2023〕</w:t>
      </w:r>
      <w:r>
        <w:rPr>
          <w:rFonts w:hint="default" w:ascii="仿宋_GB2312" w:hAnsi="Times New Roman" w:eastAsia="仿宋_GB2312" w:cs="Times New Roman"/>
          <w:kern w:val="2"/>
          <w:sz w:val="24"/>
          <w:szCs w:val="24"/>
          <w:lang w:val="en-US" w:eastAsia="zh-CN" w:bidi="ar-SA"/>
        </w:rPr>
        <w:t>23号</w:t>
      </w:r>
      <w:r>
        <w:rPr>
          <w:rFonts w:hint="eastAsia" w:ascii="仿宋_GB2312" w:hAnsi="Times New Roman" w:eastAsia="仿宋_GB2312" w:cs="Times New Roman"/>
          <w:kern w:val="2"/>
          <w:sz w:val="24"/>
          <w:szCs w:val="24"/>
          <w:lang w:val="en-US" w:eastAsia="zh-CN" w:bidi="ar-SA"/>
        </w:rPr>
        <w:t>）规定对于取得</w:t>
      </w:r>
      <w:r>
        <w:rPr>
          <w:rFonts w:hint="default" w:ascii="仿宋_GB2312" w:hAnsi="Times New Roman" w:eastAsia="仿宋_GB2312" w:cs="Times New Roman"/>
          <w:kern w:val="2"/>
          <w:sz w:val="24"/>
          <w:szCs w:val="24"/>
          <w:lang w:val="en-US" w:eastAsia="zh-CN" w:bidi="ar-SA"/>
        </w:rPr>
        <w:t>安全符合证明</w:t>
      </w:r>
      <w:r>
        <w:rPr>
          <w:rFonts w:hint="eastAsia" w:ascii="仿宋_GB2312" w:hAnsi="Times New Roman" w:eastAsia="仿宋_GB2312" w:cs="Times New Roman"/>
          <w:kern w:val="2"/>
          <w:sz w:val="24"/>
          <w:szCs w:val="24"/>
          <w:lang w:val="en-US" w:eastAsia="zh-CN" w:bidi="ar-SA"/>
        </w:rPr>
        <w:t>的水路运输企业或</w:t>
      </w:r>
      <w:r>
        <w:rPr>
          <w:rFonts w:hint="default" w:ascii="仿宋_GB2312" w:hAnsi="Times New Roman" w:eastAsia="仿宋_GB2312" w:cs="Times New Roman"/>
          <w:kern w:val="2"/>
          <w:sz w:val="24"/>
          <w:szCs w:val="24"/>
          <w:lang w:val="en-US" w:eastAsia="zh-CN" w:bidi="ar-SA"/>
        </w:rPr>
        <w:t>被交通运输部海事局评选为安全诚信航运公司</w:t>
      </w:r>
      <w:r>
        <w:rPr>
          <w:rFonts w:hint="eastAsia" w:ascii="仿宋_GB2312" w:hAnsi="Times New Roman" w:eastAsia="仿宋_GB2312" w:cs="Times New Roman"/>
          <w:kern w:val="2"/>
          <w:sz w:val="24"/>
          <w:szCs w:val="24"/>
          <w:lang w:val="en-US" w:eastAsia="zh-CN" w:bidi="ar-SA"/>
        </w:rPr>
        <w:t>进行奖励。船舶周转效率较运力更能直接反映水路运输企业产能效率，安全管理也是企业质量的主要考核指标之一，因此建议泉州市政策条款中应在减少重叠奖励的同时，增加对于提升企业乃至整体行业质量的奖补。此外，因目前政策条款制定了每家企业每项政策的补贴上限，可能存在关联企业为获取更多补贴而选择用不同企业新增船舶扩大规模的方式，政策制定中应充分考虑如何避免这些问题出现，也以此提升政策实施的效益。</w:t>
      </w:r>
    </w:p>
    <w:p w14:paraId="4AECB8CE">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20"/>
        <w:jc w:val="both"/>
        <w:textAlignment w:val="auto"/>
        <w:rPr>
          <w:rFonts w:hint="default" w:ascii="仿宋_GB2312" w:hAnsi="Times New Roman" w:eastAsia="仿宋_GB2312" w:cs="Times New Roman"/>
          <w:kern w:val="2"/>
          <w:sz w:val="24"/>
          <w:szCs w:val="24"/>
          <w:lang w:val="en-US" w:eastAsia="zh-CN" w:bidi="ar-SA"/>
        </w:rPr>
      </w:pPr>
    </w:p>
    <w:p w14:paraId="65C9545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lang w:val="zh-CN" w:eastAsia="zh-CN"/>
        </w:rPr>
      </w:pPr>
      <w:bookmarkStart w:id="86" w:name="_Toc184981081"/>
      <w:bookmarkStart w:id="87" w:name="_Toc13760"/>
      <w:bookmarkStart w:id="88" w:name="_Toc16876"/>
      <w:bookmarkStart w:id="89" w:name="_Toc184981319"/>
      <w:r>
        <w:rPr>
          <w:rFonts w:hint="eastAsia" w:ascii="仿宋" w:hAnsi="仿宋" w:eastAsia="仿宋" w:cs="仿宋"/>
          <w:b/>
          <w:bCs/>
          <w:sz w:val="28"/>
          <w:szCs w:val="28"/>
          <w:lang w:val="zh-CN" w:eastAsia="zh-CN"/>
        </w:rPr>
        <w:t>七、其他需要说明的问题</w:t>
      </w:r>
      <w:bookmarkEnd w:id="86"/>
      <w:bookmarkEnd w:id="87"/>
      <w:bookmarkEnd w:id="88"/>
      <w:bookmarkEnd w:id="89"/>
    </w:p>
    <w:p w14:paraId="3D90C9FD">
      <w:pPr>
        <w:pStyle w:val="6"/>
        <w:numPr>
          <w:ilvl w:val="0"/>
          <w:numId w:val="0"/>
        </w:numPr>
        <w:tabs>
          <w:tab w:val="clear" w:pos="2040"/>
        </w:tabs>
        <w:spacing w:line="360" w:lineRule="auto"/>
        <w:ind w:left="0" w:leftChars="0" w:firstLine="480" w:firstLineChars="200"/>
        <w:rPr>
          <w:rFonts w:hint="eastAsia" w:ascii="仿宋_GB2312" w:hAnsi="Times New Roman" w:eastAsia="仿宋_GB2312" w:cs="Times New Roman"/>
          <w:kern w:val="2"/>
          <w:sz w:val="24"/>
          <w:szCs w:val="24"/>
          <w:lang w:val="zh-CN" w:eastAsia="zh-CN" w:bidi="ar-SA"/>
        </w:rPr>
      </w:pPr>
      <w:r>
        <w:rPr>
          <w:rFonts w:hint="eastAsia" w:ascii="仿宋_GB2312" w:hAnsi="Times New Roman" w:eastAsia="仿宋_GB2312" w:cs="Times New Roman"/>
          <w:kern w:val="2"/>
          <w:sz w:val="24"/>
          <w:szCs w:val="24"/>
          <w:lang w:val="zh-CN" w:eastAsia="zh-CN" w:bidi="ar-SA"/>
        </w:rPr>
        <w:t>本绩效评价报告旨在对</w:t>
      </w:r>
      <w:r>
        <w:rPr>
          <w:rFonts w:hint="eastAsia" w:ascii="仿宋_GB2312" w:hAnsi="Times New Roman" w:eastAsia="仿宋_GB2312" w:cs="Times New Roman"/>
          <w:kern w:val="2"/>
          <w:sz w:val="24"/>
          <w:szCs w:val="24"/>
          <w:lang w:val="en-US" w:eastAsia="zh-CN" w:bidi="ar-SA"/>
        </w:rPr>
        <w:t>石狮市</w:t>
      </w:r>
      <w:r>
        <w:rPr>
          <w:rFonts w:hint="eastAsia" w:ascii="仿宋_GB2312" w:hAnsi="Times New Roman" w:eastAsia="仿宋_GB2312" w:cs="Times New Roman"/>
          <w:kern w:val="2"/>
          <w:sz w:val="24"/>
          <w:szCs w:val="24"/>
          <w:lang w:val="zh-CN" w:eastAsia="zh-CN" w:bidi="ar-SA"/>
        </w:rPr>
        <w:t>202</w:t>
      </w:r>
      <w:r>
        <w:rPr>
          <w:rFonts w:hint="eastAsia" w:ascii="仿宋_GB2312" w:hAnsi="Times New Roman" w:eastAsia="仿宋_GB2312" w:cs="Times New Roman"/>
          <w:kern w:val="2"/>
          <w:sz w:val="24"/>
          <w:szCs w:val="24"/>
          <w:lang w:val="en-US" w:eastAsia="zh-CN" w:bidi="ar-SA"/>
        </w:rPr>
        <w:t>4</w:t>
      </w:r>
      <w:r>
        <w:rPr>
          <w:rFonts w:hint="eastAsia" w:ascii="仿宋_GB2312" w:hAnsi="Times New Roman" w:eastAsia="仿宋_GB2312" w:cs="Times New Roman"/>
          <w:kern w:val="2"/>
          <w:sz w:val="24"/>
          <w:szCs w:val="24"/>
          <w:lang w:val="zh-CN" w:eastAsia="zh-CN" w:bidi="ar-SA"/>
        </w:rPr>
        <w:t>年度</w:t>
      </w:r>
      <w:r>
        <w:rPr>
          <w:rFonts w:hint="eastAsia" w:ascii="仿宋_GB2312" w:hAnsi="Times New Roman" w:eastAsia="仿宋_GB2312" w:cs="Times New Roman"/>
          <w:kern w:val="2"/>
          <w:sz w:val="24"/>
          <w:szCs w:val="24"/>
          <w:lang w:val="en-US" w:eastAsia="zh-CN" w:bidi="ar-SA"/>
        </w:rPr>
        <w:t>水路运输业相关补贴</w:t>
      </w:r>
      <w:r>
        <w:rPr>
          <w:rFonts w:hint="eastAsia" w:ascii="仿宋_GB2312" w:hAnsi="Times New Roman" w:eastAsia="仿宋_GB2312" w:cs="Times New Roman"/>
          <w:kern w:val="2"/>
          <w:sz w:val="24"/>
          <w:szCs w:val="24"/>
          <w:lang w:val="zh-CN" w:eastAsia="zh-CN" w:bidi="ar-SA"/>
        </w:rPr>
        <w:t>项目的实施效果进行综合评估，提供决策支持，为未来的项目管理和预算分配提供参考依据。报告中的数据和分析基于现有可获得的信息和文档，可能存在数据不全面的情况，这可能影响评价结果的准确性。鉴于数据来源和分析方法的局限，报告中的结论可能需要根据新的数据和情况适时调整。本报告供石狮市交通和港口发展局在项目规划、执行和监控过程中使用。建议使用者结合项目实际情况，参考报告中的评价结果和建议，制定相应的改进措施。</w:t>
      </w:r>
    </w:p>
    <w:p w14:paraId="43C64E36">
      <w:pPr>
        <w:pStyle w:val="6"/>
        <w:numPr>
          <w:ilvl w:val="0"/>
          <w:numId w:val="0"/>
        </w:numPr>
        <w:tabs>
          <w:tab w:val="clear" w:pos="2040"/>
        </w:tabs>
        <w:spacing w:line="360" w:lineRule="auto"/>
        <w:ind w:left="0" w:leftChars="0" w:firstLine="480" w:firstLineChars="200"/>
        <w:rPr>
          <w:rFonts w:hint="eastAsia" w:ascii="仿宋_GB2312" w:hAnsi="Times New Roman" w:eastAsia="仿宋_GB2312" w:cs="Times New Roman"/>
          <w:kern w:val="2"/>
          <w:sz w:val="24"/>
          <w:szCs w:val="24"/>
          <w:lang w:val="zh-CN" w:eastAsia="zh-CN" w:bidi="ar-SA"/>
        </w:rPr>
      </w:pPr>
    </w:p>
    <w:p w14:paraId="7C938054">
      <w:pPr>
        <w:pStyle w:val="6"/>
        <w:numPr>
          <w:ilvl w:val="0"/>
          <w:numId w:val="0"/>
        </w:numPr>
        <w:tabs>
          <w:tab w:val="clear" w:pos="2040"/>
        </w:tabs>
        <w:spacing w:line="360" w:lineRule="auto"/>
        <w:ind w:left="0" w:leftChars="0" w:firstLine="480" w:firstLineChars="200"/>
        <w:rPr>
          <w:rFonts w:hint="eastAsia" w:ascii="仿宋_GB2312" w:hAnsi="Times New Roman" w:eastAsia="仿宋_GB2312" w:cs="Times New Roman"/>
          <w:kern w:val="2"/>
          <w:sz w:val="24"/>
          <w:szCs w:val="24"/>
          <w:lang w:val="zh-CN" w:eastAsia="zh-CN" w:bidi="ar-SA"/>
        </w:rPr>
      </w:pPr>
    </w:p>
    <w:p w14:paraId="2CAE1A08">
      <w:pPr>
        <w:pStyle w:val="6"/>
        <w:numPr>
          <w:ilvl w:val="0"/>
          <w:numId w:val="0"/>
        </w:numPr>
        <w:tabs>
          <w:tab w:val="clear" w:pos="2040"/>
        </w:tabs>
        <w:spacing w:line="360" w:lineRule="auto"/>
        <w:ind w:left="0" w:leftChars="0" w:firstLine="480" w:firstLineChars="200"/>
        <w:rPr>
          <w:rFonts w:hint="eastAsia" w:ascii="仿宋_GB2312" w:hAnsi="Times New Roman" w:eastAsia="仿宋_GB2312" w:cs="Times New Roman"/>
          <w:kern w:val="2"/>
          <w:sz w:val="24"/>
          <w:szCs w:val="24"/>
          <w:lang w:val="zh-CN" w:eastAsia="zh-CN" w:bidi="ar-SA"/>
        </w:rPr>
      </w:pPr>
    </w:p>
    <w:p w14:paraId="4585D4EC">
      <w:pPr>
        <w:pStyle w:val="6"/>
        <w:numPr>
          <w:ilvl w:val="0"/>
          <w:numId w:val="0"/>
        </w:numPr>
        <w:tabs>
          <w:tab w:val="clear" w:pos="2040"/>
        </w:tabs>
        <w:spacing w:line="360" w:lineRule="auto"/>
        <w:ind w:left="0" w:leftChars="0" w:firstLine="480" w:firstLineChars="200"/>
        <w:rPr>
          <w:rFonts w:hint="eastAsia" w:ascii="仿宋_GB2312" w:hAnsi="Times New Roman" w:eastAsia="仿宋_GB2312" w:cs="Times New Roman"/>
          <w:kern w:val="2"/>
          <w:sz w:val="24"/>
          <w:szCs w:val="24"/>
          <w:lang w:val="zh-CN" w:eastAsia="zh-CN" w:bidi="ar-SA"/>
        </w:rPr>
      </w:pPr>
    </w:p>
    <w:p w14:paraId="439977A3">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宋体"/>
          <w:b/>
          <w:bCs/>
          <w:sz w:val="24"/>
        </w:rPr>
      </w:pPr>
      <w:r>
        <w:rPr>
          <w:rFonts w:hint="eastAsia" w:ascii="仿宋" w:hAnsi="仿宋" w:eastAsia="仿宋" w:cs="宋体"/>
          <w:b/>
          <w:bCs/>
          <w:sz w:val="24"/>
        </w:rPr>
        <w:t>集大财经咨询（福州）有限公司</w:t>
      </w:r>
      <w:r>
        <w:rPr>
          <w:rFonts w:hint="eastAsia" w:ascii="仿宋" w:hAnsi="仿宋" w:eastAsia="仿宋" w:cs="宋体"/>
          <w:b/>
          <w:bCs/>
          <w:sz w:val="24"/>
          <w:lang w:val="en-US" w:eastAsia="zh-CN"/>
        </w:rPr>
        <w:t xml:space="preserve">                   主评人签字：</w:t>
      </w:r>
    </w:p>
    <w:p w14:paraId="447BE851">
      <w:pPr>
        <w:keepNext w:val="0"/>
        <w:keepLines w:val="0"/>
        <w:pageBreakBefore w:val="0"/>
        <w:widowControl w:val="0"/>
        <w:kinsoku/>
        <w:wordWrap/>
        <w:overflowPunct/>
        <w:topLinePunct w:val="0"/>
        <w:autoSpaceDE/>
        <w:autoSpaceDN/>
        <w:bidi w:val="0"/>
        <w:adjustRightInd/>
        <w:snapToGrid/>
        <w:spacing w:line="240" w:lineRule="auto"/>
        <w:ind w:firstLine="1446" w:firstLineChars="600"/>
        <w:jc w:val="both"/>
        <w:textAlignment w:val="auto"/>
        <w:rPr>
          <w:rFonts w:hint="eastAsia" w:ascii="仿宋" w:hAnsi="仿宋" w:eastAsia="仿宋" w:cs="宋体"/>
          <w:b/>
          <w:bCs/>
          <w:sz w:val="24"/>
        </w:rPr>
      </w:pPr>
      <w:r>
        <w:rPr>
          <w:rFonts w:hint="eastAsia" w:ascii="仿宋" w:hAnsi="仿宋" w:eastAsia="仿宋" w:cs="宋体"/>
          <w:b/>
          <w:bCs/>
          <w:sz w:val="24"/>
          <w:lang w:val="en-US" w:eastAsia="zh-CN"/>
        </w:rPr>
        <w:t xml:space="preserve">中国 </w:t>
      </w:r>
      <w:r>
        <w:rPr>
          <w:rFonts w:hint="eastAsia" w:ascii="微软雅黑" w:hAnsi="微软雅黑" w:eastAsia="微软雅黑" w:cs="微软雅黑"/>
          <w:b/>
          <w:bCs/>
          <w:sz w:val="24"/>
          <w:lang w:val="en-US" w:eastAsia="zh-CN"/>
        </w:rPr>
        <w:t>•</w:t>
      </w:r>
      <w:r>
        <w:rPr>
          <w:rFonts w:hint="eastAsia" w:ascii="仿宋" w:hAnsi="仿宋" w:eastAsia="仿宋" w:cs="宋体"/>
          <w:b/>
          <w:bCs/>
          <w:sz w:val="24"/>
          <w:lang w:val="en-US" w:eastAsia="zh-CN"/>
        </w:rPr>
        <w:t xml:space="preserve"> 福州                  </w:t>
      </w:r>
    </w:p>
    <w:p w14:paraId="4DF7A447">
      <w:pPr>
        <w:keepNext w:val="0"/>
        <w:keepLines w:val="0"/>
        <w:pageBreakBefore w:val="0"/>
        <w:widowControl w:val="0"/>
        <w:kinsoku/>
        <w:wordWrap/>
        <w:overflowPunct/>
        <w:topLinePunct w:val="0"/>
        <w:autoSpaceDE/>
        <w:autoSpaceDN/>
        <w:bidi w:val="0"/>
        <w:adjustRightInd/>
        <w:snapToGrid/>
        <w:spacing w:line="240" w:lineRule="auto"/>
        <w:ind w:firstLine="1446" w:firstLineChars="600"/>
        <w:jc w:val="right"/>
        <w:textAlignment w:val="auto"/>
        <w:rPr>
          <w:rFonts w:hint="eastAsia" w:ascii="仿宋" w:hAnsi="仿宋" w:eastAsia="仿宋" w:cs="宋体"/>
          <w:b/>
          <w:bCs/>
          <w:sz w:val="24"/>
        </w:rPr>
      </w:pPr>
      <w:r>
        <w:rPr>
          <w:rFonts w:hint="eastAsia" w:ascii="仿宋" w:hAnsi="仿宋" w:eastAsia="仿宋" w:cs="宋体"/>
          <w:b/>
          <w:bCs/>
          <w:color w:val="FF0000"/>
          <w:sz w:val="24"/>
          <w:lang w:val="en-US" w:eastAsia="zh-CN"/>
        </w:rPr>
        <w:t xml:space="preserve"> </w:t>
      </w:r>
      <w:r>
        <w:rPr>
          <w:rFonts w:hint="eastAsia" w:ascii="仿宋" w:hAnsi="仿宋" w:eastAsia="仿宋" w:cs="宋体"/>
          <w:b/>
          <w:bCs/>
          <w:color w:val="000000" w:themeColor="text1"/>
          <w:sz w:val="24"/>
          <w:lang w:val="en-US" w:eastAsia="zh-CN"/>
          <w14:textFill>
            <w14:solidFill>
              <w14:schemeClr w14:val="tx1"/>
            </w14:solidFill>
          </w14:textFill>
        </w:rPr>
        <w:t>二零二五</w:t>
      </w:r>
      <w:r>
        <w:rPr>
          <w:rFonts w:hint="eastAsia" w:ascii="仿宋" w:hAnsi="仿宋" w:eastAsia="仿宋" w:cs="宋体"/>
          <w:b/>
          <w:bCs/>
          <w:color w:val="000000" w:themeColor="text1"/>
          <w:sz w:val="24"/>
          <w14:textFill>
            <w14:solidFill>
              <w14:schemeClr w14:val="tx1"/>
            </w14:solidFill>
          </w14:textFill>
        </w:rPr>
        <w:t>年</w:t>
      </w:r>
      <w:r>
        <w:rPr>
          <w:rFonts w:hint="eastAsia" w:ascii="仿宋" w:hAnsi="仿宋" w:eastAsia="仿宋" w:cs="宋体"/>
          <w:b/>
          <w:bCs/>
          <w:color w:val="000000" w:themeColor="text1"/>
          <w:sz w:val="24"/>
          <w:lang w:val="en-US" w:eastAsia="zh-CN"/>
          <w14:textFill>
            <w14:solidFill>
              <w14:schemeClr w14:val="tx1"/>
            </w14:solidFill>
          </w14:textFill>
        </w:rPr>
        <w:t xml:space="preserve">  </w:t>
      </w:r>
      <w:r>
        <w:rPr>
          <w:rFonts w:hint="eastAsia" w:ascii="仿宋" w:hAnsi="仿宋" w:eastAsia="仿宋" w:cs="宋体"/>
          <w:b/>
          <w:bCs/>
          <w:color w:val="000000" w:themeColor="text1"/>
          <w:sz w:val="24"/>
          <w14:textFill>
            <w14:solidFill>
              <w14:schemeClr w14:val="tx1"/>
            </w14:solidFill>
          </w14:textFill>
        </w:rPr>
        <w:t>月</w:t>
      </w:r>
      <w:r>
        <w:rPr>
          <w:rFonts w:hint="eastAsia" w:ascii="仿宋" w:hAnsi="仿宋" w:eastAsia="仿宋" w:cs="宋体"/>
          <w:b/>
          <w:bCs/>
          <w:color w:val="000000" w:themeColor="text1"/>
          <w:sz w:val="24"/>
          <w:lang w:val="en-US" w:eastAsia="zh-CN"/>
          <w14:textFill>
            <w14:solidFill>
              <w14:schemeClr w14:val="tx1"/>
            </w14:solidFill>
          </w14:textFill>
        </w:rPr>
        <w:t xml:space="preserve">  </w:t>
      </w:r>
      <w:r>
        <w:rPr>
          <w:rFonts w:hint="eastAsia" w:ascii="仿宋" w:hAnsi="仿宋" w:eastAsia="仿宋" w:cs="宋体"/>
          <w:b/>
          <w:bCs/>
          <w:color w:val="000000" w:themeColor="text1"/>
          <w:sz w:val="24"/>
          <w14:textFill>
            <w14:solidFill>
              <w14:schemeClr w14:val="tx1"/>
            </w14:solidFill>
          </w14:textFill>
        </w:rPr>
        <w:t>日</w:t>
      </w:r>
    </w:p>
    <w:p w14:paraId="44FBAEEC">
      <w:pPr>
        <w:rPr>
          <w:rFonts w:hint="eastAsia" w:ascii="仿宋_GB2312" w:hAnsi="Times New Roman" w:eastAsia="仿宋_GB2312" w:cs="Times New Roman"/>
          <w:kern w:val="2"/>
          <w:sz w:val="24"/>
          <w:szCs w:val="24"/>
          <w:lang w:val="zh-CN" w:eastAsia="zh-CN" w:bidi="ar-SA"/>
        </w:rPr>
      </w:pPr>
      <w:r>
        <w:rPr>
          <w:rFonts w:hint="eastAsia" w:ascii="仿宋_GB2312" w:hAnsi="Times New Roman" w:eastAsia="仿宋_GB2312" w:cs="Times New Roman"/>
          <w:kern w:val="2"/>
          <w:sz w:val="24"/>
          <w:szCs w:val="24"/>
          <w:lang w:val="zh-CN" w:eastAsia="zh-CN" w:bidi="ar-SA"/>
        </w:rPr>
        <w:br w:type="page"/>
      </w:r>
    </w:p>
    <w:p w14:paraId="78E174A9">
      <w:pPr>
        <w:keepNext w:val="0"/>
        <w:keepLines w:val="0"/>
        <w:pageBreakBefore w:val="0"/>
        <w:widowControl w:val="0"/>
        <w:kinsoku/>
        <w:wordWrap/>
        <w:overflowPunct/>
        <w:topLinePunct w:val="0"/>
        <w:autoSpaceDE/>
        <w:autoSpaceDN/>
        <w:bidi w:val="0"/>
        <w:adjustRightInd/>
        <w:snapToGrid/>
        <w:spacing w:line="360" w:lineRule="auto"/>
        <w:ind w:firstLine="281" w:firstLineChars="100"/>
        <w:jc w:val="center"/>
        <w:textAlignment w:val="auto"/>
        <w:outlineLvl w:val="0"/>
        <w:rPr>
          <w:rFonts w:hint="eastAsia" w:ascii="仿宋" w:hAnsi="仿宋" w:eastAsia="仿宋" w:cs="仿宋"/>
          <w:b/>
          <w:bCs/>
          <w:sz w:val="28"/>
          <w:szCs w:val="28"/>
          <w:lang w:val="zh-CN" w:eastAsia="zh-CN"/>
        </w:rPr>
      </w:pPr>
      <w:bookmarkStart w:id="90" w:name="_Toc15180"/>
      <w:bookmarkStart w:id="91" w:name="_Toc15838"/>
      <w:bookmarkStart w:id="92" w:name="_Toc184981082"/>
      <w:bookmarkStart w:id="93" w:name="_Toc184981320"/>
      <w:bookmarkStart w:id="94" w:name="_Toc17139"/>
      <w:r>
        <w:rPr>
          <w:rFonts w:hint="eastAsia" w:ascii="仿宋" w:hAnsi="仿宋" w:eastAsia="仿宋" w:cs="仿宋"/>
          <w:b/>
          <w:bCs/>
          <w:sz w:val="28"/>
          <w:szCs w:val="28"/>
          <w:lang w:val="zh-CN" w:eastAsia="zh-CN"/>
        </w:rPr>
        <w:t>附表</w:t>
      </w:r>
      <w:r>
        <w:rPr>
          <w:rFonts w:hint="eastAsia" w:ascii="仿宋" w:hAnsi="仿宋" w:eastAsia="仿宋" w:cs="仿宋"/>
          <w:b/>
          <w:bCs/>
          <w:sz w:val="28"/>
          <w:szCs w:val="28"/>
          <w:lang w:val="en-US" w:eastAsia="zh-CN"/>
        </w:rPr>
        <w:t xml:space="preserve">1  </w:t>
      </w:r>
      <w:r>
        <w:rPr>
          <w:rFonts w:hint="eastAsia" w:ascii="仿宋" w:hAnsi="仿宋" w:eastAsia="仿宋" w:cs="仿宋"/>
          <w:b/>
          <w:bCs/>
          <w:sz w:val="28"/>
          <w:szCs w:val="28"/>
          <w:lang w:val="zh-CN" w:eastAsia="zh-CN"/>
        </w:rPr>
        <w:t>石狮市</w:t>
      </w:r>
      <w:r>
        <w:rPr>
          <w:rFonts w:hint="eastAsia" w:ascii="仿宋" w:hAnsi="仿宋" w:eastAsia="仿宋" w:cs="仿宋"/>
          <w:b/>
          <w:bCs/>
          <w:sz w:val="28"/>
          <w:szCs w:val="28"/>
          <w:lang w:val="en-US" w:eastAsia="zh-CN"/>
        </w:rPr>
        <w:t>水路运输业相关补贴项目</w:t>
      </w:r>
      <w:r>
        <w:rPr>
          <w:rFonts w:hint="eastAsia" w:ascii="仿宋" w:hAnsi="仿宋" w:eastAsia="仿宋" w:cs="仿宋"/>
          <w:b/>
          <w:bCs/>
          <w:sz w:val="28"/>
          <w:szCs w:val="28"/>
          <w:lang w:val="zh-CN" w:eastAsia="zh-CN"/>
        </w:rPr>
        <w:t>支出评价指标表</w:t>
      </w:r>
      <w:bookmarkEnd w:id="90"/>
      <w:bookmarkEnd w:id="91"/>
      <w:bookmarkEnd w:id="92"/>
      <w:bookmarkEnd w:id="93"/>
      <w:bookmarkEnd w:id="94"/>
    </w:p>
    <w:p w14:paraId="72095217">
      <w:pPr>
        <w:pStyle w:val="6"/>
        <w:numPr>
          <w:ilvl w:val="0"/>
          <w:numId w:val="0"/>
        </w:numPr>
        <w:tabs>
          <w:tab w:val="clear" w:pos="2040"/>
        </w:tabs>
        <w:ind w:left="1680" w:leftChars="0"/>
      </w:pPr>
    </w:p>
    <w:tbl>
      <w:tblPr>
        <w:tblStyle w:val="15"/>
        <w:tblW w:w="8646"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
        <w:gridCol w:w="825"/>
        <w:gridCol w:w="1433"/>
        <w:gridCol w:w="2"/>
        <w:gridCol w:w="1598"/>
        <w:gridCol w:w="2"/>
        <w:gridCol w:w="4784"/>
      </w:tblGrid>
      <w:tr w14:paraId="6A10F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trPr>
        <w:tc>
          <w:tcPr>
            <w:tcW w:w="3860" w:type="dxa"/>
            <w:gridSpan w:val="5"/>
            <w:tcBorders>
              <w:tl2br w:val="nil"/>
              <w:tr2bl w:val="nil"/>
            </w:tcBorders>
            <w:shd w:val="clear" w:color="auto" w:fill="auto"/>
            <w:noWrap/>
            <w:vAlign w:val="center"/>
          </w:tcPr>
          <w:p w14:paraId="14622CD7">
            <w:pPr>
              <w:widowControl/>
              <w:jc w:val="center"/>
              <w:rPr>
                <w:rFonts w:ascii="仿宋" w:hAnsi="仿宋" w:eastAsia="仿宋"/>
                <w:b/>
                <w:bCs/>
                <w:color w:val="000000"/>
                <w:sz w:val="24"/>
                <w:szCs w:val="24"/>
              </w:rPr>
            </w:pPr>
            <w:r>
              <w:rPr>
                <w:rFonts w:hint="eastAsia" w:ascii="仿宋" w:hAnsi="仿宋" w:eastAsia="仿宋"/>
                <w:b/>
                <w:bCs/>
                <w:color w:val="000000"/>
                <w:sz w:val="24"/>
                <w:szCs w:val="24"/>
              </w:rPr>
              <w:t>评价指标</w:t>
            </w:r>
          </w:p>
        </w:tc>
        <w:tc>
          <w:tcPr>
            <w:tcW w:w="4786" w:type="dxa"/>
            <w:gridSpan w:val="2"/>
            <w:vMerge w:val="restart"/>
            <w:tcBorders>
              <w:tl2br w:val="nil"/>
              <w:tr2bl w:val="nil"/>
            </w:tcBorders>
            <w:shd w:val="clear" w:color="auto" w:fill="auto"/>
            <w:noWrap/>
            <w:vAlign w:val="center"/>
          </w:tcPr>
          <w:p w14:paraId="6D89FAF5">
            <w:pPr>
              <w:widowControl/>
              <w:jc w:val="center"/>
              <w:rPr>
                <w:rFonts w:ascii="仿宋" w:hAnsi="仿宋" w:eastAsia="仿宋"/>
                <w:b/>
                <w:bCs/>
                <w:color w:val="000000"/>
                <w:sz w:val="21"/>
                <w:szCs w:val="21"/>
              </w:rPr>
            </w:pPr>
            <w:r>
              <w:rPr>
                <w:rFonts w:hint="eastAsia" w:ascii="仿宋" w:hAnsi="仿宋" w:eastAsia="仿宋"/>
                <w:b/>
                <w:bCs/>
                <w:color w:val="000000"/>
                <w:sz w:val="24"/>
                <w:szCs w:val="24"/>
              </w:rPr>
              <w:t>评分标准</w:t>
            </w:r>
          </w:p>
        </w:tc>
      </w:tr>
      <w:tr w14:paraId="050A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trPr>
        <w:tc>
          <w:tcPr>
            <w:tcW w:w="827" w:type="dxa"/>
            <w:gridSpan w:val="2"/>
            <w:tcBorders>
              <w:tl2br w:val="nil"/>
              <w:tr2bl w:val="nil"/>
            </w:tcBorders>
            <w:shd w:val="clear" w:color="auto" w:fill="auto"/>
            <w:noWrap/>
            <w:vAlign w:val="center"/>
          </w:tcPr>
          <w:p w14:paraId="06F1E9C8">
            <w:pPr>
              <w:widowControl/>
              <w:jc w:val="center"/>
              <w:rPr>
                <w:rFonts w:ascii="仿宋" w:hAnsi="仿宋" w:eastAsia="仿宋"/>
                <w:b/>
                <w:bCs/>
                <w:color w:val="000000"/>
                <w:sz w:val="24"/>
                <w:szCs w:val="24"/>
              </w:rPr>
            </w:pPr>
            <w:r>
              <w:rPr>
                <w:rFonts w:hint="eastAsia" w:ascii="仿宋" w:hAnsi="仿宋" w:eastAsia="仿宋"/>
                <w:b/>
                <w:bCs/>
                <w:color w:val="000000"/>
                <w:sz w:val="24"/>
                <w:szCs w:val="24"/>
              </w:rPr>
              <w:t>一级指标</w:t>
            </w:r>
          </w:p>
        </w:tc>
        <w:tc>
          <w:tcPr>
            <w:tcW w:w="1433" w:type="dxa"/>
            <w:tcBorders>
              <w:tl2br w:val="nil"/>
              <w:tr2bl w:val="nil"/>
            </w:tcBorders>
            <w:shd w:val="clear" w:color="auto" w:fill="auto"/>
            <w:noWrap/>
            <w:vAlign w:val="center"/>
          </w:tcPr>
          <w:p w14:paraId="62D7C63D">
            <w:pPr>
              <w:widowControl/>
              <w:jc w:val="center"/>
              <w:rPr>
                <w:rFonts w:ascii="仿宋" w:hAnsi="仿宋" w:eastAsia="仿宋"/>
                <w:b/>
                <w:bCs/>
                <w:color w:val="000000"/>
                <w:sz w:val="24"/>
                <w:szCs w:val="24"/>
              </w:rPr>
            </w:pPr>
            <w:r>
              <w:rPr>
                <w:rFonts w:hint="eastAsia" w:ascii="仿宋" w:hAnsi="仿宋" w:eastAsia="仿宋"/>
                <w:b/>
                <w:bCs/>
                <w:color w:val="000000"/>
                <w:sz w:val="24"/>
                <w:szCs w:val="24"/>
              </w:rPr>
              <w:t>二级指标</w:t>
            </w:r>
          </w:p>
        </w:tc>
        <w:tc>
          <w:tcPr>
            <w:tcW w:w="1600" w:type="dxa"/>
            <w:gridSpan w:val="2"/>
            <w:tcBorders>
              <w:tl2br w:val="nil"/>
              <w:tr2bl w:val="nil"/>
            </w:tcBorders>
            <w:shd w:val="clear" w:color="auto" w:fill="auto"/>
            <w:noWrap/>
            <w:vAlign w:val="center"/>
          </w:tcPr>
          <w:p w14:paraId="3F752DCE">
            <w:pPr>
              <w:widowControl/>
              <w:jc w:val="center"/>
              <w:rPr>
                <w:rFonts w:ascii="仿宋" w:hAnsi="仿宋" w:eastAsia="仿宋"/>
                <w:b/>
                <w:bCs/>
                <w:color w:val="000000"/>
                <w:sz w:val="24"/>
                <w:szCs w:val="24"/>
              </w:rPr>
            </w:pPr>
            <w:r>
              <w:rPr>
                <w:rFonts w:hint="eastAsia" w:ascii="仿宋" w:hAnsi="仿宋" w:eastAsia="仿宋"/>
                <w:b/>
                <w:bCs/>
                <w:color w:val="000000"/>
                <w:sz w:val="24"/>
                <w:szCs w:val="24"/>
              </w:rPr>
              <w:t>三级指标</w:t>
            </w:r>
          </w:p>
        </w:tc>
        <w:tc>
          <w:tcPr>
            <w:tcW w:w="4786" w:type="dxa"/>
            <w:gridSpan w:val="2"/>
            <w:vMerge w:val="continue"/>
            <w:tcBorders>
              <w:tl2br w:val="nil"/>
              <w:tr2bl w:val="nil"/>
            </w:tcBorders>
            <w:vAlign w:val="center"/>
          </w:tcPr>
          <w:p w14:paraId="3860A052">
            <w:pPr>
              <w:widowControl/>
              <w:jc w:val="left"/>
              <w:rPr>
                <w:rFonts w:ascii="仿宋" w:hAnsi="仿宋" w:eastAsia="仿宋"/>
                <w:b/>
                <w:bCs/>
                <w:color w:val="000000"/>
                <w:sz w:val="21"/>
                <w:szCs w:val="21"/>
              </w:rPr>
            </w:pPr>
          </w:p>
        </w:tc>
      </w:tr>
      <w:tr w14:paraId="4F88E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1" w:hRule="atLeast"/>
        </w:trPr>
        <w:tc>
          <w:tcPr>
            <w:tcW w:w="827" w:type="dxa"/>
            <w:gridSpan w:val="2"/>
            <w:vMerge w:val="restart"/>
            <w:tcBorders>
              <w:tl2br w:val="nil"/>
              <w:tr2bl w:val="nil"/>
            </w:tcBorders>
            <w:shd w:val="clear" w:color="auto" w:fill="auto"/>
            <w:vAlign w:val="center"/>
          </w:tcPr>
          <w:p w14:paraId="3646FE0A">
            <w:pPr>
              <w:widowControl/>
              <w:jc w:val="center"/>
              <w:rPr>
                <w:rFonts w:ascii="仿宋" w:hAnsi="仿宋" w:eastAsia="仿宋"/>
                <w:color w:val="000000"/>
                <w:sz w:val="24"/>
                <w:szCs w:val="24"/>
              </w:rPr>
            </w:pPr>
            <w:r>
              <w:rPr>
                <w:rFonts w:hint="eastAsia" w:ascii="仿宋" w:hAnsi="仿宋" w:eastAsia="仿宋"/>
                <w:color w:val="000000"/>
                <w:sz w:val="24"/>
                <w:szCs w:val="24"/>
              </w:rPr>
              <w:t>决策</w:t>
            </w:r>
            <w:r>
              <w:rPr>
                <w:rFonts w:hint="eastAsia" w:ascii="仿宋" w:hAnsi="仿宋" w:eastAsia="仿宋"/>
                <w:color w:val="000000"/>
                <w:sz w:val="24"/>
                <w:szCs w:val="24"/>
              </w:rPr>
              <w:br w:type="textWrapping"/>
            </w:r>
            <w:r>
              <w:rPr>
                <w:rFonts w:hint="eastAsia" w:ascii="仿宋" w:hAnsi="仿宋" w:eastAsia="仿宋"/>
                <w:color w:val="000000"/>
                <w:sz w:val="24"/>
                <w:szCs w:val="24"/>
              </w:rPr>
              <w:t>（</w:t>
            </w:r>
            <w:r>
              <w:rPr>
                <w:rFonts w:hint="eastAsia" w:ascii="仿宋" w:hAnsi="仿宋" w:eastAsia="仿宋"/>
                <w:color w:val="000000"/>
                <w:sz w:val="24"/>
                <w:szCs w:val="24"/>
                <w:lang w:val="en-US" w:eastAsia="zh-CN"/>
              </w:rPr>
              <w:t>20</w:t>
            </w:r>
            <w:r>
              <w:rPr>
                <w:rFonts w:hint="eastAsia" w:ascii="仿宋" w:hAnsi="仿宋" w:eastAsia="仿宋"/>
                <w:color w:val="000000"/>
                <w:sz w:val="24"/>
                <w:szCs w:val="24"/>
              </w:rPr>
              <w:t>分）</w:t>
            </w:r>
          </w:p>
        </w:tc>
        <w:tc>
          <w:tcPr>
            <w:tcW w:w="1433" w:type="dxa"/>
            <w:vMerge w:val="restart"/>
            <w:tcBorders>
              <w:tl2br w:val="nil"/>
              <w:tr2bl w:val="nil"/>
            </w:tcBorders>
            <w:shd w:val="clear" w:color="auto" w:fill="auto"/>
            <w:vAlign w:val="center"/>
          </w:tcPr>
          <w:p w14:paraId="5C213AF5">
            <w:pPr>
              <w:widowControl/>
              <w:jc w:val="center"/>
              <w:rPr>
                <w:rFonts w:ascii="仿宋" w:hAnsi="仿宋" w:eastAsia="仿宋"/>
                <w:color w:val="000000"/>
                <w:sz w:val="24"/>
                <w:szCs w:val="24"/>
              </w:rPr>
            </w:pPr>
            <w:r>
              <w:rPr>
                <w:rFonts w:hint="eastAsia" w:ascii="仿宋" w:hAnsi="仿宋" w:eastAsia="仿宋"/>
                <w:color w:val="000000"/>
                <w:sz w:val="24"/>
                <w:szCs w:val="24"/>
              </w:rPr>
              <w:t>项目立项</w:t>
            </w:r>
            <w:r>
              <w:rPr>
                <w:rFonts w:hint="eastAsia" w:ascii="仿宋" w:hAnsi="仿宋" w:eastAsia="仿宋"/>
                <w:color w:val="000000"/>
                <w:sz w:val="24"/>
                <w:szCs w:val="24"/>
              </w:rPr>
              <w:br w:type="textWrapping"/>
            </w:r>
            <w:r>
              <w:rPr>
                <w:rFonts w:hint="eastAsia" w:ascii="仿宋" w:hAnsi="仿宋" w:eastAsia="仿宋"/>
                <w:color w:val="000000"/>
                <w:sz w:val="24"/>
                <w:szCs w:val="24"/>
              </w:rPr>
              <w:t>（</w:t>
            </w:r>
            <w:r>
              <w:rPr>
                <w:rFonts w:hint="eastAsia" w:ascii="仿宋" w:hAnsi="仿宋" w:eastAsia="仿宋"/>
                <w:color w:val="000000"/>
                <w:sz w:val="24"/>
                <w:szCs w:val="24"/>
                <w:lang w:val="en-US" w:eastAsia="zh-CN"/>
              </w:rPr>
              <w:t>8</w:t>
            </w:r>
            <w:r>
              <w:rPr>
                <w:rFonts w:hint="eastAsia" w:ascii="仿宋" w:hAnsi="仿宋" w:eastAsia="仿宋"/>
                <w:color w:val="000000"/>
                <w:sz w:val="24"/>
                <w:szCs w:val="24"/>
              </w:rPr>
              <w:t>分）</w:t>
            </w:r>
          </w:p>
        </w:tc>
        <w:tc>
          <w:tcPr>
            <w:tcW w:w="1600" w:type="dxa"/>
            <w:gridSpan w:val="2"/>
            <w:tcBorders>
              <w:tl2br w:val="nil"/>
              <w:tr2bl w:val="nil"/>
            </w:tcBorders>
            <w:shd w:val="clear" w:color="auto" w:fill="auto"/>
            <w:vAlign w:val="center"/>
          </w:tcPr>
          <w:p w14:paraId="32C81F27">
            <w:pPr>
              <w:widowControl/>
              <w:jc w:val="center"/>
              <w:rPr>
                <w:rFonts w:ascii="仿宋" w:hAnsi="仿宋" w:eastAsia="仿宋"/>
                <w:color w:val="000000"/>
                <w:sz w:val="24"/>
                <w:szCs w:val="24"/>
              </w:rPr>
            </w:pPr>
            <w:r>
              <w:rPr>
                <w:rFonts w:hint="eastAsia" w:ascii="仿宋" w:hAnsi="仿宋" w:eastAsia="仿宋"/>
                <w:color w:val="000000"/>
                <w:sz w:val="24"/>
                <w:szCs w:val="24"/>
              </w:rPr>
              <w:t>立项依据充分性</w:t>
            </w:r>
            <w:r>
              <w:rPr>
                <w:rFonts w:hint="eastAsia" w:ascii="仿宋" w:hAnsi="仿宋" w:eastAsia="仿宋"/>
                <w:color w:val="000000"/>
                <w:sz w:val="24"/>
                <w:szCs w:val="24"/>
              </w:rPr>
              <w:br w:type="textWrapping"/>
            </w:r>
            <w:r>
              <w:rPr>
                <w:rFonts w:hint="eastAsia" w:ascii="仿宋" w:hAnsi="仿宋" w:eastAsia="仿宋"/>
                <w:color w:val="000000"/>
                <w:sz w:val="24"/>
                <w:szCs w:val="24"/>
              </w:rPr>
              <w:t>（</w:t>
            </w:r>
            <w:r>
              <w:rPr>
                <w:rFonts w:hint="eastAsia" w:ascii="仿宋" w:hAnsi="仿宋" w:eastAsia="仿宋"/>
                <w:color w:val="000000"/>
                <w:sz w:val="24"/>
                <w:szCs w:val="24"/>
                <w:lang w:val="en-US" w:eastAsia="zh-CN"/>
              </w:rPr>
              <w:t>5</w:t>
            </w:r>
            <w:r>
              <w:rPr>
                <w:rFonts w:hint="eastAsia" w:ascii="仿宋" w:hAnsi="仿宋" w:eastAsia="仿宋"/>
                <w:color w:val="000000"/>
                <w:sz w:val="24"/>
                <w:szCs w:val="24"/>
              </w:rPr>
              <w:t>分）</w:t>
            </w:r>
          </w:p>
        </w:tc>
        <w:tc>
          <w:tcPr>
            <w:tcW w:w="4786" w:type="dxa"/>
            <w:gridSpan w:val="2"/>
            <w:tcBorders>
              <w:tl2br w:val="nil"/>
              <w:tr2bl w:val="nil"/>
            </w:tcBorders>
            <w:shd w:val="clear" w:color="auto" w:fill="auto"/>
            <w:vAlign w:val="center"/>
          </w:tcPr>
          <w:p w14:paraId="5A5D4CAC">
            <w:pPr>
              <w:widowControl/>
              <w:jc w:val="left"/>
              <w:rPr>
                <w:rFonts w:hint="eastAsia" w:ascii="仿宋" w:hAnsi="仿宋" w:eastAsia="仿宋"/>
                <w:color w:val="000000"/>
                <w:sz w:val="24"/>
                <w:szCs w:val="24"/>
                <w:lang w:eastAsia="zh-CN"/>
              </w:rPr>
            </w:pPr>
            <w:r>
              <w:rPr>
                <w:rFonts w:hint="eastAsia" w:ascii="仿宋" w:hAnsi="仿宋" w:eastAsia="仿宋"/>
                <w:color w:val="000000"/>
                <w:sz w:val="24"/>
                <w:szCs w:val="24"/>
              </w:rPr>
              <w:t>①项目立项是否符合国家法律法规、国民经济发展规划和相关政策；</w:t>
            </w:r>
          </w:p>
          <w:p w14:paraId="077CD3CB">
            <w:pPr>
              <w:widowControl/>
              <w:jc w:val="left"/>
              <w:rPr>
                <w:rFonts w:hint="eastAsia" w:ascii="仿宋" w:hAnsi="仿宋" w:eastAsia="仿宋"/>
                <w:color w:val="000000"/>
                <w:sz w:val="24"/>
                <w:szCs w:val="24"/>
                <w:lang w:eastAsia="zh-CN"/>
              </w:rPr>
            </w:pPr>
            <w:r>
              <w:rPr>
                <w:rFonts w:hint="eastAsia" w:ascii="仿宋" w:hAnsi="仿宋" w:eastAsia="仿宋"/>
                <w:color w:val="000000"/>
                <w:sz w:val="24"/>
                <w:szCs w:val="24"/>
              </w:rPr>
              <w:t>②项目立项是否符合行业发展规划和政策要求；</w:t>
            </w:r>
          </w:p>
          <w:p w14:paraId="7AFEA9BA">
            <w:pPr>
              <w:widowControl/>
              <w:jc w:val="left"/>
              <w:rPr>
                <w:rFonts w:hint="eastAsia" w:ascii="仿宋" w:hAnsi="仿宋" w:eastAsia="仿宋"/>
                <w:color w:val="000000"/>
                <w:sz w:val="24"/>
                <w:szCs w:val="24"/>
                <w:lang w:eastAsia="zh-CN"/>
              </w:rPr>
            </w:pPr>
            <w:r>
              <w:rPr>
                <w:rFonts w:hint="eastAsia" w:ascii="仿宋" w:hAnsi="仿宋" w:eastAsia="仿宋"/>
                <w:color w:val="000000"/>
                <w:sz w:val="24"/>
                <w:szCs w:val="24"/>
              </w:rPr>
              <w:t>③项目立项是否与部门职责范围相符，属于部门履职所需；</w:t>
            </w:r>
          </w:p>
          <w:p w14:paraId="2CC0B49A">
            <w:pPr>
              <w:widowControl/>
              <w:jc w:val="left"/>
              <w:rPr>
                <w:rFonts w:hint="eastAsia" w:ascii="仿宋" w:hAnsi="仿宋" w:eastAsia="仿宋"/>
                <w:color w:val="000000"/>
                <w:sz w:val="24"/>
                <w:szCs w:val="24"/>
                <w:lang w:eastAsia="zh-CN"/>
              </w:rPr>
            </w:pPr>
            <w:r>
              <w:rPr>
                <w:rFonts w:hint="eastAsia" w:ascii="仿宋" w:hAnsi="仿宋" w:eastAsia="仿宋"/>
                <w:color w:val="000000"/>
                <w:sz w:val="24"/>
                <w:szCs w:val="24"/>
              </w:rPr>
              <w:t>④项目是否属于公共财政支持范围，是否符合中央、地方事权支出责任划分原则；</w:t>
            </w:r>
          </w:p>
          <w:p w14:paraId="30163B8D">
            <w:pPr>
              <w:widowControl/>
              <w:jc w:val="left"/>
              <w:rPr>
                <w:rFonts w:hint="eastAsia" w:ascii="仿宋" w:hAnsi="仿宋" w:eastAsia="仿宋"/>
                <w:color w:val="000000"/>
                <w:sz w:val="24"/>
                <w:szCs w:val="24"/>
              </w:rPr>
            </w:pPr>
            <w:r>
              <w:rPr>
                <w:rFonts w:hint="eastAsia" w:ascii="仿宋" w:hAnsi="仿宋" w:eastAsia="仿宋"/>
                <w:color w:val="000000"/>
                <w:sz w:val="24"/>
                <w:szCs w:val="24"/>
              </w:rPr>
              <w:t>⑤项目是否与相关部门同类项目或部门内部相关项目重复。</w:t>
            </w:r>
          </w:p>
          <w:p w14:paraId="70438539">
            <w:pPr>
              <w:widowControl/>
              <w:jc w:val="left"/>
              <w:rPr>
                <w:rFonts w:hint="eastAsia" w:ascii="仿宋" w:hAnsi="仿宋" w:eastAsia="仿宋"/>
                <w:color w:val="000000"/>
                <w:sz w:val="24"/>
                <w:szCs w:val="24"/>
              </w:rPr>
            </w:pPr>
            <w:r>
              <w:rPr>
                <w:rFonts w:hint="eastAsia" w:ascii="仿宋" w:hAnsi="仿宋" w:eastAsia="仿宋"/>
                <w:color w:val="000000"/>
                <w:sz w:val="24"/>
                <w:szCs w:val="24"/>
                <w:lang w:val="en-US" w:eastAsia="zh-CN"/>
              </w:rPr>
              <w:t>满分1分，一项不符合扣1分。</w:t>
            </w:r>
          </w:p>
        </w:tc>
      </w:tr>
      <w:tr w14:paraId="01874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827" w:type="dxa"/>
            <w:gridSpan w:val="2"/>
            <w:vMerge w:val="continue"/>
            <w:tcBorders>
              <w:tl2br w:val="nil"/>
              <w:tr2bl w:val="nil"/>
            </w:tcBorders>
            <w:vAlign w:val="center"/>
          </w:tcPr>
          <w:p w14:paraId="577360F1">
            <w:pPr>
              <w:widowControl/>
              <w:jc w:val="left"/>
              <w:rPr>
                <w:rFonts w:ascii="仿宋" w:hAnsi="仿宋" w:eastAsia="仿宋"/>
                <w:color w:val="000000"/>
                <w:sz w:val="24"/>
                <w:szCs w:val="24"/>
              </w:rPr>
            </w:pPr>
          </w:p>
        </w:tc>
        <w:tc>
          <w:tcPr>
            <w:tcW w:w="1433" w:type="dxa"/>
            <w:vMerge w:val="continue"/>
            <w:tcBorders>
              <w:tl2br w:val="nil"/>
              <w:tr2bl w:val="nil"/>
            </w:tcBorders>
            <w:vAlign w:val="center"/>
          </w:tcPr>
          <w:p w14:paraId="45D118B8">
            <w:pPr>
              <w:widowControl/>
              <w:jc w:val="left"/>
              <w:rPr>
                <w:rFonts w:ascii="仿宋" w:hAnsi="仿宋" w:eastAsia="仿宋"/>
                <w:color w:val="000000"/>
                <w:sz w:val="24"/>
                <w:szCs w:val="24"/>
              </w:rPr>
            </w:pPr>
          </w:p>
        </w:tc>
        <w:tc>
          <w:tcPr>
            <w:tcW w:w="1600" w:type="dxa"/>
            <w:gridSpan w:val="2"/>
            <w:tcBorders>
              <w:tl2br w:val="nil"/>
              <w:tr2bl w:val="nil"/>
            </w:tcBorders>
            <w:shd w:val="clear" w:color="auto" w:fill="auto"/>
            <w:vAlign w:val="center"/>
          </w:tcPr>
          <w:p w14:paraId="1174D3E3">
            <w:pPr>
              <w:widowControl/>
              <w:jc w:val="center"/>
              <w:rPr>
                <w:rFonts w:ascii="仿宋" w:hAnsi="仿宋" w:eastAsia="仿宋"/>
                <w:color w:val="000000"/>
                <w:sz w:val="24"/>
                <w:szCs w:val="24"/>
              </w:rPr>
            </w:pPr>
            <w:r>
              <w:rPr>
                <w:rFonts w:hint="eastAsia" w:ascii="仿宋" w:hAnsi="仿宋" w:eastAsia="仿宋"/>
                <w:color w:val="000000"/>
                <w:sz w:val="24"/>
                <w:szCs w:val="24"/>
              </w:rPr>
              <w:t>立项程序规范性</w:t>
            </w:r>
            <w:r>
              <w:rPr>
                <w:rFonts w:hint="eastAsia" w:ascii="仿宋" w:hAnsi="仿宋" w:eastAsia="仿宋"/>
                <w:color w:val="000000"/>
                <w:sz w:val="24"/>
                <w:szCs w:val="24"/>
              </w:rPr>
              <w:br w:type="textWrapping"/>
            </w:r>
            <w:r>
              <w:rPr>
                <w:rFonts w:hint="eastAsia" w:ascii="仿宋" w:hAnsi="仿宋" w:eastAsia="仿宋"/>
                <w:color w:val="000000"/>
                <w:sz w:val="24"/>
                <w:szCs w:val="24"/>
              </w:rPr>
              <w:t>（3分）</w:t>
            </w:r>
          </w:p>
        </w:tc>
        <w:tc>
          <w:tcPr>
            <w:tcW w:w="4786" w:type="dxa"/>
            <w:gridSpan w:val="2"/>
            <w:tcBorders>
              <w:tl2br w:val="nil"/>
              <w:tr2bl w:val="nil"/>
            </w:tcBorders>
            <w:shd w:val="clear" w:color="auto" w:fill="auto"/>
            <w:vAlign w:val="center"/>
          </w:tcPr>
          <w:p w14:paraId="014B6A43">
            <w:pPr>
              <w:widowControl/>
              <w:jc w:val="left"/>
              <w:rPr>
                <w:rFonts w:hint="eastAsia" w:ascii="仿宋" w:hAnsi="仿宋" w:eastAsia="仿宋"/>
                <w:color w:val="000000"/>
                <w:sz w:val="24"/>
                <w:szCs w:val="24"/>
                <w:lang w:eastAsia="zh-CN"/>
              </w:rPr>
            </w:pPr>
            <w:r>
              <w:rPr>
                <w:rFonts w:hint="eastAsia" w:ascii="仿宋" w:hAnsi="仿宋" w:eastAsia="仿宋"/>
                <w:color w:val="000000"/>
                <w:sz w:val="24"/>
                <w:szCs w:val="24"/>
              </w:rPr>
              <w:t>①项目是否按照规定的程序申请设立；②事前是否已经过必要的可行性研究、专家论证、风险评估、绩效评估、集体决策</w:t>
            </w:r>
            <w:r>
              <w:rPr>
                <w:rFonts w:hint="eastAsia" w:ascii="仿宋" w:hAnsi="仿宋" w:eastAsia="仿宋"/>
                <w:color w:val="000000"/>
                <w:sz w:val="24"/>
                <w:szCs w:val="24"/>
                <w:lang w:eastAsia="zh-CN"/>
              </w:rPr>
              <w:t>；</w:t>
            </w:r>
            <w:r>
              <w:rPr>
                <w:rFonts w:hint="eastAsia" w:ascii="仿宋" w:hAnsi="仿宋" w:eastAsia="仿宋"/>
                <w:color w:val="000000"/>
                <w:sz w:val="24"/>
                <w:szCs w:val="24"/>
                <w:lang w:val="en-US" w:eastAsia="zh-CN"/>
              </w:rPr>
              <w:t>③项目立项、可研、用地、环评、开工许可等审批文件</w:t>
            </w:r>
            <w:r>
              <w:rPr>
                <w:rFonts w:hint="eastAsia" w:ascii="仿宋" w:hAnsi="仿宋" w:eastAsia="仿宋"/>
                <w:color w:val="000000"/>
                <w:sz w:val="24"/>
                <w:szCs w:val="24"/>
                <w:lang w:eastAsia="zh-CN"/>
              </w:rPr>
              <w:t>、材料是否符合相关要求。</w:t>
            </w:r>
          </w:p>
          <w:p w14:paraId="1A6E4266">
            <w:pPr>
              <w:widowControl/>
              <w:jc w:val="left"/>
              <w:rPr>
                <w:rFonts w:hint="eastAsia" w:ascii="仿宋" w:hAnsi="仿宋" w:eastAsia="仿宋"/>
                <w:color w:val="000000"/>
                <w:sz w:val="24"/>
                <w:szCs w:val="24"/>
              </w:rPr>
            </w:pPr>
            <w:r>
              <w:rPr>
                <w:rFonts w:hint="eastAsia" w:ascii="仿宋" w:hAnsi="仿宋" w:eastAsia="仿宋"/>
                <w:color w:val="000000"/>
                <w:sz w:val="24"/>
                <w:szCs w:val="24"/>
                <w:lang w:val="en-US" w:eastAsia="zh-CN"/>
              </w:rPr>
              <w:t>满分3分，一项不符合扣1分。</w:t>
            </w:r>
          </w:p>
        </w:tc>
      </w:tr>
      <w:tr w14:paraId="2AB62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27" w:type="dxa"/>
            <w:gridSpan w:val="2"/>
            <w:vMerge w:val="continue"/>
            <w:tcBorders>
              <w:tl2br w:val="nil"/>
              <w:tr2bl w:val="nil"/>
            </w:tcBorders>
            <w:vAlign w:val="center"/>
          </w:tcPr>
          <w:p w14:paraId="7FE3C7AC">
            <w:pPr>
              <w:widowControl/>
              <w:jc w:val="left"/>
              <w:rPr>
                <w:rFonts w:ascii="仿宋" w:hAnsi="仿宋" w:eastAsia="仿宋"/>
                <w:color w:val="000000"/>
                <w:sz w:val="24"/>
                <w:szCs w:val="24"/>
              </w:rPr>
            </w:pPr>
          </w:p>
        </w:tc>
        <w:tc>
          <w:tcPr>
            <w:tcW w:w="1433" w:type="dxa"/>
            <w:vMerge w:val="restart"/>
            <w:tcBorders>
              <w:tl2br w:val="nil"/>
              <w:tr2bl w:val="nil"/>
            </w:tcBorders>
            <w:shd w:val="clear" w:color="auto" w:fill="auto"/>
            <w:vAlign w:val="center"/>
          </w:tcPr>
          <w:p w14:paraId="50120033">
            <w:pPr>
              <w:widowControl/>
              <w:jc w:val="center"/>
              <w:rPr>
                <w:rFonts w:ascii="仿宋" w:hAnsi="仿宋" w:eastAsia="仿宋"/>
                <w:color w:val="000000"/>
                <w:sz w:val="24"/>
                <w:szCs w:val="24"/>
              </w:rPr>
            </w:pPr>
            <w:r>
              <w:rPr>
                <w:rFonts w:hint="eastAsia" w:ascii="仿宋" w:hAnsi="仿宋" w:eastAsia="仿宋"/>
                <w:color w:val="000000"/>
                <w:sz w:val="24"/>
                <w:szCs w:val="24"/>
              </w:rPr>
              <w:t>绩效目标</w:t>
            </w:r>
            <w:r>
              <w:rPr>
                <w:rFonts w:hint="eastAsia" w:ascii="仿宋" w:hAnsi="仿宋" w:eastAsia="仿宋"/>
                <w:color w:val="000000"/>
                <w:sz w:val="24"/>
                <w:szCs w:val="24"/>
              </w:rPr>
              <w:br w:type="textWrapping"/>
            </w:r>
            <w:r>
              <w:rPr>
                <w:rFonts w:hint="eastAsia" w:ascii="仿宋" w:hAnsi="仿宋" w:eastAsia="仿宋"/>
                <w:color w:val="000000"/>
                <w:sz w:val="24"/>
                <w:szCs w:val="24"/>
              </w:rPr>
              <w:t>（6分）</w:t>
            </w:r>
          </w:p>
        </w:tc>
        <w:tc>
          <w:tcPr>
            <w:tcW w:w="1600" w:type="dxa"/>
            <w:gridSpan w:val="2"/>
            <w:tcBorders>
              <w:tl2br w:val="nil"/>
              <w:tr2bl w:val="nil"/>
            </w:tcBorders>
            <w:shd w:val="clear" w:color="auto" w:fill="auto"/>
            <w:vAlign w:val="center"/>
          </w:tcPr>
          <w:p w14:paraId="2794F22A">
            <w:pPr>
              <w:widowControl/>
              <w:jc w:val="center"/>
              <w:rPr>
                <w:rFonts w:hint="eastAsia" w:ascii="仿宋" w:hAnsi="仿宋" w:eastAsia="仿宋"/>
                <w:color w:val="000000"/>
                <w:sz w:val="24"/>
                <w:szCs w:val="24"/>
              </w:rPr>
            </w:pPr>
            <w:r>
              <w:rPr>
                <w:rFonts w:hint="eastAsia" w:ascii="仿宋" w:hAnsi="仿宋" w:eastAsia="仿宋"/>
                <w:color w:val="000000"/>
                <w:sz w:val="24"/>
                <w:szCs w:val="24"/>
              </w:rPr>
              <w:t>绩效目标</w:t>
            </w:r>
          </w:p>
          <w:p w14:paraId="231A8FF6">
            <w:pPr>
              <w:widowControl/>
              <w:jc w:val="center"/>
              <w:rPr>
                <w:rFonts w:hint="eastAsia" w:ascii="仿宋" w:hAnsi="仿宋" w:eastAsia="仿宋"/>
                <w:color w:val="000000"/>
                <w:sz w:val="24"/>
                <w:szCs w:val="24"/>
              </w:rPr>
            </w:pPr>
            <w:r>
              <w:rPr>
                <w:rFonts w:hint="eastAsia" w:ascii="仿宋" w:hAnsi="仿宋" w:eastAsia="仿宋"/>
                <w:color w:val="000000"/>
                <w:sz w:val="24"/>
                <w:szCs w:val="24"/>
              </w:rPr>
              <w:t>合理性</w:t>
            </w:r>
          </w:p>
          <w:p w14:paraId="50E42EA0">
            <w:pPr>
              <w:widowControl/>
              <w:jc w:val="center"/>
              <w:rPr>
                <w:rFonts w:hint="eastAsia" w:ascii="仿宋" w:hAnsi="仿宋" w:eastAsia="仿宋"/>
                <w:color w:val="000000"/>
                <w:sz w:val="24"/>
                <w:szCs w:val="24"/>
              </w:rPr>
            </w:pPr>
            <w:r>
              <w:rPr>
                <w:rFonts w:hint="eastAsia" w:ascii="仿宋" w:hAnsi="仿宋" w:eastAsia="仿宋"/>
                <w:color w:val="000000"/>
                <w:sz w:val="24"/>
                <w:szCs w:val="24"/>
              </w:rPr>
              <w:t>（</w:t>
            </w:r>
            <w:r>
              <w:rPr>
                <w:rFonts w:hint="eastAsia" w:ascii="仿宋" w:hAnsi="仿宋" w:eastAsia="仿宋"/>
                <w:color w:val="000000"/>
                <w:sz w:val="24"/>
                <w:szCs w:val="24"/>
                <w:lang w:val="en-US" w:eastAsia="zh-CN"/>
              </w:rPr>
              <w:t>3</w:t>
            </w:r>
            <w:r>
              <w:rPr>
                <w:rFonts w:hint="eastAsia" w:ascii="仿宋" w:hAnsi="仿宋" w:eastAsia="仿宋"/>
                <w:color w:val="000000"/>
                <w:sz w:val="24"/>
                <w:szCs w:val="24"/>
              </w:rPr>
              <w:t>分）</w:t>
            </w:r>
          </w:p>
        </w:tc>
        <w:tc>
          <w:tcPr>
            <w:tcW w:w="4786" w:type="dxa"/>
            <w:gridSpan w:val="2"/>
            <w:tcBorders>
              <w:tl2br w:val="nil"/>
              <w:tr2bl w:val="nil"/>
            </w:tcBorders>
            <w:shd w:val="clear" w:color="auto" w:fill="auto"/>
            <w:vAlign w:val="center"/>
          </w:tcPr>
          <w:p w14:paraId="3EC50C31">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①是否有绩效目标；</w:t>
            </w:r>
          </w:p>
          <w:p w14:paraId="5058FCDC">
            <w:pPr>
              <w:widowControl/>
              <w:jc w:val="both"/>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②绩效目标与实际工作内容是否具有相关性；</w:t>
            </w:r>
          </w:p>
          <w:p w14:paraId="16EA4785">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③预期产出效益和效果是否符合正常的业绩水平。</w:t>
            </w:r>
          </w:p>
          <w:p w14:paraId="0AC46F65">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满分3分，一项不符合扣1分。</w:t>
            </w:r>
          </w:p>
        </w:tc>
      </w:tr>
      <w:tr w14:paraId="60746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27" w:type="dxa"/>
            <w:gridSpan w:val="2"/>
            <w:vMerge w:val="continue"/>
            <w:tcBorders>
              <w:tl2br w:val="nil"/>
              <w:tr2bl w:val="nil"/>
            </w:tcBorders>
            <w:vAlign w:val="center"/>
          </w:tcPr>
          <w:p w14:paraId="30320B76">
            <w:pPr>
              <w:widowControl/>
              <w:jc w:val="left"/>
              <w:rPr>
                <w:rFonts w:ascii="仿宋" w:hAnsi="仿宋" w:eastAsia="仿宋"/>
                <w:color w:val="000000"/>
                <w:sz w:val="24"/>
                <w:szCs w:val="24"/>
              </w:rPr>
            </w:pPr>
          </w:p>
        </w:tc>
        <w:tc>
          <w:tcPr>
            <w:tcW w:w="1433" w:type="dxa"/>
            <w:vMerge w:val="continue"/>
            <w:tcBorders>
              <w:tl2br w:val="nil"/>
              <w:tr2bl w:val="nil"/>
            </w:tcBorders>
            <w:vAlign w:val="center"/>
          </w:tcPr>
          <w:p w14:paraId="00122CA1">
            <w:pPr>
              <w:widowControl/>
              <w:jc w:val="left"/>
              <w:rPr>
                <w:rFonts w:ascii="仿宋" w:hAnsi="仿宋" w:eastAsia="仿宋"/>
                <w:color w:val="000000"/>
                <w:sz w:val="24"/>
                <w:szCs w:val="24"/>
              </w:rPr>
            </w:pPr>
          </w:p>
        </w:tc>
        <w:tc>
          <w:tcPr>
            <w:tcW w:w="1600" w:type="dxa"/>
            <w:gridSpan w:val="2"/>
            <w:tcBorders>
              <w:tl2br w:val="nil"/>
              <w:tr2bl w:val="nil"/>
            </w:tcBorders>
            <w:shd w:val="clear" w:color="auto" w:fill="auto"/>
            <w:vAlign w:val="center"/>
          </w:tcPr>
          <w:p w14:paraId="7EE170F5">
            <w:pPr>
              <w:widowControl/>
              <w:jc w:val="center"/>
              <w:rPr>
                <w:rFonts w:hint="eastAsia" w:ascii="仿宋" w:hAnsi="仿宋" w:eastAsia="仿宋"/>
                <w:color w:val="000000"/>
                <w:sz w:val="24"/>
                <w:szCs w:val="24"/>
              </w:rPr>
            </w:pPr>
            <w:r>
              <w:rPr>
                <w:rFonts w:hint="eastAsia" w:ascii="仿宋" w:hAnsi="仿宋" w:eastAsia="仿宋"/>
                <w:color w:val="000000"/>
                <w:sz w:val="24"/>
                <w:szCs w:val="24"/>
              </w:rPr>
              <w:t>绩效指标</w:t>
            </w:r>
          </w:p>
          <w:p w14:paraId="587D3076">
            <w:pPr>
              <w:widowControl/>
              <w:jc w:val="center"/>
              <w:rPr>
                <w:rFonts w:hint="eastAsia" w:ascii="仿宋" w:hAnsi="仿宋" w:eastAsia="仿宋"/>
                <w:color w:val="000000"/>
                <w:sz w:val="24"/>
                <w:szCs w:val="24"/>
              </w:rPr>
            </w:pPr>
            <w:r>
              <w:rPr>
                <w:rFonts w:hint="eastAsia" w:ascii="仿宋" w:hAnsi="仿宋" w:eastAsia="仿宋"/>
                <w:color w:val="000000"/>
                <w:sz w:val="24"/>
                <w:szCs w:val="24"/>
              </w:rPr>
              <w:t>明确性</w:t>
            </w:r>
          </w:p>
          <w:p w14:paraId="7E6FCAFB">
            <w:pPr>
              <w:widowControl/>
              <w:jc w:val="center"/>
              <w:rPr>
                <w:rFonts w:hint="eastAsia" w:ascii="仿宋" w:hAnsi="仿宋" w:eastAsia="仿宋"/>
                <w:color w:val="000000"/>
                <w:sz w:val="24"/>
                <w:szCs w:val="24"/>
              </w:rPr>
            </w:pPr>
            <w:r>
              <w:rPr>
                <w:rFonts w:hint="eastAsia" w:ascii="仿宋" w:hAnsi="仿宋" w:eastAsia="仿宋"/>
                <w:color w:val="000000"/>
                <w:sz w:val="24"/>
                <w:szCs w:val="24"/>
              </w:rPr>
              <w:t>（</w:t>
            </w:r>
            <w:r>
              <w:rPr>
                <w:rFonts w:hint="eastAsia" w:ascii="仿宋" w:hAnsi="仿宋" w:eastAsia="仿宋"/>
                <w:color w:val="000000"/>
                <w:sz w:val="24"/>
                <w:szCs w:val="24"/>
                <w:lang w:val="en-US" w:eastAsia="zh-CN"/>
              </w:rPr>
              <w:t>3</w:t>
            </w:r>
            <w:r>
              <w:rPr>
                <w:rFonts w:hint="eastAsia" w:ascii="仿宋" w:hAnsi="仿宋" w:eastAsia="仿宋"/>
                <w:color w:val="000000"/>
                <w:sz w:val="24"/>
                <w:szCs w:val="24"/>
              </w:rPr>
              <w:t>分）</w:t>
            </w:r>
          </w:p>
        </w:tc>
        <w:tc>
          <w:tcPr>
            <w:tcW w:w="4786" w:type="dxa"/>
            <w:gridSpan w:val="2"/>
            <w:tcBorders>
              <w:tl2br w:val="nil"/>
              <w:tr2bl w:val="nil"/>
            </w:tcBorders>
            <w:shd w:val="clear" w:color="auto" w:fill="auto"/>
            <w:vAlign w:val="center"/>
          </w:tcPr>
          <w:p w14:paraId="22942680">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①是否将绩效目标细化分解为具体的绩效指标；</w:t>
            </w:r>
          </w:p>
          <w:p w14:paraId="5F56ED13">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②是否通过清晰、可衡量的指标值予以体现；</w:t>
            </w:r>
          </w:p>
          <w:p w14:paraId="0BEE7439">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③是否与目标任务数或计划数相对应。</w:t>
            </w:r>
          </w:p>
          <w:p w14:paraId="59D49C71">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满分3分，一项不符合扣1分。</w:t>
            </w:r>
          </w:p>
        </w:tc>
      </w:tr>
      <w:tr w14:paraId="5CA66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27" w:type="dxa"/>
            <w:gridSpan w:val="2"/>
            <w:vMerge w:val="continue"/>
            <w:tcBorders>
              <w:tl2br w:val="nil"/>
              <w:tr2bl w:val="nil"/>
            </w:tcBorders>
            <w:vAlign w:val="center"/>
          </w:tcPr>
          <w:p w14:paraId="54EA9E28">
            <w:pPr>
              <w:widowControl/>
              <w:jc w:val="left"/>
              <w:rPr>
                <w:rFonts w:ascii="仿宋" w:hAnsi="仿宋" w:eastAsia="仿宋"/>
                <w:color w:val="000000"/>
                <w:sz w:val="24"/>
                <w:szCs w:val="24"/>
              </w:rPr>
            </w:pPr>
          </w:p>
        </w:tc>
        <w:tc>
          <w:tcPr>
            <w:tcW w:w="1433" w:type="dxa"/>
            <w:vMerge w:val="restart"/>
            <w:tcBorders>
              <w:tl2br w:val="nil"/>
              <w:tr2bl w:val="nil"/>
            </w:tcBorders>
            <w:shd w:val="clear" w:color="auto" w:fill="auto"/>
            <w:vAlign w:val="center"/>
          </w:tcPr>
          <w:p w14:paraId="67D392C9">
            <w:pPr>
              <w:widowControl/>
              <w:jc w:val="center"/>
              <w:rPr>
                <w:rFonts w:ascii="仿宋" w:hAnsi="仿宋" w:eastAsia="仿宋"/>
                <w:color w:val="000000"/>
                <w:sz w:val="24"/>
                <w:szCs w:val="24"/>
              </w:rPr>
            </w:pPr>
            <w:r>
              <w:rPr>
                <w:rFonts w:hint="eastAsia" w:ascii="仿宋" w:hAnsi="仿宋" w:eastAsia="仿宋"/>
                <w:color w:val="000000"/>
                <w:sz w:val="24"/>
                <w:szCs w:val="24"/>
              </w:rPr>
              <w:t>资金投入</w:t>
            </w:r>
            <w:r>
              <w:rPr>
                <w:rFonts w:hint="eastAsia" w:ascii="仿宋" w:hAnsi="仿宋" w:eastAsia="仿宋"/>
                <w:color w:val="000000"/>
                <w:sz w:val="24"/>
                <w:szCs w:val="24"/>
              </w:rPr>
              <w:br w:type="textWrapping"/>
            </w:r>
            <w:r>
              <w:rPr>
                <w:rFonts w:hint="eastAsia" w:ascii="仿宋" w:hAnsi="仿宋" w:eastAsia="仿宋"/>
                <w:color w:val="000000"/>
                <w:sz w:val="24"/>
                <w:szCs w:val="24"/>
              </w:rPr>
              <w:t>（6分）</w:t>
            </w:r>
          </w:p>
        </w:tc>
        <w:tc>
          <w:tcPr>
            <w:tcW w:w="1600" w:type="dxa"/>
            <w:gridSpan w:val="2"/>
            <w:tcBorders>
              <w:tl2br w:val="nil"/>
              <w:tr2bl w:val="nil"/>
            </w:tcBorders>
            <w:shd w:val="clear" w:color="auto" w:fill="auto"/>
            <w:vAlign w:val="center"/>
          </w:tcPr>
          <w:p w14:paraId="48E39975">
            <w:pPr>
              <w:widowControl/>
              <w:jc w:val="center"/>
              <w:rPr>
                <w:rFonts w:ascii="仿宋" w:hAnsi="仿宋" w:eastAsia="仿宋"/>
                <w:sz w:val="24"/>
                <w:szCs w:val="24"/>
              </w:rPr>
            </w:pPr>
            <w:r>
              <w:rPr>
                <w:rFonts w:hint="eastAsia" w:ascii="仿宋" w:hAnsi="仿宋" w:eastAsia="仿宋"/>
                <w:sz w:val="24"/>
                <w:szCs w:val="24"/>
              </w:rPr>
              <w:t>预算编制科学性</w:t>
            </w:r>
            <w:r>
              <w:rPr>
                <w:rFonts w:hint="eastAsia" w:ascii="仿宋" w:hAnsi="仿宋" w:eastAsia="仿宋"/>
                <w:sz w:val="24"/>
                <w:szCs w:val="24"/>
              </w:rPr>
              <w:br w:type="textWrapping"/>
            </w:r>
            <w:r>
              <w:rPr>
                <w:rFonts w:hint="eastAsia" w:ascii="仿宋" w:hAnsi="仿宋" w:eastAsia="仿宋"/>
                <w:sz w:val="24"/>
                <w:szCs w:val="24"/>
              </w:rPr>
              <w:t>（4分）</w:t>
            </w:r>
          </w:p>
        </w:tc>
        <w:tc>
          <w:tcPr>
            <w:tcW w:w="4786" w:type="dxa"/>
            <w:gridSpan w:val="2"/>
            <w:tcBorders>
              <w:tl2br w:val="nil"/>
              <w:tr2bl w:val="nil"/>
            </w:tcBorders>
            <w:shd w:val="clear" w:color="auto" w:fill="auto"/>
            <w:vAlign w:val="center"/>
          </w:tcPr>
          <w:p w14:paraId="56DB0538">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①预算编制是否经过科学论证；</w:t>
            </w:r>
          </w:p>
          <w:p w14:paraId="69DA11CD">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②预算内容与项目内容是否匹配；</w:t>
            </w:r>
          </w:p>
          <w:p w14:paraId="37BF9457">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③预算额度测算依据是否充分，是否按照标准编制；</w:t>
            </w:r>
          </w:p>
          <w:p w14:paraId="0E8AFF56">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④预算确定的项目投资额或资金量是否与工作任务相匹配。</w:t>
            </w:r>
          </w:p>
          <w:p w14:paraId="03D1673C">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满分4分，一项不符合扣1分。</w:t>
            </w:r>
          </w:p>
        </w:tc>
      </w:tr>
      <w:tr w14:paraId="50835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27" w:type="dxa"/>
            <w:gridSpan w:val="2"/>
            <w:vMerge w:val="continue"/>
            <w:tcBorders>
              <w:tl2br w:val="nil"/>
              <w:tr2bl w:val="nil"/>
            </w:tcBorders>
            <w:vAlign w:val="center"/>
          </w:tcPr>
          <w:p w14:paraId="69FAF9AF">
            <w:pPr>
              <w:widowControl/>
              <w:jc w:val="left"/>
              <w:rPr>
                <w:rFonts w:ascii="仿宋" w:hAnsi="仿宋" w:eastAsia="仿宋"/>
                <w:color w:val="000000"/>
                <w:sz w:val="21"/>
                <w:szCs w:val="21"/>
              </w:rPr>
            </w:pPr>
          </w:p>
        </w:tc>
        <w:tc>
          <w:tcPr>
            <w:tcW w:w="1433" w:type="dxa"/>
            <w:vMerge w:val="continue"/>
            <w:tcBorders>
              <w:tl2br w:val="nil"/>
              <w:tr2bl w:val="nil"/>
            </w:tcBorders>
            <w:vAlign w:val="center"/>
          </w:tcPr>
          <w:p w14:paraId="230CA94C">
            <w:pPr>
              <w:widowControl/>
              <w:jc w:val="left"/>
              <w:rPr>
                <w:rFonts w:ascii="仿宋" w:hAnsi="仿宋" w:eastAsia="仿宋"/>
                <w:color w:val="000000"/>
                <w:sz w:val="21"/>
                <w:szCs w:val="21"/>
              </w:rPr>
            </w:pPr>
          </w:p>
        </w:tc>
        <w:tc>
          <w:tcPr>
            <w:tcW w:w="1600" w:type="dxa"/>
            <w:gridSpan w:val="2"/>
            <w:tcBorders>
              <w:tl2br w:val="nil"/>
              <w:tr2bl w:val="nil"/>
            </w:tcBorders>
            <w:shd w:val="clear" w:color="auto" w:fill="auto"/>
            <w:vAlign w:val="center"/>
          </w:tcPr>
          <w:p w14:paraId="422EAF84">
            <w:pPr>
              <w:widowControl/>
              <w:jc w:val="center"/>
              <w:rPr>
                <w:rFonts w:ascii="仿宋" w:hAnsi="仿宋" w:eastAsia="仿宋"/>
                <w:color w:val="000000"/>
                <w:sz w:val="24"/>
                <w:szCs w:val="24"/>
              </w:rPr>
            </w:pPr>
            <w:r>
              <w:rPr>
                <w:rFonts w:hint="eastAsia" w:ascii="仿宋" w:hAnsi="仿宋" w:eastAsia="仿宋"/>
                <w:color w:val="000000"/>
                <w:sz w:val="24"/>
                <w:szCs w:val="24"/>
              </w:rPr>
              <w:t>资金分配合理性</w:t>
            </w:r>
            <w:r>
              <w:rPr>
                <w:rFonts w:hint="eastAsia" w:ascii="仿宋" w:hAnsi="仿宋" w:eastAsia="仿宋"/>
                <w:color w:val="000000"/>
                <w:sz w:val="24"/>
                <w:szCs w:val="24"/>
              </w:rPr>
              <w:br w:type="textWrapping"/>
            </w:r>
            <w:r>
              <w:rPr>
                <w:rFonts w:hint="eastAsia" w:ascii="仿宋" w:hAnsi="仿宋" w:eastAsia="仿宋"/>
                <w:color w:val="000000"/>
                <w:sz w:val="24"/>
                <w:szCs w:val="24"/>
              </w:rPr>
              <w:t>（2分）</w:t>
            </w:r>
          </w:p>
        </w:tc>
        <w:tc>
          <w:tcPr>
            <w:tcW w:w="4786" w:type="dxa"/>
            <w:gridSpan w:val="2"/>
            <w:tcBorders>
              <w:tl2br w:val="nil"/>
              <w:tr2bl w:val="nil"/>
            </w:tcBorders>
            <w:shd w:val="clear" w:color="auto" w:fill="auto"/>
            <w:vAlign w:val="center"/>
          </w:tcPr>
          <w:p w14:paraId="6B1CF5AE">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①预算资金分配依据是否充分；</w:t>
            </w:r>
          </w:p>
          <w:p w14:paraId="30BF299B">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②资金分配额度是否合理，与地方实际是否相适应。</w:t>
            </w:r>
          </w:p>
          <w:p w14:paraId="36DD3B0C">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满分2分，一项不符合扣1分。</w:t>
            </w:r>
          </w:p>
        </w:tc>
      </w:tr>
      <w:tr w14:paraId="6BC8E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810" w:hRule="atLeast"/>
        </w:trPr>
        <w:tc>
          <w:tcPr>
            <w:tcW w:w="825" w:type="dxa"/>
            <w:vMerge w:val="restart"/>
            <w:tcBorders>
              <w:tl2br w:val="nil"/>
              <w:tr2bl w:val="nil"/>
            </w:tcBorders>
            <w:shd w:val="clear" w:color="auto" w:fill="auto"/>
            <w:vAlign w:val="center"/>
          </w:tcPr>
          <w:p w14:paraId="49FC61FB">
            <w:pPr>
              <w:widowControl/>
              <w:jc w:val="center"/>
              <w:rPr>
                <w:rFonts w:ascii="仿宋" w:hAnsi="仿宋" w:eastAsia="仿宋"/>
                <w:color w:val="000000"/>
                <w:sz w:val="24"/>
                <w:szCs w:val="24"/>
              </w:rPr>
            </w:pPr>
            <w:r>
              <w:rPr>
                <w:rFonts w:hint="eastAsia" w:ascii="仿宋" w:hAnsi="仿宋" w:eastAsia="仿宋"/>
                <w:color w:val="000000"/>
                <w:sz w:val="24"/>
                <w:szCs w:val="24"/>
              </w:rPr>
              <w:t>过程</w:t>
            </w:r>
            <w:r>
              <w:rPr>
                <w:rFonts w:hint="eastAsia" w:ascii="仿宋" w:hAnsi="仿宋" w:eastAsia="仿宋"/>
                <w:color w:val="000000"/>
                <w:sz w:val="24"/>
                <w:szCs w:val="24"/>
              </w:rPr>
              <w:br w:type="textWrapping"/>
            </w:r>
            <w:r>
              <w:rPr>
                <w:rFonts w:hint="eastAsia" w:ascii="仿宋" w:hAnsi="仿宋" w:eastAsia="仿宋"/>
                <w:color w:val="000000"/>
                <w:sz w:val="24"/>
                <w:szCs w:val="24"/>
              </w:rPr>
              <w:t>（</w:t>
            </w:r>
            <w:r>
              <w:rPr>
                <w:rFonts w:hint="eastAsia" w:ascii="仿宋" w:hAnsi="仿宋" w:eastAsia="仿宋"/>
                <w:color w:val="000000"/>
                <w:sz w:val="24"/>
                <w:szCs w:val="24"/>
                <w:lang w:val="en-US" w:eastAsia="zh-CN"/>
              </w:rPr>
              <w:t>20</w:t>
            </w:r>
            <w:r>
              <w:rPr>
                <w:rFonts w:hint="eastAsia" w:ascii="仿宋" w:hAnsi="仿宋" w:eastAsia="仿宋"/>
                <w:color w:val="000000"/>
                <w:sz w:val="24"/>
                <w:szCs w:val="24"/>
              </w:rPr>
              <w:t>分）</w:t>
            </w:r>
          </w:p>
        </w:tc>
        <w:tc>
          <w:tcPr>
            <w:tcW w:w="1435" w:type="dxa"/>
            <w:gridSpan w:val="2"/>
            <w:vMerge w:val="restart"/>
            <w:tcBorders>
              <w:tl2br w:val="nil"/>
              <w:tr2bl w:val="nil"/>
            </w:tcBorders>
            <w:shd w:val="clear" w:color="auto" w:fill="auto"/>
            <w:vAlign w:val="center"/>
          </w:tcPr>
          <w:p w14:paraId="58C54829">
            <w:pPr>
              <w:widowControl/>
              <w:jc w:val="center"/>
              <w:rPr>
                <w:rFonts w:ascii="仿宋" w:hAnsi="仿宋" w:eastAsia="仿宋"/>
                <w:color w:val="000000"/>
                <w:sz w:val="24"/>
                <w:szCs w:val="24"/>
              </w:rPr>
            </w:pPr>
            <w:r>
              <w:rPr>
                <w:rFonts w:hint="eastAsia" w:ascii="仿宋" w:hAnsi="仿宋" w:eastAsia="仿宋"/>
                <w:color w:val="000000"/>
                <w:sz w:val="24"/>
                <w:szCs w:val="24"/>
              </w:rPr>
              <w:t>资金管理</w:t>
            </w:r>
            <w:r>
              <w:rPr>
                <w:rFonts w:hint="eastAsia" w:ascii="仿宋" w:hAnsi="仿宋" w:eastAsia="仿宋"/>
                <w:color w:val="000000"/>
                <w:sz w:val="24"/>
                <w:szCs w:val="24"/>
              </w:rPr>
              <w:br w:type="textWrapping"/>
            </w:r>
            <w:r>
              <w:rPr>
                <w:rFonts w:hint="eastAsia" w:ascii="仿宋" w:hAnsi="仿宋" w:eastAsia="仿宋"/>
                <w:color w:val="000000"/>
                <w:sz w:val="24"/>
                <w:szCs w:val="24"/>
              </w:rPr>
              <w:t>（1</w:t>
            </w:r>
            <w:r>
              <w:rPr>
                <w:rFonts w:hint="eastAsia" w:ascii="仿宋" w:hAnsi="仿宋" w:eastAsia="仿宋"/>
                <w:color w:val="000000"/>
                <w:sz w:val="24"/>
                <w:szCs w:val="24"/>
                <w:lang w:val="en-US" w:eastAsia="zh-CN"/>
              </w:rPr>
              <w:t>4</w:t>
            </w:r>
            <w:r>
              <w:rPr>
                <w:rFonts w:hint="eastAsia" w:ascii="仿宋" w:hAnsi="仿宋" w:eastAsia="仿宋"/>
                <w:color w:val="000000"/>
                <w:sz w:val="24"/>
                <w:szCs w:val="24"/>
              </w:rPr>
              <w:t>分）</w:t>
            </w:r>
          </w:p>
        </w:tc>
        <w:tc>
          <w:tcPr>
            <w:tcW w:w="1600" w:type="dxa"/>
            <w:gridSpan w:val="2"/>
            <w:tcBorders>
              <w:tl2br w:val="nil"/>
              <w:tr2bl w:val="nil"/>
            </w:tcBorders>
            <w:shd w:val="clear" w:color="auto" w:fill="auto"/>
            <w:vAlign w:val="center"/>
          </w:tcPr>
          <w:p w14:paraId="02E22E49">
            <w:pPr>
              <w:widowControl/>
              <w:jc w:val="center"/>
              <w:rPr>
                <w:rFonts w:ascii="仿宋" w:hAnsi="仿宋" w:eastAsia="仿宋"/>
                <w:color w:val="000000"/>
                <w:sz w:val="24"/>
                <w:szCs w:val="24"/>
              </w:rPr>
            </w:pPr>
            <w:r>
              <w:rPr>
                <w:rFonts w:hint="eastAsia" w:ascii="仿宋" w:hAnsi="仿宋" w:eastAsia="仿宋"/>
                <w:color w:val="000000"/>
                <w:sz w:val="24"/>
                <w:szCs w:val="24"/>
              </w:rPr>
              <w:t>资金到位率</w:t>
            </w:r>
            <w:r>
              <w:rPr>
                <w:rFonts w:hint="eastAsia" w:ascii="仿宋" w:hAnsi="仿宋" w:eastAsia="仿宋"/>
                <w:color w:val="000000"/>
                <w:sz w:val="24"/>
                <w:szCs w:val="24"/>
              </w:rPr>
              <w:br w:type="textWrapping"/>
            </w:r>
            <w:r>
              <w:rPr>
                <w:rFonts w:hint="eastAsia" w:ascii="仿宋" w:hAnsi="仿宋" w:eastAsia="仿宋"/>
                <w:color w:val="000000"/>
                <w:sz w:val="24"/>
                <w:szCs w:val="24"/>
              </w:rPr>
              <w:t>（</w:t>
            </w:r>
            <w:r>
              <w:rPr>
                <w:rFonts w:hint="eastAsia" w:ascii="仿宋" w:hAnsi="仿宋" w:eastAsia="仿宋"/>
                <w:color w:val="000000"/>
                <w:sz w:val="24"/>
                <w:szCs w:val="24"/>
                <w:lang w:val="en-US" w:eastAsia="zh-CN"/>
              </w:rPr>
              <w:t>4</w:t>
            </w:r>
            <w:r>
              <w:rPr>
                <w:rFonts w:hint="eastAsia" w:ascii="仿宋" w:hAnsi="仿宋" w:eastAsia="仿宋"/>
                <w:color w:val="000000"/>
                <w:sz w:val="24"/>
                <w:szCs w:val="24"/>
              </w:rPr>
              <w:t>分）</w:t>
            </w:r>
          </w:p>
        </w:tc>
        <w:tc>
          <w:tcPr>
            <w:tcW w:w="4784" w:type="dxa"/>
            <w:tcBorders>
              <w:tl2br w:val="nil"/>
              <w:tr2bl w:val="nil"/>
            </w:tcBorders>
            <w:shd w:val="clear" w:color="auto" w:fill="auto"/>
            <w:vAlign w:val="center"/>
          </w:tcPr>
          <w:p w14:paraId="78D974FB">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资金到位率=（实际到位资金/计划投入资金）×100%。</w:t>
            </w:r>
          </w:p>
          <w:p w14:paraId="1DD8B259">
            <w:pPr>
              <w:widowControl/>
              <w:jc w:val="left"/>
              <w:rPr>
                <w:rFonts w:hint="eastAsia" w:ascii="仿宋" w:hAnsi="仿宋" w:eastAsia="仿宋"/>
                <w:color w:val="000000"/>
                <w:sz w:val="24"/>
                <w:szCs w:val="24"/>
              </w:rPr>
            </w:pPr>
            <w:r>
              <w:rPr>
                <w:rFonts w:hint="eastAsia" w:ascii="仿宋" w:hAnsi="仿宋" w:eastAsia="仿宋"/>
                <w:color w:val="000000"/>
                <w:sz w:val="24"/>
                <w:szCs w:val="24"/>
                <w:lang w:val="en-US" w:eastAsia="zh-CN"/>
              </w:rPr>
              <w:t>资金到位率为100%得满分，资金到位率＜100%，每降低5%扣1分,不足5%，按比例扣分，扣完为止。</w:t>
            </w:r>
          </w:p>
        </w:tc>
      </w:tr>
      <w:tr w14:paraId="7C399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810" w:hRule="atLeast"/>
        </w:trPr>
        <w:tc>
          <w:tcPr>
            <w:tcW w:w="825" w:type="dxa"/>
            <w:vMerge w:val="continue"/>
            <w:tcBorders>
              <w:tl2br w:val="nil"/>
              <w:tr2bl w:val="nil"/>
            </w:tcBorders>
            <w:vAlign w:val="center"/>
          </w:tcPr>
          <w:p w14:paraId="02310CE9">
            <w:pPr>
              <w:widowControl/>
              <w:jc w:val="left"/>
              <w:rPr>
                <w:rFonts w:ascii="仿宋" w:hAnsi="仿宋" w:eastAsia="仿宋"/>
                <w:color w:val="000000"/>
                <w:sz w:val="24"/>
                <w:szCs w:val="24"/>
              </w:rPr>
            </w:pPr>
          </w:p>
        </w:tc>
        <w:tc>
          <w:tcPr>
            <w:tcW w:w="1435" w:type="dxa"/>
            <w:gridSpan w:val="2"/>
            <w:vMerge w:val="continue"/>
            <w:tcBorders>
              <w:tl2br w:val="nil"/>
              <w:tr2bl w:val="nil"/>
            </w:tcBorders>
            <w:vAlign w:val="center"/>
          </w:tcPr>
          <w:p w14:paraId="1A54F8D4">
            <w:pPr>
              <w:widowControl/>
              <w:jc w:val="left"/>
              <w:rPr>
                <w:rFonts w:ascii="仿宋" w:hAnsi="仿宋" w:eastAsia="仿宋"/>
                <w:color w:val="000000"/>
                <w:sz w:val="24"/>
                <w:szCs w:val="24"/>
              </w:rPr>
            </w:pPr>
          </w:p>
        </w:tc>
        <w:tc>
          <w:tcPr>
            <w:tcW w:w="1600" w:type="dxa"/>
            <w:gridSpan w:val="2"/>
            <w:tcBorders>
              <w:tl2br w:val="nil"/>
              <w:tr2bl w:val="nil"/>
            </w:tcBorders>
            <w:shd w:val="clear" w:color="auto" w:fill="auto"/>
            <w:vAlign w:val="center"/>
          </w:tcPr>
          <w:p w14:paraId="6A469CF9">
            <w:pPr>
              <w:widowControl/>
              <w:jc w:val="center"/>
              <w:rPr>
                <w:rFonts w:ascii="仿宋" w:hAnsi="仿宋" w:eastAsia="仿宋"/>
                <w:color w:val="000000"/>
                <w:sz w:val="24"/>
                <w:szCs w:val="24"/>
              </w:rPr>
            </w:pPr>
            <w:r>
              <w:rPr>
                <w:rFonts w:hint="eastAsia" w:ascii="仿宋" w:hAnsi="仿宋" w:eastAsia="仿宋"/>
                <w:color w:val="000000"/>
                <w:sz w:val="24"/>
                <w:szCs w:val="24"/>
              </w:rPr>
              <w:t>预算执行率</w:t>
            </w:r>
            <w:r>
              <w:rPr>
                <w:rFonts w:hint="eastAsia" w:ascii="仿宋" w:hAnsi="仿宋" w:eastAsia="仿宋"/>
                <w:color w:val="000000"/>
                <w:sz w:val="24"/>
                <w:szCs w:val="24"/>
              </w:rPr>
              <w:br w:type="textWrapping"/>
            </w:r>
            <w:r>
              <w:rPr>
                <w:rFonts w:hint="eastAsia" w:ascii="仿宋" w:hAnsi="仿宋" w:eastAsia="仿宋"/>
                <w:color w:val="000000"/>
                <w:sz w:val="24"/>
                <w:szCs w:val="24"/>
              </w:rPr>
              <w:t>（</w:t>
            </w:r>
            <w:r>
              <w:rPr>
                <w:rFonts w:hint="eastAsia" w:ascii="仿宋" w:hAnsi="仿宋" w:eastAsia="仿宋"/>
                <w:color w:val="000000"/>
                <w:sz w:val="24"/>
                <w:szCs w:val="24"/>
                <w:lang w:val="en-US" w:eastAsia="zh-CN"/>
              </w:rPr>
              <w:t>5</w:t>
            </w:r>
            <w:r>
              <w:rPr>
                <w:rFonts w:hint="eastAsia" w:ascii="仿宋" w:hAnsi="仿宋" w:eastAsia="仿宋"/>
                <w:color w:val="000000"/>
                <w:sz w:val="24"/>
                <w:szCs w:val="24"/>
              </w:rPr>
              <w:t>分）</w:t>
            </w:r>
          </w:p>
        </w:tc>
        <w:tc>
          <w:tcPr>
            <w:tcW w:w="4784" w:type="dxa"/>
            <w:tcBorders>
              <w:tl2br w:val="nil"/>
              <w:tr2bl w:val="nil"/>
            </w:tcBorders>
            <w:shd w:val="clear" w:color="auto" w:fill="auto"/>
            <w:vAlign w:val="center"/>
          </w:tcPr>
          <w:p w14:paraId="1A48B8EE">
            <w:pPr>
              <w:widowControl/>
              <w:jc w:val="left"/>
              <w:rPr>
                <w:rFonts w:hint="eastAsia" w:ascii="仿宋" w:hAnsi="仿宋" w:eastAsia="仿宋"/>
                <w:color w:val="000000"/>
                <w:sz w:val="24"/>
                <w:szCs w:val="24"/>
              </w:rPr>
            </w:pPr>
            <w:r>
              <w:rPr>
                <w:rFonts w:hint="eastAsia" w:ascii="仿宋" w:hAnsi="仿宋" w:eastAsia="仿宋"/>
                <w:color w:val="000000"/>
                <w:sz w:val="24"/>
                <w:szCs w:val="24"/>
                <w:lang w:val="en-US" w:eastAsia="zh-CN"/>
              </w:rPr>
              <w:t>考察项目实施年度财政资金预算执行率，预算执行率≥90%得3分，预算执行率＜90%每降低5%扣1分，不足5%，按比例扣分，扣完为止。</w:t>
            </w:r>
          </w:p>
        </w:tc>
      </w:tr>
      <w:tr w14:paraId="198E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2160" w:hRule="atLeast"/>
        </w:trPr>
        <w:tc>
          <w:tcPr>
            <w:tcW w:w="825" w:type="dxa"/>
            <w:vMerge w:val="continue"/>
            <w:tcBorders>
              <w:tl2br w:val="nil"/>
              <w:tr2bl w:val="nil"/>
            </w:tcBorders>
            <w:vAlign w:val="center"/>
          </w:tcPr>
          <w:p w14:paraId="1E3C25DF">
            <w:pPr>
              <w:widowControl/>
              <w:jc w:val="left"/>
              <w:rPr>
                <w:rFonts w:ascii="仿宋" w:hAnsi="仿宋" w:eastAsia="仿宋"/>
                <w:color w:val="000000"/>
                <w:sz w:val="24"/>
                <w:szCs w:val="24"/>
              </w:rPr>
            </w:pPr>
          </w:p>
        </w:tc>
        <w:tc>
          <w:tcPr>
            <w:tcW w:w="1435" w:type="dxa"/>
            <w:gridSpan w:val="2"/>
            <w:vMerge w:val="continue"/>
            <w:tcBorders>
              <w:tl2br w:val="nil"/>
              <w:tr2bl w:val="nil"/>
            </w:tcBorders>
            <w:vAlign w:val="center"/>
          </w:tcPr>
          <w:p w14:paraId="3C499A99">
            <w:pPr>
              <w:widowControl/>
              <w:jc w:val="left"/>
              <w:rPr>
                <w:rFonts w:ascii="仿宋" w:hAnsi="仿宋" w:eastAsia="仿宋"/>
                <w:color w:val="000000"/>
                <w:sz w:val="24"/>
                <w:szCs w:val="24"/>
              </w:rPr>
            </w:pPr>
          </w:p>
        </w:tc>
        <w:tc>
          <w:tcPr>
            <w:tcW w:w="1600" w:type="dxa"/>
            <w:gridSpan w:val="2"/>
            <w:tcBorders>
              <w:tl2br w:val="nil"/>
              <w:tr2bl w:val="nil"/>
            </w:tcBorders>
            <w:shd w:val="clear" w:color="auto" w:fill="auto"/>
            <w:vAlign w:val="center"/>
          </w:tcPr>
          <w:p w14:paraId="283B017D">
            <w:pPr>
              <w:widowControl/>
              <w:jc w:val="center"/>
              <w:rPr>
                <w:rFonts w:ascii="仿宋" w:hAnsi="仿宋" w:eastAsia="仿宋"/>
                <w:color w:val="000000"/>
                <w:sz w:val="24"/>
                <w:szCs w:val="24"/>
              </w:rPr>
            </w:pPr>
            <w:r>
              <w:rPr>
                <w:rFonts w:hint="eastAsia" w:ascii="仿宋" w:hAnsi="仿宋" w:eastAsia="仿宋"/>
                <w:color w:val="000000"/>
                <w:sz w:val="24"/>
                <w:szCs w:val="24"/>
              </w:rPr>
              <w:t>资金使用合规性</w:t>
            </w:r>
            <w:r>
              <w:rPr>
                <w:rFonts w:hint="eastAsia" w:ascii="仿宋" w:hAnsi="仿宋" w:eastAsia="仿宋"/>
                <w:color w:val="000000"/>
                <w:sz w:val="24"/>
                <w:szCs w:val="24"/>
              </w:rPr>
              <w:br w:type="textWrapping"/>
            </w:r>
            <w:r>
              <w:rPr>
                <w:rFonts w:hint="eastAsia" w:ascii="仿宋" w:hAnsi="仿宋" w:eastAsia="仿宋"/>
                <w:color w:val="000000"/>
                <w:sz w:val="24"/>
                <w:szCs w:val="24"/>
              </w:rPr>
              <w:t>（</w:t>
            </w:r>
            <w:r>
              <w:rPr>
                <w:rFonts w:hint="eastAsia" w:ascii="仿宋" w:hAnsi="仿宋" w:eastAsia="仿宋"/>
                <w:color w:val="000000"/>
                <w:sz w:val="24"/>
                <w:szCs w:val="24"/>
                <w:lang w:val="en-US" w:eastAsia="zh-CN"/>
              </w:rPr>
              <w:t>5</w:t>
            </w:r>
            <w:r>
              <w:rPr>
                <w:rFonts w:hint="eastAsia" w:ascii="仿宋" w:hAnsi="仿宋" w:eastAsia="仿宋"/>
                <w:color w:val="000000"/>
                <w:sz w:val="24"/>
                <w:szCs w:val="24"/>
              </w:rPr>
              <w:t>分）</w:t>
            </w:r>
          </w:p>
        </w:tc>
        <w:tc>
          <w:tcPr>
            <w:tcW w:w="4784" w:type="dxa"/>
            <w:tcBorders>
              <w:tl2br w:val="nil"/>
              <w:tr2bl w:val="nil"/>
            </w:tcBorders>
            <w:shd w:val="clear" w:color="auto" w:fill="auto"/>
            <w:vAlign w:val="center"/>
          </w:tcPr>
          <w:p w14:paraId="7B51DDA7">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①是否制定了专项资金管理办法；</w:t>
            </w:r>
          </w:p>
          <w:p w14:paraId="4C23C8D1">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②财务制度是否规范并得到较好执行；</w:t>
            </w:r>
          </w:p>
          <w:p w14:paraId="284AAD47">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③资金使用是否符合项目立项批复文件中列明的建设范围和用途使用；</w:t>
            </w:r>
          </w:p>
          <w:p w14:paraId="5B8208F0">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④是否按照国家财经法规和财务管理制度以及有关专项债券资金管理的规定，对资金收支、成本进行转账核算；</w:t>
            </w:r>
          </w:p>
          <w:p w14:paraId="41F80D44">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⑤资金的拨付是否有完整的审批程序和手续；</w:t>
            </w:r>
          </w:p>
          <w:p w14:paraId="6789D514">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⑥是否存在截留、挤占、挪用、虚列支出等情况。</w:t>
            </w:r>
          </w:p>
          <w:p w14:paraId="3CDDF035">
            <w:pPr>
              <w:widowControl/>
              <w:jc w:val="left"/>
              <w:rPr>
                <w:rFonts w:hint="eastAsia" w:ascii="仿宋" w:hAnsi="仿宋" w:eastAsia="仿宋"/>
                <w:color w:val="000000"/>
                <w:sz w:val="24"/>
                <w:szCs w:val="24"/>
              </w:rPr>
            </w:pPr>
            <w:r>
              <w:rPr>
                <w:rFonts w:hint="eastAsia" w:ascii="仿宋" w:hAnsi="仿宋" w:eastAsia="仿宋"/>
                <w:color w:val="000000"/>
                <w:sz w:val="24"/>
                <w:szCs w:val="24"/>
                <w:lang w:val="en-US" w:eastAsia="zh-CN"/>
              </w:rPr>
              <w:t>满分5分，发现一项问题扣1分，扣完为止。</w:t>
            </w:r>
          </w:p>
        </w:tc>
      </w:tr>
      <w:tr w14:paraId="3A8E7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1080" w:hRule="atLeast"/>
        </w:trPr>
        <w:tc>
          <w:tcPr>
            <w:tcW w:w="825" w:type="dxa"/>
            <w:vMerge w:val="continue"/>
            <w:tcBorders>
              <w:tl2br w:val="nil"/>
              <w:tr2bl w:val="nil"/>
            </w:tcBorders>
            <w:vAlign w:val="center"/>
          </w:tcPr>
          <w:p w14:paraId="70719DFB">
            <w:pPr>
              <w:widowControl/>
              <w:jc w:val="left"/>
              <w:rPr>
                <w:rFonts w:ascii="仿宋" w:hAnsi="仿宋" w:eastAsia="仿宋"/>
                <w:color w:val="000000"/>
                <w:sz w:val="24"/>
                <w:szCs w:val="24"/>
              </w:rPr>
            </w:pPr>
          </w:p>
        </w:tc>
        <w:tc>
          <w:tcPr>
            <w:tcW w:w="1435" w:type="dxa"/>
            <w:gridSpan w:val="2"/>
            <w:vMerge w:val="restart"/>
            <w:tcBorders>
              <w:tl2br w:val="nil"/>
              <w:tr2bl w:val="nil"/>
            </w:tcBorders>
            <w:shd w:val="clear" w:color="auto" w:fill="auto"/>
            <w:vAlign w:val="center"/>
          </w:tcPr>
          <w:p w14:paraId="3C379A12">
            <w:pPr>
              <w:widowControl/>
              <w:jc w:val="center"/>
              <w:rPr>
                <w:rFonts w:hint="eastAsia" w:ascii="仿宋" w:hAnsi="仿宋" w:eastAsia="仿宋"/>
                <w:color w:val="000000"/>
                <w:sz w:val="24"/>
                <w:szCs w:val="24"/>
              </w:rPr>
            </w:pPr>
            <w:r>
              <w:rPr>
                <w:rFonts w:hint="eastAsia" w:ascii="仿宋" w:hAnsi="仿宋" w:eastAsia="仿宋"/>
                <w:color w:val="000000"/>
                <w:sz w:val="24"/>
                <w:szCs w:val="24"/>
              </w:rPr>
              <w:t>组织实施</w:t>
            </w:r>
          </w:p>
          <w:p w14:paraId="2E2E2EDB">
            <w:pPr>
              <w:widowControl/>
              <w:jc w:val="center"/>
              <w:rPr>
                <w:rFonts w:ascii="仿宋" w:hAnsi="仿宋" w:eastAsia="仿宋"/>
                <w:color w:val="000000"/>
                <w:sz w:val="24"/>
                <w:szCs w:val="24"/>
              </w:rPr>
            </w:pPr>
            <w:r>
              <w:rPr>
                <w:rFonts w:hint="eastAsia" w:ascii="仿宋" w:hAnsi="仿宋" w:eastAsia="仿宋"/>
                <w:color w:val="000000"/>
                <w:sz w:val="24"/>
                <w:szCs w:val="24"/>
              </w:rPr>
              <w:br w:type="page"/>
            </w:r>
            <w:r>
              <w:rPr>
                <w:rFonts w:hint="eastAsia" w:ascii="仿宋" w:hAnsi="仿宋" w:eastAsia="仿宋"/>
                <w:color w:val="000000"/>
                <w:sz w:val="24"/>
                <w:szCs w:val="24"/>
              </w:rPr>
              <w:t>（6分）</w:t>
            </w:r>
            <w:r>
              <w:rPr>
                <w:rFonts w:hint="eastAsia" w:ascii="仿宋" w:hAnsi="仿宋" w:eastAsia="仿宋"/>
                <w:color w:val="000000"/>
                <w:sz w:val="24"/>
                <w:szCs w:val="24"/>
              </w:rPr>
              <w:br w:type="page"/>
            </w:r>
          </w:p>
        </w:tc>
        <w:tc>
          <w:tcPr>
            <w:tcW w:w="1600" w:type="dxa"/>
            <w:gridSpan w:val="2"/>
            <w:tcBorders>
              <w:tl2br w:val="nil"/>
              <w:tr2bl w:val="nil"/>
            </w:tcBorders>
            <w:shd w:val="clear" w:color="auto" w:fill="auto"/>
            <w:vAlign w:val="center"/>
          </w:tcPr>
          <w:p w14:paraId="5DE9ABCD">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管理制度健全性</w:t>
            </w:r>
          </w:p>
          <w:p w14:paraId="1FCF5148">
            <w:pPr>
              <w:widowControl/>
              <w:jc w:val="center"/>
              <w:rPr>
                <w:rFonts w:hint="eastAsia" w:ascii="仿宋" w:hAnsi="仿宋" w:eastAsia="仿宋"/>
                <w:color w:val="000000"/>
                <w:sz w:val="24"/>
                <w:szCs w:val="24"/>
              </w:rPr>
            </w:pPr>
            <w:r>
              <w:rPr>
                <w:rFonts w:hint="eastAsia" w:ascii="仿宋" w:hAnsi="仿宋" w:eastAsia="仿宋"/>
                <w:color w:val="000000"/>
                <w:sz w:val="24"/>
                <w:szCs w:val="24"/>
                <w:lang w:val="en-US" w:eastAsia="zh-CN"/>
              </w:rPr>
              <w:t>（3分）</w:t>
            </w:r>
          </w:p>
        </w:tc>
        <w:tc>
          <w:tcPr>
            <w:tcW w:w="4784" w:type="dxa"/>
            <w:tcBorders>
              <w:tl2br w:val="nil"/>
              <w:tr2bl w:val="nil"/>
            </w:tcBorders>
            <w:shd w:val="clear" w:color="auto" w:fill="auto"/>
            <w:vAlign w:val="center"/>
          </w:tcPr>
          <w:p w14:paraId="563FCB28">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①是否已制定完善的预算资金管理办法、内部财务管理制度、会计核算制度等管理制度；</w:t>
            </w:r>
          </w:p>
          <w:p w14:paraId="2C7D750A">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②相关管理制度是否得到有效执行。</w:t>
            </w:r>
          </w:p>
          <w:p w14:paraId="7F325D85">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满分3分，发现一项问题扣1分，扣完为止。</w:t>
            </w:r>
          </w:p>
        </w:tc>
      </w:tr>
      <w:tr w14:paraId="3C0F8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600" w:hRule="atLeast"/>
        </w:trPr>
        <w:tc>
          <w:tcPr>
            <w:tcW w:w="825" w:type="dxa"/>
            <w:vMerge w:val="continue"/>
            <w:tcBorders>
              <w:tl2br w:val="nil"/>
              <w:tr2bl w:val="nil"/>
            </w:tcBorders>
            <w:vAlign w:val="center"/>
          </w:tcPr>
          <w:p w14:paraId="6C6AFB06">
            <w:pPr>
              <w:widowControl/>
              <w:jc w:val="left"/>
              <w:rPr>
                <w:rFonts w:ascii="仿宋" w:hAnsi="仿宋" w:eastAsia="仿宋"/>
                <w:color w:val="000000"/>
                <w:sz w:val="24"/>
                <w:szCs w:val="24"/>
              </w:rPr>
            </w:pPr>
          </w:p>
        </w:tc>
        <w:tc>
          <w:tcPr>
            <w:tcW w:w="1435" w:type="dxa"/>
            <w:gridSpan w:val="2"/>
            <w:vMerge w:val="continue"/>
            <w:tcBorders>
              <w:tl2br w:val="nil"/>
              <w:tr2bl w:val="nil"/>
            </w:tcBorders>
            <w:vAlign w:val="center"/>
          </w:tcPr>
          <w:p w14:paraId="3EE53D0A">
            <w:pPr>
              <w:widowControl/>
              <w:jc w:val="left"/>
              <w:rPr>
                <w:rFonts w:ascii="仿宋" w:hAnsi="仿宋" w:eastAsia="仿宋"/>
                <w:color w:val="000000"/>
                <w:sz w:val="24"/>
                <w:szCs w:val="24"/>
              </w:rPr>
            </w:pPr>
          </w:p>
        </w:tc>
        <w:tc>
          <w:tcPr>
            <w:tcW w:w="1600" w:type="dxa"/>
            <w:gridSpan w:val="2"/>
            <w:tcBorders>
              <w:tl2br w:val="nil"/>
              <w:tr2bl w:val="nil"/>
            </w:tcBorders>
            <w:shd w:val="clear" w:color="auto" w:fill="auto"/>
            <w:vAlign w:val="center"/>
          </w:tcPr>
          <w:p w14:paraId="40523FE5">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制度执行有效性</w:t>
            </w:r>
          </w:p>
          <w:p w14:paraId="3614F651">
            <w:pPr>
              <w:widowControl/>
              <w:jc w:val="center"/>
              <w:rPr>
                <w:rFonts w:hint="eastAsia" w:ascii="仿宋" w:hAnsi="仿宋" w:eastAsia="仿宋"/>
                <w:color w:val="000000"/>
                <w:sz w:val="24"/>
                <w:szCs w:val="24"/>
              </w:rPr>
            </w:pPr>
            <w:r>
              <w:rPr>
                <w:rFonts w:hint="eastAsia" w:ascii="仿宋" w:hAnsi="仿宋" w:eastAsia="仿宋"/>
                <w:color w:val="000000"/>
                <w:sz w:val="24"/>
                <w:szCs w:val="24"/>
                <w:lang w:val="en-US" w:eastAsia="zh-CN"/>
              </w:rPr>
              <w:t>（3分）</w:t>
            </w:r>
          </w:p>
        </w:tc>
        <w:tc>
          <w:tcPr>
            <w:tcW w:w="4784" w:type="dxa"/>
            <w:tcBorders>
              <w:tl2br w:val="nil"/>
              <w:tr2bl w:val="nil"/>
            </w:tcBorders>
            <w:shd w:val="clear" w:color="auto" w:fill="auto"/>
            <w:vAlign w:val="center"/>
          </w:tcPr>
          <w:p w14:paraId="6549FD7D">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①是否遵守相关法律法规和相关管理规定；</w:t>
            </w:r>
          </w:p>
          <w:p w14:paraId="3C21D328">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②项目调整及支出调整手续是否完备；</w:t>
            </w:r>
          </w:p>
          <w:p w14:paraId="58DF391F">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③项目合同书、验收报告、技术鉴定等资料是否齐全并及时归档；</w:t>
            </w:r>
          </w:p>
          <w:p w14:paraId="36374DEB">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④项目实施的人员条件、场地设备、信息支撑等是否落实到位。</w:t>
            </w:r>
          </w:p>
          <w:p w14:paraId="3F48FECE">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满分3分，发现一项问题扣1分，扣完为止。</w:t>
            </w:r>
          </w:p>
        </w:tc>
      </w:tr>
      <w:tr w14:paraId="0E673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690" w:hRule="atLeast"/>
        </w:trPr>
        <w:tc>
          <w:tcPr>
            <w:tcW w:w="825" w:type="dxa"/>
            <w:vMerge w:val="restart"/>
            <w:tcBorders>
              <w:tl2br w:val="nil"/>
              <w:tr2bl w:val="nil"/>
            </w:tcBorders>
            <w:shd w:val="clear" w:color="auto" w:fill="auto"/>
            <w:vAlign w:val="center"/>
          </w:tcPr>
          <w:p w14:paraId="65C32E09">
            <w:pPr>
              <w:widowControl/>
              <w:jc w:val="center"/>
              <w:rPr>
                <w:rFonts w:ascii="仿宋" w:hAnsi="仿宋" w:eastAsia="仿宋"/>
                <w:color w:val="000000"/>
                <w:sz w:val="24"/>
                <w:szCs w:val="24"/>
              </w:rPr>
            </w:pPr>
            <w:r>
              <w:rPr>
                <w:rFonts w:hint="eastAsia" w:ascii="仿宋" w:hAnsi="仿宋" w:eastAsia="仿宋"/>
                <w:color w:val="000000"/>
                <w:sz w:val="24"/>
                <w:szCs w:val="24"/>
              </w:rPr>
              <w:t>产出</w:t>
            </w:r>
            <w:r>
              <w:rPr>
                <w:rFonts w:hint="eastAsia" w:ascii="仿宋" w:hAnsi="仿宋" w:eastAsia="仿宋"/>
                <w:color w:val="000000"/>
                <w:sz w:val="24"/>
                <w:szCs w:val="24"/>
              </w:rPr>
              <w:br w:type="textWrapping"/>
            </w:r>
            <w:r>
              <w:rPr>
                <w:rFonts w:hint="eastAsia" w:ascii="仿宋" w:hAnsi="仿宋" w:eastAsia="仿宋"/>
                <w:color w:val="000000"/>
                <w:sz w:val="24"/>
                <w:szCs w:val="24"/>
              </w:rPr>
              <w:t>（</w:t>
            </w:r>
            <w:r>
              <w:rPr>
                <w:rFonts w:hint="eastAsia" w:ascii="仿宋" w:hAnsi="仿宋" w:eastAsia="仿宋"/>
                <w:color w:val="000000"/>
                <w:sz w:val="24"/>
                <w:szCs w:val="24"/>
                <w:lang w:val="en-US" w:eastAsia="zh-CN"/>
              </w:rPr>
              <w:t>25</w:t>
            </w:r>
            <w:r>
              <w:rPr>
                <w:rFonts w:hint="eastAsia" w:ascii="仿宋" w:hAnsi="仿宋" w:eastAsia="仿宋"/>
                <w:color w:val="000000"/>
                <w:sz w:val="24"/>
                <w:szCs w:val="24"/>
              </w:rPr>
              <w:t>分）</w:t>
            </w:r>
          </w:p>
        </w:tc>
        <w:tc>
          <w:tcPr>
            <w:tcW w:w="1435" w:type="dxa"/>
            <w:gridSpan w:val="2"/>
            <w:vMerge w:val="restart"/>
            <w:tcBorders>
              <w:tl2br w:val="nil"/>
              <w:tr2bl w:val="nil"/>
            </w:tcBorders>
            <w:shd w:val="clear" w:color="auto" w:fill="auto"/>
            <w:vAlign w:val="center"/>
          </w:tcPr>
          <w:p w14:paraId="3227C884">
            <w:pPr>
              <w:widowControl/>
              <w:jc w:val="center"/>
              <w:rPr>
                <w:rFonts w:hint="eastAsia" w:ascii="仿宋" w:hAnsi="仿宋" w:eastAsia="仿宋"/>
                <w:color w:val="000000"/>
                <w:sz w:val="24"/>
                <w:szCs w:val="24"/>
              </w:rPr>
            </w:pPr>
            <w:r>
              <w:rPr>
                <w:rFonts w:hint="eastAsia" w:ascii="仿宋" w:hAnsi="仿宋" w:eastAsia="仿宋"/>
                <w:color w:val="000000"/>
                <w:sz w:val="24"/>
                <w:szCs w:val="24"/>
                <w:lang w:val="en-US" w:eastAsia="zh-CN"/>
              </w:rPr>
              <w:t>产出数量（14分）</w:t>
            </w:r>
          </w:p>
        </w:tc>
        <w:tc>
          <w:tcPr>
            <w:tcW w:w="1600" w:type="dxa"/>
            <w:gridSpan w:val="2"/>
            <w:tcBorders>
              <w:tl2br w:val="nil"/>
              <w:tr2bl w:val="nil"/>
            </w:tcBorders>
            <w:shd w:val="clear" w:color="auto" w:fill="auto"/>
            <w:vAlign w:val="center"/>
          </w:tcPr>
          <w:p w14:paraId="05583D05">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新增运力增长</w:t>
            </w:r>
          </w:p>
          <w:p w14:paraId="0345A8D0">
            <w:pPr>
              <w:widowControl/>
              <w:jc w:val="center"/>
              <w:rPr>
                <w:rFonts w:ascii="仿宋" w:hAnsi="仿宋" w:eastAsia="仿宋"/>
                <w:color w:val="000000"/>
                <w:sz w:val="24"/>
                <w:szCs w:val="24"/>
              </w:rPr>
            </w:pPr>
            <w:r>
              <w:rPr>
                <w:rFonts w:hint="eastAsia" w:ascii="仿宋" w:hAnsi="仿宋" w:eastAsia="仿宋"/>
                <w:color w:val="000000"/>
                <w:sz w:val="24"/>
                <w:szCs w:val="24"/>
                <w:lang w:val="en-US" w:eastAsia="zh-CN"/>
              </w:rPr>
              <w:t>（6分）</w:t>
            </w:r>
          </w:p>
        </w:tc>
        <w:tc>
          <w:tcPr>
            <w:tcW w:w="4784" w:type="dxa"/>
            <w:tcBorders>
              <w:tl2br w:val="nil"/>
              <w:tr2bl w:val="nil"/>
            </w:tcBorders>
            <w:shd w:val="clear" w:color="auto" w:fill="auto"/>
            <w:vAlign w:val="center"/>
          </w:tcPr>
          <w:p w14:paraId="1B727306">
            <w:pPr>
              <w:widowControl/>
              <w:jc w:val="left"/>
              <w:rPr>
                <w:rFonts w:hint="eastAsia" w:ascii="仿宋" w:hAnsi="仿宋" w:eastAsia="仿宋"/>
                <w:color w:val="000000"/>
                <w:sz w:val="24"/>
                <w:szCs w:val="24"/>
              </w:rPr>
            </w:pPr>
            <w:r>
              <w:rPr>
                <w:rFonts w:hint="eastAsia" w:ascii="仿宋" w:hAnsi="仿宋" w:eastAsia="仿宋"/>
                <w:color w:val="000000"/>
                <w:sz w:val="24"/>
                <w:szCs w:val="24"/>
                <w:lang w:val="en-US" w:eastAsia="zh-CN"/>
              </w:rPr>
              <w:t>比较2021-2022年申报的船舶新增运力，从企业数量、船舶数量、总运力变化三个维度进行评分，较上一轮补贴的企业数量、船舶数量、总运力都有所增长各得2分，持平各得1分，降低各得0分，满分6分。</w:t>
            </w:r>
          </w:p>
        </w:tc>
      </w:tr>
      <w:tr w14:paraId="57A94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668" w:hRule="atLeast"/>
        </w:trPr>
        <w:tc>
          <w:tcPr>
            <w:tcW w:w="825" w:type="dxa"/>
            <w:vMerge w:val="continue"/>
            <w:tcBorders>
              <w:tl2br w:val="nil"/>
              <w:tr2bl w:val="nil"/>
            </w:tcBorders>
            <w:vAlign w:val="center"/>
          </w:tcPr>
          <w:p w14:paraId="5014D6EA">
            <w:pPr>
              <w:widowControl/>
              <w:jc w:val="left"/>
              <w:rPr>
                <w:rFonts w:ascii="仿宋" w:hAnsi="仿宋" w:eastAsia="仿宋"/>
                <w:color w:val="000000"/>
                <w:sz w:val="24"/>
                <w:szCs w:val="24"/>
              </w:rPr>
            </w:pPr>
          </w:p>
        </w:tc>
        <w:tc>
          <w:tcPr>
            <w:tcW w:w="1435" w:type="dxa"/>
            <w:gridSpan w:val="2"/>
            <w:vMerge w:val="continue"/>
            <w:tcBorders>
              <w:tl2br w:val="nil"/>
              <w:tr2bl w:val="nil"/>
            </w:tcBorders>
            <w:vAlign w:val="center"/>
          </w:tcPr>
          <w:p w14:paraId="14CDF46D">
            <w:pPr>
              <w:widowControl/>
              <w:jc w:val="center"/>
              <w:rPr>
                <w:rFonts w:hint="eastAsia" w:ascii="仿宋" w:hAnsi="仿宋" w:eastAsia="仿宋"/>
                <w:color w:val="000000"/>
                <w:sz w:val="24"/>
                <w:szCs w:val="24"/>
              </w:rPr>
            </w:pPr>
          </w:p>
        </w:tc>
        <w:tc>
          <w:tcPr>
            <w:tcW w:w="1600" w:type="dxa"/>
            <w:gridSpan w:val="2"/>
            <w:tcBorders>
              <w:tl2br w:val="nil"/>
              <w:tr2bl w:val="nil"/>
            </w:tcBorders>
            <w:shd w:val="clear" w:color="auto" w:fill="auto"/>
            <w:vAlign w:val="center"/>
          </w:tcPr>
          <w:p w14:paraId="1D335E7F">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运力规模扩大</w:t>
            </w:r>
          </w:p>
          <w:p w14:paraId="6677A722">
            <w:pPr>
              <w:widowControl/>
              <w:jc w:val="center"/>
              <w:rPr>
                <w:rFonts w:hint="eastAsia" w:ascii="仿宋" w:hAnsi="仿宋" w:eastAsia="仿宋"/>
                <w:color w:val="000000"/>
                <w:sz w:val="24"/>
                <w:szCs w:val="24"/>
              </w:rPr>
            </w:pPr>
            <w:r>
              <w:rPr>
                <w:rFonts w:hint="eastAsia" w:ascii="仿宋" w:hAnsi="仿宋" w:eastAsia="仿宋"/>
                <w:color w:val="000000"/>
                <w:sz w:val="24"/>
                <w:szCs w:val="24"/>
                <w:lang w:val="en-US" w:eastAsia="zh-CN"/>
              </w:rPr>
              <w:t>（4分）</w:t>
            </w:r>
          </w:p>
        </w:tc>
        <w:tc>
          <w:tcPr>
            <w:tcW w:w="4784" w:type="dxa"/>
            <w:tcBorders>
              <w:tl2br w:val="nil"/>
              <w:tr2bl w:val="nil"/>
            </w:tcBorders>
            <w:shd w:val="clear" w:color="auto" w:fill="auto"/>
            <w:vAlign w:val="center"/>
          </w:tcPr>
          <w:p w14:paraId="59B127A0">
            <w:pPr>
              <w:widowControl/>
              <w:jc w:val="left"/>
              <w:rPr>
                <w:rFonts w:hint="eastAsia" w:ascii="仿宋" w:hAnsi="仿宋" w:eastAsia="仿宋"/>
                <w:color w:val="000000"/>
                <w:sz w:val="24"/>
                <w:szCs w:val="24"/>
              </w:rPr>
            </w:pPr>
            <w:r>
              <w:rPr>
                <w:rFonts w:hint="eastAsia" w:ascii="仿宋" w:hAnsi="仿宋" w:eastAsia="仿宋"/>
                <w:color w:val="000000"/>
                <w:sz w:val="24"/>
                <w:szCs w:val="24"/>
                <w:lang w:val="en-US" w:eastAsia="zh-CN"/>
              </w:rPr>
              <w:t>比较2021-2022年各受补贴企业的运力规模变化，从企业数量、运力规模变化两个维度进行评分，较上一轮补贴的企业数量、运力规模都有所增长各得2分，持平各得1分，降低各得0分，满分4分。</w:t>
            </w:r>
          </w:p>
        </w:tc>
      </w:tr>
      <w:tr w14:paraId="30593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728" w:hRule="atLeast"/>
        </w:trPr>
        <w:tc>
          <w:tcPr>
            <w:tcW w:w="825" w:type="dxa"/>
            <w:vMerge w:val="continue"/>
            <w:tcBorders>
              <w:tl2br w:val="nil"/>
              <w:tr2bl w:val="nil"/>
            </w:tcBorders>
            <w:vAlign w:val="center"/>
          </w:tcPr>
          <w:p w14:paraId="5920A900">
            <w:pPr>
              <w:widowControl/>
              <w:jc w:val="left"/>
              <w:rPr>
                <w:rFonts w:ascii="仿宋" w:hAnsi="仿宋" w:eastAsia="仿宋"/>
                <w:color w:val="000000"/>
                <w:sz w:val="24"/>
                <w:szCs w:val="24"/>
              </w:rPr>
            </w:pPr>
          </w:p>
        </w:tc>
        <w:tc>
          <w:tcPr>
            <w:tcW w:w="1435" w:type="dxa"/>
            <w:gridSpan w:val="2"/>
            <w:vMerge w:val="continue"/>
            <w:tcBorders>
              <w:tl2br w:val="nil"/>
              <w:tr2bl w:val="nil"/>
            </w:tcBorders>
            <w:vAlign w:val="center"/>
          </w:tcPr>
          <w:p w14:paraId="6A8C22C6">
            <w:pPr>
              <w:widowControl/>
              <w:jc w:val="center"/>
              <w:rPr>
                <w:rFonts w:hint="eastAsia" w:ascii="仿宋" w:hAnsi="仿宋" w:eastAsia="仿宋"/>
                <w:color w:val="000000"/>
                <w:sz w:val="24"/>
                <w:szCs w:val="24"/>
              </w:rPr>
            </w:pPr>
          </w:p>
        </w:tc>
        <w:tc>
          <w:tcPr>
            <w:tcW w:w="1600" w:type="dxa"/>
            <w:gridSpan w:val="2"/>
            <w:tcBorders>
              <w:tl2br w:val="nil"/>
              <w:tr2bl w:val="nil"/>
            </w:tcBorders>
            <w:shd w:val="clear" w:color="auto" w:fill="auto"/>
            <w:vAlign w:val="center"/>
          </w:tcPr>
          <w:p w14:paraId="08C4211E">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贷款贴息政策补贴情况</w:t>
            </w:r>
          </w:p>
          <w:p w14:paraId="562DE35D">
            <w:pPr>
              <w:widowControl/>
              <w:jc w:val="center"/>
              <w:rPr>
                <w:rFonts w:hint="eastAsia" w:ascii="仿宋" w:hAnsi="仿宋" w:eastAsia="仿宋"/>
                <w:color w:val="000000"/>
                <w:sz w:val="24"/>
                <w:szCs w:val="24"/>
              </w:rPr>
            </w:pPr>
            <w:r>
              <w:rPr>
                <w:rFonts w:hint="eastAsia" w:ascii="仿宋" w:hAnsi="仿宋" w:eastAsia="仿宋"/>
                <w:color w:val="000000"/>
                <w:sz w:val="24"/>
                <w:szCs w:val="24"/>
                <w:lang w:val="en-US" w:eastAsia="zh-CN"/>
              </w:rPr>
              <w:t>（4分）</w:t>
            </w:r>
          </w:p>
        </w:tc>
        <w:tc>
          <w:tcPr>
            <w:tcW w:w="4784" w:type="dxa"/>
            <w:tcBorders>
              <w:tl2br w:val="nil"/>
              <w:tr2bl w:val="nil"/>
            </w:tcBorders>
            <w:shd w:val="clear" w:color="auto" w:fill="auto"/>
            <w:vAlign w:val="center"/>
          </w:tcPr>
          <w:p w14:paraId="04B1ACE4">
            <w:pPr>
              <w:widowControl/>
              <w:jc w:val="left"/>
              <w:rPr>
                <w:rFonts w:hint="eastAsia" w:ascii="仿宋" w:hAnsi="仿宋" w:eastAsia="仿宋"/>
                <w:color w:val="000000"/>
                <w:sz w:val="24"/>
                <w:szCs w:val="24"/>
              </w:rPr>
            </w:pPr>
            <w:r>
              <w:rPr>
                <w:rFonts w:hint="eastAsia" w:ascii="仿宋" w:hAnsi="仿宋" w:eastAsia="仿宋"/>
                <w:color w:val="000000"/>
                <w:sz w:val="24"/>
                <w:szCs w:val="24"/>
                <w:lang w:val="en-US" w:eastAsia="zh-CN"/>
              </w:rPr>
              <w:t>比较2021-2022年各受补贴企业的运力规模变化，从企业数量、船舶数量两个维度进行评分，较上一轮补贴的企业数量、船舶数量都有所增长各得2分，持平各得1分，降低各得0分，满分4分。</w:t>
            </w:r>
          </w:p>
        </w:tc>
      </w:tr>
      <w:tr w14:paraId="5EC7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810" w:hRule="atLeast"/>
        </w:trPr>
        <w:tc>
          <w:tcPr>
            <w:tcW w:w="825" w:type="dxa"/>
            <w:vMerge w:val="continue"/>
            <w:tcBorders>
              <w:tl2br w:val="nil"/>
              <w:tr2bl w:val="nil"/>
            </w:tcBorders>
            <w:vAlign w:val="center"/>
          </w:tcPr>
          <w:p w14:paraId="1784A72C">
            <w:pPr>
              <w:widowControl/>
              <w:jc w:val="left"/>
              <w:rPr>
                <w:rFonts w:ascii="仿宋" w:hAnsi="仿宋" w:eastAsia="仿宋"/>
                <w:color w:val="000000"/>
                <w:sz w:val="24"/>
                <w:szCs w:val="24"/>
              </w:rPr>
            </w:pPr>
          </w:p>
        </w:tc>
        <w:tc>
          <w:tcPr>
            <w:tcW w:w="1435" w:type="dxa"/>
            <w:gridSpan w:val="2"/>
            <w:vMerge w:val="restart"/>
            <w:tcBorders>
              <w:tl2br w:val="nil"/>
              <w:tr2bl w:val="nil"/>
            </w:tcBorders>
            <w:shd w:val="clear" w:color="auto" w:fill="auto"/>
            <w:vAlign w:val="center"/>
          </w:tcPr>
          <w:p w14:paraId="4722A182">
            <w:pPr>
              <w:widowControl/>
              <w:jc w:val="center"/>
              <w:rPr>
                <w:rFonts w:hint="eastAsia" w:ascii="仿宋" w:hAnsi="仿宋" w:eastAsia="仿宋"/>
                <w:color w:val="000000"/>
                <w:sz w:val="24"/>
                <w:szCs w:val="24"/>
              </w:rPr>
            </w:pPr>
            <w:r>
              <w:rPr>
                <w:rFonts w:hint="eastAsia" w:ascii="仿宋" w:hAnsi="仿宋" w:eastAsia="仿宋"/>
                <w:color w:val="000000"/>
                <w:sz w:val="24"/>
                <w:szCs w:val="24"/>
                <w:lang w:val="en-US" w:eastAsia="zh-CN"/>
              </w:rPr>
              <w:t>产出质量（8分）</w:t>
            </w:r>
          </w:p>
        </w:tc>
        <w:tc>
          <w:tcPr>
            <w:tcW w:w="1600" w:type="dxa"/>
            <w:gridSpan w:val="2"/>
            <w:tcBorders>
              <w:tl2br w:val="nil"/>
              <w:tr2bl w:val="nil"/>
            </w:tcBorders>
            <w:shd w:val="clear" w:color="auto" w:fill="auto"/>
            <w:vAlign w:val="center"/>
          </w:tcPr>
          <w:p w14:paraId="67D937A7">
            <w:pPr>
              <w:widowControl/>
              <w:jc w:val="center"/>
              <w:rPr>
                <w:rFonts w:hint="default" w:ascii="仿宋" w:hAnsi="仿宋" w:eastAsia="仿宋"/>
                <w:color w:val="000000"/>
                <w:sz w:val="24"/>
                <w:szCs w:val="24"/>
                <w:lang w:val="en-US" w:eastAsia="zh-CN"/>
              </w:rPr>
            </w:pPr>
            <w:r>
              <w:rPr>
                <w:rFonts w:hint="default" w:ascii="仿宋" w:hAnsi="仿宋" w:eastAsia="仿宋"/>
                <w:color w:val="000000"/>
                <w:sz w:val="24"/>
                <w:szCs w:val="24"/>
                <w:lang w:val="en-US" w:eastAsia="zh-CN"/>
              </w:rPr>
              <w:t>新增船舶平均船龄</w:t>
            </w:r>
          </w:p>
          <w:p w14:paraId="73ED34E7">
            <w:pPr>
              <w:widowControl/>
              <w:jc w:val="center"/>
              <w:rPr>
                <w:rFonts w:hint="eastAsia" w:ascii="仿宋" w:hAnsi="仿宋" w:eastAsia="仿宋"/>
                <w:color w:val="000000"/>
                <w:sz w:val="24"/>
                <w:szCs w:val="24"/>
              </w:rPr>
            </w:pPr>
            <w:r>
              <w:rPr>
                <w:rFonts w:hint="default" w:ascii="仿宋" w:hAnsi="仿宋" w:eastAsia="仿宋"/>
                <w:color w:val="000000"/>
                <w:sz w:val="24"/>
                <w:szCs w:val="24"/>
                <w:lang w:val="en-US" w:eastAsia="zh-CN"/>
              </w:rPr>
              <w:t>（</w:t>
            </w:r>
            <w:r>
              <w:rPr>
                <w:rFonts w:hint="eastAsia" w:ascii="仿宋" w:hAnsi="仿宋" w:eastAsia="仿宋"/>
                <w:color w:val="000000"/>
                <w:sz w:val="24"/>
                <w:szCs w:val="24"/>
                <w:lang w:val="en-US" w:eastAsia="zh-CN"/>
              </w:rPr>
              <w:t>4分</w:t>
            </w:r>
            <w:r>
              <w:rPr>
                <w:rFonts w:hint="default" w:ascii="仿宋" w:hAnsi="仿宋" w:eastAsia="仿宋"/>
                <w:color w:val="000000"/>
                <w:sz w:val="24"/>
                <w:szCs w:val="24"/>
                <w:lang w:val="en-US" w:eastAsia="zh-CN"/>
              </w:rPr>
              <w:t>）</w:t>
            </w:r>
          </w:p>
        </w:tc>
        <w:tc>
          <w:tcPr>
            <w:tcW w:w="4784" w:type="dxa"/>
            <w:tcBorders>
              <w:tl2br w:val="nil"/>
              <w:tr2bl w:val="nil"/>
            </w:tcBorders>
            <w:shd w:val="clear" w:color="auto" w:fill="auto"/>
            <w:vAlign w:val="center"/>
          </w:tcPr>
          <w:p w14:paraId="78E29DA4">
            <w:pPr>
              <w:widowControl/>
              <w:jc w:val="left"/>
              <w:rPr>
                <w:rFonts w:hint="eastAsia" w:ascii="仿宋" w:hAnsi="仿宋" w:eastAsia="仿宋"/>
                <w:color w:val="000000"/>
                <w:sz w:val="24"/>
                <w:szCs w:val="24"/>
              </w:rPr>
            </w:pPr>
            <w:r>
              <w:rPr>
                <w:rFonts w:hint="eastAsia" w:ascii="仿宋" w:hAnsi="仿宋" w:eastAsia="仿宋"/>
                <w:color w:val="000000"/>
                <w:sz w:val="24"/>
                <w:szCs w:val="24"/>
                <w:lang w:val="en-US" w:eastAsia="zh-CN"/>
              </w:rPr>
              <w:t>衡量新增达到补助标准</w:t>
            </w:r>
            <w:r>
              <w:rPr>
                <w:rFonts w:hint="default" w:ascii="仿宋" w:hAnsi="仿宋" w:eastAsia="仿宋"/>
                <w:color w:val="000000"/>
                <w:sz w:val="24"/>
                <w:szCs w:val="24"/>
                <w:lang w:val="en-US" w:eastAsia="zh-CN"/>
              </w:rPr>
              <w:t>船舶</w:t>
            </w:r>
            <w:r>
              <w:rPr>
                <w:rFonts w:hint="eastAsia" w:ascii="仿宋" w:hAnsi="仿宋" w:eastAsia="仿宋"/>
                <w:color w:val="000000"/>
                <w:sz w:val="24"/>
                <w:szCs w:val="24"/>
                <w:lang w:val="en-US" w:eastAsia="zh-CN"/>
              </w:rPr>
              <w:t>船龄结构是否优化，</w:t>
            </w:r>
            <w:r>
              <w:rPr>
                <w:rFonts w:hint="default" w:ascii="仿宋" w:hAnsi="仿宋" w:eastAsia="仿宋"/>
                <w:color w:val="000000"/>
                <w:sz w:val="24"/>
                <w:szCs w:val="24"/>
                <w:lang w:val="en-US" w:eastAsia="zh-CN"/>
              </w:rPr>
              <w:t>新增</w:t>
            </w:r>
            <w:r>
              <w:rPr>
                <w:rFonts w:hint="eastAsia" w:ascii="仿宋" w:hAnsi="仿宋" w:eastAsia="仿宋"/>
                <w:color w:val="000000"/>
                <w:sz w:val="24"/>
                <w:szCs w:val="24"/>
                <w:lang w:val="en-US" w:eastAsia="zh-CN"/>
              </w:rPr>
              <w:t>达到补助标准</w:t>
            </w:r>
            <w:r>
              <w:rPr>
                <w:rFonts w:hint="default" w:ascii="仿宋" w:hAnsi="仿宋" w:eastAsia="仿宋"/>
                <w:color w:val="000000"/>
                <w:sz w:val="24"/>
                <w:szCs w:val="24"/>
                <w:lang w:val="en-US" w:eastAsia="zh-CN"/>
              </w:rPr>
              <w:t>船舶平均船龄</w:t>
            </w:r>
            <w:r>
              <w:rPr>
                <w:rFonts w:hint="eastAsia" w:ascii="仿宋" w:hAnsi="仿宋" w:eastAsia="仿宋"/>
                <w:color w:val="000000"/>
                <w:sz w:val="24"/>
                <w:szCs w:val="24"/>
                <w:lang w:val="en-US" w:eastAsia="zh-CN"/>
              </w:rPr>
              <w:t>较10年每少1年得1分，满分4分。</w:t>
            </w:r>
          </w:p>
        </w:tc>
      </w:tr>
      <w:tr w14:paraId="29C0E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810" w:hRule="atLeast"/>
        </w:trPr>
        <w:tc>
          <w:tcPr>
            <w:tcW w:w="825" w:type="dxa"/>
            <w:vMerge w:val="continue"/>
            <w:tcBorders>
              <w:tl2br w:val="nil"/>
              <w:tr2bl w:val="nil"/>
            </w:tcBorders>
            <w:vAlign w:val="center"/>
          </w:tcPr>
          <w:p w14:paraId="71F6E45B">
            <w:pPr>
              <w:widowControl/>
              <w:jc w:val="left"/>
              <w:rPr>
                <w:rFonts w:ascii="仿宋" w:hAnsi="仿宋" w:eastAsia="仿宋"/>
                <w:color w:val="000000"/>
                <w:sz w:val="24"/>
                <w:szCs w:val="24"/>
              </w:rPr>
            </w:pPr>
          </w:p>
        </w:tc>
        <w:tc>
          <w:tcPr>
            <w:tcW w:w="1435" w:type="dxa"/>
            <w:gridSpan w:val="2"/>
            <w:vMerge w:val="continue"/>
            <w:tcBorders>
              <w:tl2br w:val="nil"/>
              <w:tr2bl w:val="nil"/>
            </w:tcBorders>
            <w:shd w:val="clear" w:color="auto" w:fill="auto"/>
            <w:vAlign w:val="center"/>
          </w:tcPr>
          <w:p w14:paraId="07804E7A">
            <w:pPr>
              <w:widowControl/>
              <w:jc w:val="center"/>
              <w:rPr>
                <w:rFonts w:hint="eastAsia" w:ascii="仿宋" w:hAnsi="仿宋" w:eastAsia="仿宋"/>
                <w:color w:val="000000"/>
                <w:sz w:val="24"/>
                <w:szCs w:val="24"/>
              </w:rPr>
            </w:pPr>
          </w:p>
        </w:tc>
        <w:tc>
          <w:tcPr>
            <w:tcW w:w="1600" w:type="dxa"/>
            <w:gridSpan w:val="2"/>
            <w:tcBorders>
              <w:tl2br w:val="nil"/>
              <w:tr2bl w:val="nil"/>
            </w:tcBorders>
            <w:shd w:val="clear" w:color="auto" w:fill="auto"/>
            <w:vAlign w:val="center"/>
          </w:tcPr>
          <w:p w14:paraId="617686DD">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船舶载货量结构升级</w:t>
            </w:r>
          </w:p>
          <w:p w14:paraId="338ED8BA">
            <w:pPr>
              <w:widowControl/>
              <w:jc w:val="center"/>
              <w:rPr>
                <w:rFonts w:hint="eastAsia" w:ascii="仿宋" w:hAnsi="仿宋" w:eastAsia="仿宋"/>
                <w:color w:val="000000"/>
                <w:sz w:val="24"/>
                <w:szCs w:val="24"/>
              </w:rPr>
            </w:pPr>
            <w:r>
              <w:rPr>
                <w:rFonts w:hint="eastAsia" w:ascii="仿宋" w:hAnsi="仿宋" w:eastAsia="仿宋"/>
                <w:color w:val="000000"/>
                <w:sz w:val="24"/>
                <w:szCs w:val="24"/>
                <w:lang w:val="en-US" w:eastAsia="zh-CN"/>
              </w:rPr>
              <w:t>（4分）</w:t>
            </w:r>
          </w:p>
        </w:tc>
        <w:tc>
          <w:tcPr>
            <w:tcW w:w="4784" w:type="dxa"/>
            <w:tcBorders>
              <w:tl2br w:val="nil"/>
              <w:tr2bl w:val="nil"/>
            </w:tcBorders>
            <w:shd w:val="clear" w:color="auto" w:fill="auto"/>
            <w:vAlign w:val="center"/>
          </w:tcPr>
          <w:p w14:paraId="24FD5B2B">
            <w:pPr>
              <w:widowControl/>
              <w:jc w:val="left"/>
              <w:rPr>
                <w:rFonts w:hint="eastAsia" w:ascii="仿宋" w:hAnsi="仿宋" w:eastAsia="仿宋"/>
                <w:color w:val="000000"/>
                <w:sz w:val="24"/>
                <w:szCs w:val="24"/>
              </w:rPr>
            </w:pPr>
            <w:r>
              <w:rPr>
                <w:rFonts w:hint="eastAsia" w:ascii="仿宋" w:hAnsi="仿宋" w:eastAsia="仿宋"/>
                <w:color w:val="000000"/>
                <w:sz w:val="24"/>
                <w:szCs w:val="24"/>
                <w:lang w:val="en-US" w:eastAsia="zh-CN"/>
              </w:rPr>
              <w:t>衡量新增达到补助标准</w:t>
            </w:r>
            <w:r>
              <w:rPr>
                <w:rFonts w:hint="default" w:ascii="仿宋" w:hAnsi="仿宋" w:eastAsia="仿宋"/>
                <w:color w:val="000000"/>
                <w:sz w:val="24"/>
                <w:szCs w:val="24"/>
                <w:lang w:val="en-US" w:eastAsia="zh-CN"/>
              </w:rPr>
              <w:t>船舶</w:t>
            </w:r>
            <w:r>
              <w:rPr>
                <w:rFonts w:hint="eastAsia" w:ascii="仿宋" w:hAnsi="仿宋" w:eastAsia="仿宋"/>
                <w:color w:val="000000"/>
                <w:sz w:val="24"/>
                <w:szCs w:val="24"/>
                <w:lang w:val="en-US" w:eastAsia="zh-CN"/>
              </w:rPr>
              <w:t>运力结构是否升级，得分=新增达到补助标准</w:t>
            </w:r>
            <w:r>
              <w:rPr>
                <w:rFonts w:hint="default" w:ascii="仿宋" w:hAnsi="仿宋" w:eastAsia="仿宋"/>
                <w:color w:val="000000"/>
                <w:sz w:val="24"/>
                <w:szCs w:val="24"/>
                <w:lang w:val="en-US" w:eastAsia="zh-CN"/>
              </w:rPr>
              <w:t>船舶</w:t>
            </w:r>
            <w:r>
              <w:rPr>
                <w:rFonts w:hint="eastAsia" w:ascii="仿宋" w:hAnsi="仿宋" w:eastAsia="仿宋"/>
                <w:color w:val="000000"/>
                <w:sz w:val="24"/>
                <w:szCs w:val="24"/>
                <w:lang w:val="en-US" w:eastAsia="zh-CN"/>
              </w:rPr>
              <w:t>运力达到5万载重吨（含）以上占比×4+1万载重吨（含）至5万载重吨以下船舶占比×2+5000载重吨至1万载重吨以下船舶占比×0。</w:t>
            </w:r>
          </w:p>
        </w:tc>
      </w:tr>
      <w:tr w14:paraId="0843E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810" w:hRule="atLeast"/>
        </w:trPr>
        <w:tc>
          <w:tcPr>
            <w:tcW w:w="825" w:type="dxa"/>
            <w:vMerge w:val="continue"/>
            <w:tcBorders>
              <w:tl2br w:val="nil"/>
              <w:tr2bl w:val="nil"/>
            </w:tcBorders>
            <w:vAlign w:val="center"/>
          </w:tcPr>
          <w:p w14:paraId="5D19664C">
            <w:pPr>
              <w:widowControl/>
              <w:jc w:val="left"/>
              <w:rPr>
                <w:rFonts w:ascii="仿宋" w:hAnsi="仿宋" w:eastAsia="仿宋"/>
                <w:color w:val="000000"/>
                <w:sz w:val="24"/>
                <w:szCs w:val="24"/>
              </w:rPr>
            </w:pPr>
          </w:p>
        </w:tc>
        <w:tc>
          <w:tcPr>
            <w:tcW w:w="1435" w:type="dxa"/>
            <w:gridSpan w:val="2"/>
            <w:tcBorders>
              <w:tl2br w:val="nil"/>
              <w:tr2bl w:val="nil"/>
            </w:tcBorders>
            <w:shd w:val="clear" w:color="auto" w:fill="auto"/>
            <w:vAlign w:val="center"/>
          </w:tcPr>
          <w:p w14:paraId="606D9DDA">
            <w:pPr>
              <w:widowControl/>
              <w:jc w:val="center"/>
              <w:rPr>
                <w:rFonts w:hint="eastAsia" w:ascii="仿宋" w:hAnsi="仿宋" w:eastAsia="仿宋"/>
                <w:color w:val="000000"/>
                <w:sz w:val="24"/>
                <w:szCs w:val="24"/>
              </w:rPr>
            </w:pPr>
            <w:r>
              <w:rPr>
                <w:rFonts w:hint="eastAsia" w:ascii="仿宋" w:hAnsi="仿宋" w:eastAsia="仿宋"/>
                <w:color w:val="000000"/>
                <w:sz w:val="24"/>
                <w:szCs w:val="24"/>
                <w:lang w:val="en-US" w:eastAsia="zh-CN"/>
              </w:rPr>
              <w:t>产出时效（3分）</w:t>
            </w:r>
          </w:p>
        </w:tc>
        <w:tc>
          <w:tcPr>
            <w:tcW w:w="1600" w:type="dxa"/>
            <w:gridSpan w:val="2"/>
            <w:tcBorders>
              <w:tl2br w:val="nil"/>
              <w:tr2bl w:val="nil"/>
            </w:tcBorders>
            <w:shd w:val="clear" w:color="auto" w:fill="auto"/>
            <w:vAlign w:val="center"/>
          </w:tcPr>
          <w:p w14:paraId="148508BD">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补贴按时发放</w:t>
            </w:r>
          </w:p>
          <w:p w14:paraId="466A98E3">
            <w:pPr>
              <w:widowControl/>
              <w:jc w:val="center"/>
              <w:rPr>
                <w:rFonts w:hint="eastAsia" w:ascii="仿宋" w:hAnsi="仿宋" w:eastAsia="仿宋"/>
                <w:color w:val="000000"/>
                <w:sz w:val="24"/>
                <w:szCs w:val="24"/>
              </w:rPr>
            </w:pPr>
            <w:r>
              <w:rPr>
                <w:rFonts w:hint="eastAsia" w:ascii="仿宋" w:hAnsi="仿宋" w:eastAsia="仿宋"/>
                <w:color w:val="000000"/>
                <w:sz w:val="24"/>
                <w:szCs w:val="24"/>
                <w:lang w:val="en-US" w:eastAsia="zh-CN"/>
              </w:rPr>
              <w:t>（3分）</w:t>
            </w:r>
          </w:p>
        </w:tc>
        <w:tc>
          <w:tcPr>
            <w:tcW w:w="4784" w:type="dxa"/>
            <w:tcBorders>
              <w:tl2br w:val="nil"/>
              <w:tr2bl w:val="nil"/>
            </w:tcBorders>
            <w:shd w:val="clear" w:color="auto" w:fill="auto"/>
            <w:vAlign w:val="center"/>
          </w:tcPr>
          <w:p w14:paraId="682E9F5B">
            <w:pPr>
              <w:widowControl/>
              <w:jc w:val="left"/>
              <w:rPr>
                <w:rFonts w:hint="eastAsia" w:ascii="仿宋" w:hAnsi="仿宋" w:eastAsia="仿宋"/>
                <w:color w:val="000000"/>
                <w:sz w:val="24"/>
                <w:szCs w:val="24"/>
              </w:rPr>
            </w:pPr>
            <w:r>
              <w:rPr>
                <w:rFonts w:hint="eastAsia" w:ascii="仿宋" w:hAnsi="仿宋" w:eastAsia="仿宋"/>
                <w:color w:val="000000"/>
                <w:sz w:val="24"/>
                <w:szCs w:val="24"/>
                <w:lang w:val="en-US" w:eastAsia="zh-CN"/>
              </w:rPr>
              <w:t>依规按时发放补贴，每延迟1个月扣1分，满分3分，扣完为止。</w:t>
            </w:r>
          </w:p>
        </w:tc>
      </w:tr>
      <w:tr w14:paraId="0FEB5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540" w:hRule="atLeast"/>
        </w:trPr>
        <w:tc>
          <w:tcPr>
            <w:tcW w:w="825" w:type="dxa"/>
            <w:vMerge w:val="restart"/>
            <w:tcBorders>
              <w:tl2br w:val="nil"/>
              <w:tr2bl w:val="nil"/>
            </w:tcBorders>
            <w:shd w:val="clear" w:color="auto" w:fill="auto"/>
            <w:vAlign w:val="center"/>
          </w:tcPr>
          <w:p w14:paraId="031B02E8">
            <w:pPr>
              <w:widowControl/>
              <w:jc w:val="center"/>
              <w:rPr>
                <w:rFonts w:ascii="仿宋" w:hAnsi="仿宋" w:eastAsia="仿宋"/>
                <w:color w:val="000000"/>
                <w:sz w:val="24"/>
                <w:szCs w:val="24"/>
              </w:rPr>
            </w:pPr>
            <w:r>
              <w:rPr>
                <w:rFonts w:hint="eastAsia" w:ascii="仿宋" w:hAnsi="仿宋" w:eastAsia="仿宋"/>
                <w:color w:val="000000"/>
                <w:sz w:val="24"/>
                <w:szCs w:val="24"/>
              </w:rPr>
              <w:t>效益</w:t>
            </w:r>
            <w:r>
              <w:rPr>
                <w:rFonts w:hint="eastAsia" w:ascii="仿宋" w:hAnsi="仿宋" w:eastAsia="仿宋"/>
                <w:color w:val="000000"/>
                <w:sz w:val="24"/>
                <w:szCs w:val="24"/>
              </w:rPr>
              <w:br w:type="textWrapping"/>
            </w:r>
            <w:r>
              <w:rPr>
                <w:rFonts w:hint="eastAsia" w:ascii="仿宋" w:hAnsi="仿宋" w:eastAsia="仿宋"/>
                <w:color w:val="000000"/>
                <w:sz w:val="24"/>
                <w:szCs w:val="24"/>
              </w:rPr>
              <w:t>（35分）</w:t>
            </w:r>
          </w:p>
        </w:tc>
        <w:tc>
          <w:tcPr>
            <w:tcW w:w="1435" w:type="dxa"/>
            <w:gridSpan w:val="2"/>
            <w:vMerge w:val="restart"/>
            <w:tcBorders>
              <w:tl2br w:val="nil"/>
              <w:tr2bl w:val="nil"/>
            </w:tcBorders>
            <w:shd w:val="clear" w:color="auto" w:fill="auto"/>
            <w:vAlign w:val="center"/>
          </w:tcPr>
          <w:p w14:paraId="2BC80590">
            <w:pPr>
              <w:widowControl/>
              <w:jc w:val="center"/>
              <w:rPr>
                <w:rFonts w:ascii="仿宋" w:hAnsi="仿宋" w:eastAsia="仿宋"/>
                <w:color w:val="000000"/>
                <w:sz w:val="24"/>
                <w:szCs w:val="24"/>
              </w:rPr>
            </w:pPr>
            <w:r>
              <w:rPr>
                <w:rFonts w:hint="eastAsia" w:ascii="仿宋" w:hAnsi="仿宋" w:eastAsia="仿宋"/>
                <w:color w:val="000000"/>
                <w:sz w:val="24"/>
                <w:szCs w:val="24"/>
              </w:rPr>
              <w:t>社会效益</w:t>
            </w:r>
            <w:r>
              <w:rPr>
                <w:rFonts w:hint="eastAsia" w:ascii="仿宋" w:hAnsi="仿宋" w:eastAsia="仿宋"/>
                <w:color w:val="000000"/>
                <w:sz w:val="24"/>
                <w:szCs w:val="24"/>
              </w:rPr>
              <w:br w:type="textWrapping"/>
            </w:r>
            <w:r>
              <w:rPr>
                <w:rFonts w:hint="eastAsia" w:ascii="仿宋" w:hAnsi="仿宋" w:eastAsia="仿宋"/>
                <w:color w:val="000000"/>
                <w:sz w:val="24"/>
                <w:szCs w:val="24"/>
              </w:rPr>
              <w:t>（</w:t>
            </w:r>
            <w:r>
              <w:rPr>
                <w:rFonts w:hint="eastAsia" w:ascii="仿宋" w:hAnsi="仿宋" w:eastAsia="仿宋"/>
                <w:color w:val="000000"/>
                <w:sz w:val="24"/>
                <w:szCs w:val="24"/>
                <w:lang w:val="en-US" w:eastAsia="zh-CN"/>
              </w:rPr>
              <w:t>12</w:t>
            </w:r>
            <w:r>
              <w:rPr>
                <w:rFonts w:hint="eastAsia" w:ascii="仿宋" w:hAnsi="仿宋" w:eastAsia="仿宋"/>
                <w:color w:val="000000"/>
                <w:sz w:val="24"/>
                <w:szCs w:val="24"/>
              </w:rPr>
              <w:t>分）</w:t>
            </w:r>
          </w:p>
        </w:tc>
        <w:tc>
          <w:tcPr>
            <w:tcW w:w="1600" w:type="dxa"/>
            <w:gridSpan w:val="2"/>
            <w:tcBorders>
              <w:tl2br w:val="nil"/>
              <w:tr2bl w:val="nil"/>
            </w:tcBorders>
            <w:shd w:val="clear" w:color="auto" w:fill="auto"/>
            <w:vAlign w:val="center"/>
          </w:tcPr>
          <w:p w14:paraId="353DDE68">
            <w:pPr>
              <w:widowControl/>
              <w:jc w:val="center"/>
              <w:rPr>
                <w:rFonts w:hint="default" w:ascii="仿宋" w:hAnsi="仿宋" w:eastAsia="仿宋"/>
                <w:color w:val="000000"/>
                <w:sz w:val="24"/>
                <w:szCs w:val="24"/>
                <w:lang w:val="en-US" w:eastAsia="zh-CN"/>
              </w:rPr>
            </w:pPr>
            <w:r>
              <w:rPr>
                <w:rFonts w:hint="eastAsia" w:ascii="仿宋" w:hAnsi="仿宋" w:eastAsia="仿宋"/>
                <w:color w:val="000000"/>
                <w:sz w:val="24"/>
                <w:szCs w:val="24"/>
                <w:lang w:val="en-US" w:eastAsia="zh-CN"/>
              </w:rPr>
              <w:t>就业带动效应</w:t>
            </w:r>
          </w:p>
          <w:p w14:paraId="45B781B3">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（6分）</w:t>
            </w:r>
          </w:p>
        </w:tc>
        <w:tc>
          <w:tcPr>
            <w:tcW w:w="4784" w:type="dxa"/>
            <w:tcBorders>
              <w:tl2br w:val="nil"/>
              <w:tr2bl w:val="nil"/>
            </w:tcBorders>
            <w:shd w:val="clear" w:color="auto" w:fill="auto"/>
            <w:vAlign w:val="center"/>
          </w:tcPr>
          <w:p w14:paraId="2227B583">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根据调查问卷受补贴企业提供的雇员人数变化情况，2025年较2024年雇员人数增长得6分，雇员人数持平得3分，雇员人数减少不得分。得分=（∑企业获补贴占比×对应分值）/实际提交问卷企业的获得补贴占比。</w:t>
            </w:r>
          </w:p>
        </w:tc>
      </w:tr>
      <w:tr w14:paraId="47F6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540" w:hRule="atLeast"/>
        </w:trPr>
        <w:tc>
          <w:tcPr>
            <w:tcW w:w="825" w:type="dxa"/>
            <w:vMerge w:val="continue"/>
            <w:tcBorders>
              <w:tl2br w:val="nil"/>
              <w:tr2bl w:val="nil"/>
            </w:tcBorders>
            <w:vAlign w:val="center"/>
          </w:tcPr>
          <w:p w14:paraId="3E9FAEC4">
            <w:pPr>
              <w:widowControl/>
              <w:jc w:val="left"/>
              <w:rPr>
                <w:rFonts w:ascii="仿宋" w:hAnsi="仿宋" w:eastAsia="仿宋"/>
                <w:color w:val="000000"/>
                <w:sz w:val="24"/>
                <w:szCs w:val="24"/>
              </w:rPr>
            </w:pPr>
          </w:p>
        </w:tc>
        <w:tc>
          <w:tcPr>
            <w:tcW w:w="1435" w:type="dxa"/>
            <w:gridSpan w:val="2"/>
            <w:vMerge w:val="continue"/>
            <w:tcBorders>
              <w:tl2br w:val="nil"/>
              <w:tr2bl w:val="nil"/>
            </w:tcBorders>
            <w:vAlign w:val="center"/>
          </w:tcPr>
          <w:p w14:paraId="76FDE785">
            <w:pPr>
              <w:widowControl/>
              <w:jc w:val="left"/>
              <w:rPr>
                <w:rFonts w:ascii="仿宋" w:hAnsi="仿宋" w:eastAsia="仿宋"/>
                <w:color w:val="000000"/>
                <w:sz w:val="24"/>
                <w:szCs w:val="24"/>
              </w:rPr>
            </w:pPr>
          </w:p>
        </w:tc>
        <w:tc>
          <w:tcPr>
            <w:tcW w:w="1600" w:type="dxa"/>
            <w:gridSpan w:val="2"/>
            <w:tcBorders>
              <w:tl2br w:val="nil"/>
              <w:tr2bl w:val="nil"/>
            </w:tcBorders>
            <w:shd w:val="clear" w:color="auto" w:fill="auto"/>
            <w:vAlign w:val="center"/>
          </w:tcPr>
          <w:p w14:paraId="5FAAC131">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受补贴企业数量</w:t>
            </w:r>
          </w:p>
          <w:p w14:paraId="0F774E38">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（6分）</w:t>
            </w:r>
          </w:p>
        </w:tc>
        <w:tc>
          <w:tcPr>
            <w:tcW w:w="4784" w:type="dxa"/>
            <w:tcBorders>
              <w:tl2br w:val="nil"/>
              <w:tr2bl w:val="nil"/>
            </w:tcBorders>
            <w:shd w:val="clear" w:color="auto" w:fill="auto"/>
            <w:vAlign w:val="center"/>
          </w:tcPr>
          <w:p w14:paraId="759689B3">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受补贴企业数量每增加1家可得1分，满分6分。</w:t>
            </w:r>
          </w:p>
        </w:tc>
      </w:tr>
      <w:tr w14:paraId="1ED1D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810" w:hRule="atLeast"/>
        </w:trPr>
        <w:tc>
          <w:tcPr>
            <w:tcW w:w="825" w:type="dxa"/>
            <w:vMerge w:val="continue"/>
            <w:tcBorders>
              <w:tl2br w:val="nil"/>
              <w:tr2bl w:val="nil"/>
            </w:tcBorders>
            <w:vAlign w:val="center"/>
          </w:tcPr>
          <w:p w14:paraId="3C3CEEAA">
            <w:pPr>
              <w:widowControl/>
              <w:jc w:val="left"/>
              <w:rPr>
                <w:rFonts w:ascii="仿宋" w:hAnsi="仿宋" w:eastAsia="仿宋"/>
                <w:color w:val="000000"/>
                <w:sz w:val="24"/>
                <w:szCs w:val="24"/>
              </w:rPr>
            </w:pPr>
          </w:p>
        </w:tc>
        <w:tc>
          <w:tcPr>
            <w:tcW w:w="1435" w:type="dxa"/>
            <w:gridSpan w:val="2"/>
            <w:vMerge w:val="restart"/>
            <w:tcBorders>
              <w:tl2br w:val="nil"/>
              <w:tr2bl w:val="nil"/>
            </w:tcBorders>
            <w:shd w:val="clear" w:color="auto" w:fill="auto"/>
            <w:vAlign w:val="center"/>
          </w:tcPr>
          <w:p w14:paraId="68C7BD45">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经济效益</w:t>
            </w:r>
          </w:p>
          <w:p w14:paraId="76016434">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（10分）</w:t>
            </w:r>
          </w:p>
        </w:tc>
        <w:tc>
          <w:tcPr>
            <w:tcW w:w="1600" w:type="dxa"/>
            <w:gridSpan w:val="2"/>
            <w:tcBorders>
              <w:tl2br w:val="nil"/>
              <w:tr2bl w:val="nil"/>
            </w:tcBorders>
            <w:shd w:val="clear" w:color="auto" w:fill="auto"/>
            <w:vAlign w:val="center"/>
          </w:tcPr>
          <w:p w14:paraId="40963A7F">
            <w:pPr>
              <w:widowControl/>
              <w:jc w:val="center"/>
              <w:rPr>
                <w:rFonts w:hint="default" w:ascii="仿宋" w:hAnsi="仿宋" w:eastAsia="仿宋"/>
                <w:color w:val="000000"/>
                <w:sz w:val="24"/>
                <w:szCs w:val="24"/>
                <w:lang w:val="en-US" w:eastAsia="zh-CN"/>
              </w:rPr>
            </w:pPr>
            <w:r>
              <w:rPr>
                <w:rFonts w:hint="eastAsia" w:ascii="仿宋" w:hAnsi="仿宋" w:eastAsia="仿宋"/>
                <w:color w:val="000000"/>
                <w:sz w:val="24"/>
                <w:szCs w:val="24"/>
                <w:lang w:val="en-US" w:eastAsia="zh-CN"/>
              </w:rPr>
              <w:t>受补贴企业</w:t>
            </w:r>
            <w:r>
              <w:rPr>
                <w:rFonts w:hint="default" w:ascii="仿宋" w:hAnsi="仿宋" w:eastAsia="仿宋"/>
                <w:color w:val="000000"/>
                <w:sz w:val="24"/>
                <w:szCs w:val="24"/>
                <w:lang w:val="en-US" w:eastAsia="zh-CN"/>
              </w:rPr>
              <w:t>营收增长</w:t>
            </w:r>
          </w:p>
          <w:p w14:paraId="032C12C4">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（4分）</w:t>
            </w:r>
          </w:p>
        </w:tc>
        <w:tc>
          <w:tcPr>
            <w:tcW w:w="4784" w:type="dxa"/>
            <w:tcBorders>
              <w:tl2br w:val="nil"/>
              <w:tr2bl w:val="nil"/>
            </w:tcBorders>
            <w:shd w:val="clear" w:color="auto" w:fill="auto"/>
            <w:vAlign w:val="center"/>
          </w:tcPr>
          <w:p w14:paraId="3E225F8C">
            <w:pPr>
              <w:widowControl/>
              <w:jc w:val="left"/>
              <w:rPr>
                <w:rFonts w:hint="default" w:ascii="仿宋" w:hAnsi="仿宋" w:eastAsia="仿宋"/>
                <w:color w:val="000000"/>
                <w:sz w:val="24"/>
                <w:szCs w:val="24"/>
                <w:lang w:val="en-US" w:eastAsia="zh-CN"/>
              </w:rPr>
            </w:pPr>
            <w:r>
              <w:rPr>
                <w:rFonts w:hint="eastAsia" w:ascii="仿宋" w:hAnsi="仿宋" w:eastAsia="仿宋"/>
                <w:color w:val="000000"/>
                <w:sz w:val="24"/>
                <w:szCs w:val="24"/>
                <w:lang w:val="en-US" w:eastAsia="zh-CN"/>
              </w:rPr>
              <w:t>根据受补贴企业提供的</w:t>
            </w:r>
            <w:r>
              <w:rPr>
                <w:rFonts w:hint="default" w:ascii="仿宋" w:hAnsi="仿宋" w:eastAsia="仿宋"/>
                <w:color w:val="000000"/>
                <w:sz w:val="24"/>
                <w:szCs w:val="24"/>
                <w:lang w:val="en-US" w:eastAsia="zh-CN"/>
              </w:rPr>
              <w:t>营收</w:t>
            </w:r>
            <w:r>
              <w:rPr>
                <w:rFonts w:hint="eastAsia" w:ascii="仿宋" w:hAnsi="仿宋" w:eastAsia="仿宋"/>
                <w:color w:val="000000"/>
                <w:sz w:val="24"/>
                <w:szCs w:val="24"/>
                <w:lang w:val="en-US" w:eastAsia="zh-CN"/>
              </w:rPr>
              <w:t>变化情况，2023年、2024年连续两年营收较上年增长的企业得4分，2023年、2024年中一年营收较上年增长的企业得2分，2023年、2024年连续两年营收较上年减少的企业不得分。得分=（∑企业获补贴占比×对应分值）/实际提交问卷企业的获得补贴占比。</w:t>
            </w:r>
          </w:p>
          <w:p w14:paraId="1458E2E1">
            <w:pPr>
              <w:widowControl/>
              <w:jc w:val="left"/>
              <w:rPr>
                <w:rFonts w:hint="eastAsia" w:ascii="仿宋" w:hAnsi="仿宋" w:eastAsia="仿宋"/>
                <w:color w:val="000000"/>
                <w:sz w:val="24"/>
                <w:szCs w:val="24"/>
              </w:rPr>
            </w:pPr>
          </w:p>
        </w:tc>
      </w:tr>
      <w:tr w14:paraId="02223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810" w:hRule="atLeast"/>
        </w:trPr>
        <w:tc>
          <w:tcPr>
            <w:tcW w:w="825" w:type="dxa"/>
            <w:vMerge w:val="continue"/>
            <w:tcBorders>
              <w:tl2br w:val="nil"/>
              <w:tr2bl w:val="nil"/>
            </w:tcBorders>
            <w:vAlign w:val="center"/>
          </w:tcPr>
          <w:p w14:paraId="61AFCF55">
            <w:pPr>
              <w:widowControl/>
              <w:jc w:val="left"/>
              <w:rPr>
                <w:rFonts w:ascii="仿宋" w:hAnsi="仿宋" w:eastAsia="仿宋"/>
                <w:color w:val="000000"/>
                <w:sz w:val="24"/>
                <w:szCs w:val="24"/>
              </w:rPr>
            </w:pPr>
          </w:p>
        </w:tc>
        <w:tc>
          <w:tcPr>
            <w:tcW w:w="1435" w:type="dxa"/>
            <w:gridSpan w:val="2"/>
            <w:vMerge w:val="continue"/>
            <w:tcBorders>
              <w:tl2br w:val="nil"/>
              <w:tr2bl w:val="nil"/>
            </w:tcBorders>
            <w:shd w:val="clear" w:color="auto" w:fill="auto"/>
            <w:vAlign w:val="center"/>
          </w:tcPr>
          <w:p w14:paraId="5435078F">
            <w:pPr>
              <w:widowControl/>
              <w:jc w:val="center"/>
              <w:rPr>
                <w:rFonts w:hint="eastAsia" w:ascii="仿宋" w:hAnsi="仿宋" w:eastAsia="仿宋"/>
                <w:color w:val="000000"/>
                <w:sz w:val="24"/>
                <w:szCs w:val="24"/>
                <w:lang w:val="en-US" w:eastAsia="zh-CN"/>
              </w:rPr>
            </w:pPr>
          </w:p>
        </w:tc>
        <w:tc>
          <w:tcPr>
            <w:tcW w:w="1600" w:type="dxa"/>
            <w:gridSpan w:val="2"/>
            <w:tcBorders>
              <w:tl2br w:val="nil"/>
              <w:tr2bl w:val="nil"/>
            </w:tcBorders>
            <w:shd w:val="clear" w:color="auto" w:fill="auto"/>
            <w:vAlign w:val="center"/>
          </w:tcPr>
          <w:p w14:paraId="0FE94365">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受补贴企业税收增长</w:t>
            </w:r>
          </w:p>
          <w:p w14:paraId="3D53F49D">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（6分）</w:t>
            </w:r>
          </w:p>
        </w:tc>
        <w:tc>
          <w:tcPr>
            <w:tcW w:w="4784" w:type="dxa"/>
            <w:tcBorders>
              <w:tl2br w:val="nil"/>
              <w:tr2bl w:val="nil"/>
            </w:tcBorders>
            <w:shd w:val="clear" w:color="auto" w:fill="auto"/>
            <w:vAlign w:val="center"/>
          </w:tcPr>
          <w:p w14:paraId="36BF5F28">
            <w:pPr>
              <w:widowControl/>
              <w:jc w:val="left"/>
              <w:rPr>
                <w:rFonts w:hint="eastAsia" w:ascii="仿宋" w:hAnsi="仿宋" w:eastAsia="仿宋"/>
                <w:color w:val="000000"/>
                <w:sz w:val="24"/>
                <w:szCs w:val="24"/>
              </w:rPr>
            </w:pPr>
            <w:r>
              <w:rPr>
                <w:rFonts w:hint="eastAsia" w:ascii="仿宋" w:hAnsi="仿宋" w:eastAsia="仿宋"/>
                <w:color w:val="000000"/>
                <w:sz w:val="24"/>
                <w:szCs w:val="24"/>
                <w:lang w:val="en-US" w:eastAsia="zh-CN"/>
              </w:rPr>
              <w:t>根据受补贴企业提供的税收变化情况，2023年、2024年连续两年税收较上年增长的企业得6分，2023年、2024年中一年税收较上年增长的企业得3分，2023年、2024年连续两年税收较上年减少的企业不得分。得分=（∑企业获补贴占比×对应分值）/实际提交问卷企业的获得补贴占比。</w:t>
            </w:r>
          </w:p>
        </w:tc>
      </w:tr>
      <w:tr w14:paraId="39A4C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810" w:hRule="atLeast"/>
        </w:trPr>
        <w:tc>
          <w:tcPr>
            <w:tcW w:w="825" w:type="dxa"/>
            <w:vMerge w:val="continue"/>
            <w:tcBorders>
              <w:tl2br w:val="nil"/>
              <w:tr2bl w:val="nil"/>
            </w:tcBorders>
            <w:vAlign w:val="center"/>
          </w:tcPr>
          <w:p w14:paraId="14AD9C20">
            <w:pPr>
              <w:widowControl/>
              <w:jc w:val="left"/>
              <w:rPr>
                <w:rFonts w:ascii="仿宋" w:hAnsi="仿宋" w:eastAsia="仿宋"/>
                <w:color w:val="000000"/>
                <w:sz w:val="24"/>
                <w:szCs w:val="24"/>
              </w:rPr>
            </w:pPr>
          </w:p>
        </w:tc>
        <w:tc>
          <w:tcPr>
            <w:tcW w:w="1435" w:type="dxa"/>
            <w:gridSpan w:val="2"/>
            <w:tcBorders>
              <w:tl2br w:val="nil"/>
              <w:tr2bl w:val="nil"/>
            </w:tcBorders>
            <w:shd w:val="clear" w:color="auto" w:fill="auto"/>
            <w:vAlign w:val="center"/>
          </w:tcPr>
          <w:p w14:paraId="1199D459">
            <w:pPr>
              <w:widowControl/>
              <w:jc w:val="center"/>
              <w:rPr>
                <w:rFonts w:ascii="仿宋" w:hAnsi="仿宋" w:eastAsia="仿宋"/>
                <w:color w:val="000000"/>
                <w:sz w:val="24"/>
                <w:szCs w:val="24"/>
              </w:rPr>
            </w:pPr>
            <w:r>
              <w:rPr>
                <w:rFonts w:hint="eastAsia" w:ascii="仿宋" w:hAnsi="仿宋" w:eastAsia="仿宋"/>
                <w:color w:val="000000"/>
                <w:sz w:val="24"/>
                <w:szCs w:val="24"/>
              </w:rPr>
              <w:t>可持续影响</w:t>
            </w:r>
            <w:r>
              <w:rPr>
                <w:rFonts w:hint="eastAsia" w:ascii="仿宋" w:hAnsi="仿宋" w:eastAsia="仿宋"/>
                <w:color w:val="000000"/>
                <w:sz w:val="24"/>
                <w:szCs w:val="24"/>
              </w:rPr>
              <w:br w:type="textWrapping"/>
            </w:r>
            <w:r>
              <w:rPr>
                <w:rFonts w:hint="eastAsia" w:ascii="仿宋" w:hAnsi="仿宋" w:eastAsia="仿宋"/>
                <w:color w:val="000000"/>
                <w:sz w:val="24"/>
                <w:szCs w:val="24"/>
              </w:rPr>
              <w:t>（</w:t>
            </w:r>
            <w:r>
              <w:rPr>
                <w:rFonts w:hint="eastAsia" w:ascii="仿宋" w:hAnsi="仿宋" w:eastAsia="仿宋"/>
                <w:color w:val="000000"/>
                <w:sz w:val="24"/>
                <w:szCs w:val="24"/>
                <w:lang w:val="en-US" w:eastAsia="zh-CN"/>
              </w:rPr>
              <w:t>5</w:t>
            </w:r>
            <w:r>
              <w:rPr>
                <w:rFonts w:hint="eastAsia" w:ascii="仿宋" w:hAnsi="仿宋" w:eastAsia="仿宋"/>
                <w:color w:val="000000"/>
                <w:sz w:val="24"/>
                <w:szCs w:val="24"/>
              </w:rPr>
              <w:t>分）</w:t>
            </w:r>
          </w:p>
        </w:tc>
        <w:tc>
          <w:tcPr>
            <w:tcW w:w="1600" w:type="dxa"/>
            <w:gridSpan w:val="2"/>
            <w:tcBorders>
              <w:tl2br w:val="nil"/>
              <w:tr2bl w:val="nil"/>
            </w:tcBorders>
            <w:shd w:val="clear" w:color="auto" w:fill="auto"/>
            <w:vAlign w:val="center"/>
          </w:tcPr>
          <w:p w14:paraId="51CACDDE">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水路货运量和周转量变化</w:t>
            </w:r>
          </w:p>
          <w:p w14:paraId="52AF5F79">
            <w:pPr>
              <w:widowControl/>
              <w:jc w:val="center"/>
              <w:rPr>
                <w:rFonts w:ascii="仿宋" w:hAnsi="仿宋" w:eastAsia="仿宋"/>
                <w:color w:val="000000"/>
                <w:sz w:val="24"/>
                <w:szCs w:val="24"/>
              </w:rPr>
            </w:pPr>
            <w:r>
              <w:rPr>
                <w:rFonts w:hint="eastAsia" w:ascii="仿宋" w:hAnsi="仿宋" w:eastAsia="仿宋"/>
                <w:color w:val="000000"/>
                <w:sz w:val="24"/>
                <w:szCs w:val="24"/>
                <w:lang w:val="en-US" w:eastAsia="zh-CN"/>
              </w:rPr>
              <w:t>（5分）</w:t>
            </w:r>
          </w:p>
        </w:tc>
        <w:tc>
          <w:tcPr>
            <w:tcW w:w="4784" w:type="dxa"/>
            <w:tcBorders>
              <w:tl2br w:val="nil"/>
              <w:tr2bl w:val="nil"/>
            </w:tcBorders>
            <w:shd w:val="clear" w:color="auto" w:fill="auto"/>
            <w:vAlign w:val="center"/>
          </w:tcPr>
          <w:p w14:paraId="1A29B741">
            <w:pPr>
              <w:widowControl/>
              <w:jc w:val="left"/>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①2022-2024年全市水路运输货运量持续增长；</w:t>
            </w:r>
          </w:p>
          <w:p w14:paraId="2E899D94">
            <w:pPr>
              <w:widowControl/>
              <w:jc w:val="both"/>
              <w:rPr>
                <w:rFonts w:hint="default" w:ascii="仿宋" w:hAnsi="仿宋" w:eastAsia="仿宋"/>
                <w:color w:val="000000"/>
                <w:sz w:val="24"/>
                <w:szCs w:val="24"/>
                <w:lang w:val="en-US" w:eastAsia="zh-CN"/>
              </w:rPr>
            </w:pPr>
            <w:r>
              <w:rPr>
                <w:rFonts w:hint="eastAsia" w:ascii="仿宋" w:hAnsi="仿宋" w:eastAsia="仿宋"/>
                <w:color w:val="000000"/>
                <w:sz w:val="24"/>
                <w:szCs w:val="24"/>
                <w:lang w:val="en-US" w:eastAsia="zh-CN"/>
              </w:rPr>
              <w:t>②2022-2024年全市水路运输货运周转量持续增长。</w:t>
            </w:r>
          </w:p>
          <w:p w14:paraId="17FA6054">
            <w:pPr>
              <w:widowControl/>
              <w:jc w:val="left"/>
              <w:rPr>
                <w:rFonts w:hint="default" w:ascii="仿宋" w:hAnsi="仿宋" w:eastAsia="仿宋"/>
                <w:color w:val="000000"/>
                <w:sz w:val="24"/>
                <w:szCs w:val="24"/>
                <w:lang w:val="en-US" w:eastAsia="zh-CN"/>
              </w:rPr>
            </w:pPr>
            <w:r>
              <w:rPr>
                <w:rFonts w:hint="eastAsia" w:ascii="仿宋" w:hAnsi="仿宋" w:eastAsia="仿宋"/>
                <w:color w:val="000000"/>
                <w:sz w:val="24"/>
                <w:szCs w:val="24"/>
                <w:lang w:val="en-US" w:eastAsia="zh-CN"/>
              </w:rPr>
              <w:t>水路运输货运量和周转量均呈现增长态势，可得满分，某一项某年出现持平扣1分，下降趋势扣2分，满分5分，扣完为止。</w:t>
            </w:r>
          </w:p>
        </w:tc>
      </w:tr>
      <w:tr w14:paraId="09142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 w:type="dxa"/>
          <w:trHeight w:val="810" w:hRule="atLeast"/>
        </w:trPr>
        <w:tc>
          <w:tcPr>
            <w:tcW w:w="825" w:type="dxa"/>
            <w:vMerge w:val="continue"/>
            <w:tcBorders>
              <w:tl2br w:val="nil"/>
              <w:tr2bl w:val="nil"/>
            </w:tcBorders>
            <w:vAlign w:val="center"/>
          </w:tcPr>
          <w:p w14:paraId="7A063CEA">
            <w:pPr>
              <w:widowControl/>
              <w:jc w:val="left"/>
              <w:rPr>
                <w:rFonts w:ascii="仿宋" w:hAnsi="仿宋" w:eastAsia="仿宋"/>
                <w:color w:val="000000"/>
                <w:sz w:val="24"/>
                <w:szCs w:val="24"/>
              </w:rPr>
            </w:pPr>
          </w:p>
        </w:tc>
        <w:tc>
          <w:tcPr>
            <w:tcW w:w="1435" w:type="dxa"/>
            <w:gridSpan w:val="2"/>
            <w:tcBorders>
              <w:tl2br w:val="nil"/>
              <w:tr2bl w:val="nil"/>
            </w:tcBorders>
            <w:shd w:val="clear" w:color="auto" w:fill="auto"/>
            <w:vAlign w:val="center"/>
          </w:tcPr>
          <w:p w14:paraId="3E5DC3B6">
            <w:pPr>
              <w:widowControl/>
              <w:jc w:val="center"/>
              <w:rPr>
                <w:rFonts w:ascii="仿宋" w:hAnsi="仿宋" w:eastAsia="仿宋"/>
                <w:color w:val="000000"/>
                <w:sz w:val="24"/>
                <w:szCs w:val="24"/>
              </w:rPr>
            </w:pPr>
            <w:r>
              <w:rPr>
                <w:rFonts w:hint="eastAsia" w:ascii="仿宋" w:hAnsi="仿宋" w:eastAsia="仿宋"/>
                <w:color w:val="000000"/>
                <w:sz w:val="24"/>
                <w:szCs w:val="24"/>
              </w:rPr>
              <w:t>满意度</w:t>
            </w:r>
            <w:r>
              <w:rPr>
                <w:rFonts w:hint="eastAsia" w:ascii="仿宋" w:hAnsi="仿宋" w:eastAsia="仿宋"/>
                <w:color w:val="000000"/>
                <w:sz w:val="24"/>
                <w:szCs w:val="24"/>
              </w:rPr>
              <w:br w:type="textWrapping"/>
            </w:r>
            <w:r>
              <w:rPr>
                <w:rFonts w:hint="eastAsia" w:ascii="仿宋" w:hAnsi="仿宋" w:eastAsia="仿宋"/>
                <w:color w:val="000000"/>
                <w:sz w:val="24"/>
                <w:szCs w:val="24"/>
              </w:rPr>
              <w:t>（</w:t>
            </w:r>
            <w:r>
              <w:rPr>
                <w:rFonts w:hint="eastAsia" w:ascii="仿宋" w:hAnsi="仿宋" w:eastAsia="仿宋"/>
                <w:color w:val="000000"/>
                <w:sz w:val="24"/>
                <w:szCs w:val="24"/>
                <w:lang w:val="en-US" w:eastAsia="zh-CN"/>
              </w:rPr>
              <w:t>8</w:t>
            </w:r>
            <w:r>
              <w:rPr>
                <w:rFonts w:hint="eastAsia" w:ascii="仿宋" w:hAnsi="仿宋" w:eastAsia="仿宋"/>
                <w:color w:val="000000"/>
                <w:sz w:val="24"/>
                <w:szCs w:val="24"/>
              </w:rPr>
              <w:t>分）</w:t>
            </w:r>
          </w:p>
        </w:tc>
        <w:tc>
          <w:tcPr>
            <w:tcW w:w="1600" w:type="dxa"/>
            <w:gridSpan w:val="2"/>
            <w:tcBorders>
              <w:tl2br w:val="nil"/>
              <w:tr2bl w:val="nil"/>
            </w:tcBorders>
            <w:shd w:val="clear" w:color="auto" w:fill="auto"/>
            <w:vAlign w:val="center"/>
          </w:tcPr>
          <w:p w14:paraId="78690277">
            <w:pPr>
              <w:widowControl/>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受补贴企业满意度</w:t>
            </w:r>
          </w:p>
          <w:p w14:paraId="552C8F7C">
            <w:pPr>
              <w:widowControl/>
              <w:jc w:val="center"/>
              <w:rPr>
                <w:rFonts w:ascii="仿宋" w:hAnsi="仿宋" w:eastAsia="仿宋"/>
                <w:color w:val="000000"/>
                <w:sz w:val="24"/>
                <w:szCs w:val="24"/>
              </w:rPr>
            </w:pPr>
            <w:r>
              <w:rPr>
                <w:rFonts w:hint="eastAsia" w:ascii="仿宋" w:hAnsi="仿宋" w:eastAsia="仿宋"/>
                <w:color w:val="000000"/>
                <w:sz w:val="24"/>
                <w:szCs w:val="24"/>
                <w:lang w:val="en-US" w:eastAsia="zh-CN"/>
              </w:rPr>
              <w:t>（8分）</w:t>
            </w:r>
          </w:p>
        </w:tc>
        <w:tc>
          <w:tcPr>
            <w:tcW w:w="4784" w:type="dxa"/>
            <w:tcBorders>
              <w:tl2br w:val="nil"/>
              <w:tr2bl w:val="nil"/>
            </w:tcBorders>
            <w:shd w:val="clear" w:color="auto" w:fill="auto"/>
            <w:vAlign w:val="center"/>
          </w:tcPr>
          <w:p w14:paraId="618E16D5">
            <w:pPr>
              <w:rPr>
                <w:rFonts w:ascii="仿宋" w:hAnsi="仿宋" w:eastAsia="仿宋"/>
                <w:color w:val="000000"/>
                <w:sz w:val="24"/>
                <w:szCs w:val="24"/>
              </w:rPr>
            </w:pPr>
            <w:r>
              <w:rPr>
                <w:rFonts w:hint="eastAsia" w:ascii="仿宋" w:hAnsi="仿宋" w:eastAsia="仿宋"/>
                <w:color w:val="000000"/>
                <w:sz w:val="24"/>
                <w:szCs w:val="24"/>
                <w:lang w:val="en-US" w:eastAsia="zh-CN"/>
              </w:rPr>
              <w:t>根据调查问卷，受补贴企业满意度≥90%可得满分，低于90%每降低5%扣1分，不足5%按比例折算，满分8分，扣完为止。</w:t>
            </w:r>
          </w:p>
        </w:tc>
      </w:tr>
    </w:tbl>
    <w:p w14:paraId="1CF0009B">
      <w:pPr>
        <w:pStyle w:val="6"/>
        <w:numPr>
          <w:ilvl w:val="0"/>
          <w:numId w:val="0"/>
        </w:numPr>
        <w:tabs>
          <w:tab w:val="clear" w:pos="2040"/>
        </w:tabs>
        <w:ind w:leftChars="0"/>
      </w:pPr>
    </w:p>
    <w:p w14:paraId="07F7D967">
      <w:pPr>
        <w:rPr>
          <w:rFonts w:hint="eastAsia" w:ascii="仿宋" w:hAnsi="仿宋" w:eastAsia="仿宋" w:cs="仿宋"/>
          <w:b/>
          <w:bCs/>
          <w:sz w:val="28"/>
          <w:szCs w:val="28"/>
          <w:lang w:val="en-US" w:eastAsia="zh-CN"/>
        </w:rPr>
        <w:sectPr>
          <w:headerReference r:id="rId5" w:type="default"/>
          <w:footerReference r:id="rId6" w:type="default"/>
          <w:pgSz w:w="11906" w:h="16838"/>
          <w:pgMar w:top="1417" w:right="1531" w:bottom="1531" w:left="1701" w:header="851" w:footer="1020" w:gutter="0"/>
          <w:pgBorders>
            <w:top w:val="none" w:sz="0" w:space="0"/>
            <w:left w:val="none" w:sz="0" w:space="0"/>
            <w:bottom w:val="none" w:sz="0" w:space="0"/>
            <w:right w:val="none" w:sz="0" w:space="0"/>
          </w:pgBorders>
          <w:pgNumType w:fmt="decimal" w:start="1"/>
          <w:cols w:space="0" w:num="1"/>
          <w:rtlGutter w:val="0"/>
          <w:docGrid w:type="lines" w:linePitch="420" w:charSpace="0"/>
        </w:sectPr>
      </w:pPr>
      <w:bookmarkStart w:id="95" w:name="_Toc184981083"/>
      <w:bookmarkStart w:id="96" w:name="_Toc1021"/>
      <w:bookmarkStart w:id="97" w:name="_Toc184981321"/>
    </w:p>
    <w:p w14:paraId="339B5AAA">
      <w:pPr>
        <w:outlineLvl w:val="0"/>
        <w:rPr>
          <w:rFonts w:hint="eastAsia" w:ascii="仿宋" w:hAnsi="仿宋" w:eastAsia="仿宋" w:cs="仿宋"/>
          <w:b/>
          <w:bCs/>
          <w:sz w:val="28"/>
          <w:szCs w:val="28"/>
          <w:lang w:val="en-US" w:eastAsia="zh-CN"/>
        </w:rPr>
      </w:pPr>
      <w:bookmarkStart w:id="98" w:name="_Toc10962"/>
      <w:r>
        <w:rPr>
          <w:rFonts w:hint="eastAsia" w:ascii="仿宋" w:hAnsi="仿宋" w:eastAsia="仿宋" w:cs="仿宋"/>
          <w:b/>
          <w:bCs/>
          <w:sz w:val="28"/>
          <w:szCs w:val="28"/>
          <w:lang w:val="en-US" w:eastAsia="zh-CN"/>
        </w:rPr>
        <w:t>附表2  社会效益和经济效益指标得分计算明细表</w:t>
      </w:r>
      <w:bookmarkEnd w:id="98"/>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21"/>
        <w:gridCol w:w="1310"/>
        <w:gridCol w:w="1180"/>
        <w:gridCol w:w="1180"/>
        <w:gridCol w:w="1721"/>
        <w:gridCol w:w="959"/>
        <w:gridCol w:w="1910"/>
        <w:gridCol w:w="760"/>
        <w:gridCol w:w="1431"/>
      </w:tblGrid>
      <w:tr w14:paraId="215F6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vAlign w:val="center"/>
          </w:tcPr>
          <w:p w14:paraId="72D80F24">
            <w:pPr>
              <w:keepNext w:val="0"/>
              <w:keepLines w:val="0"/>
              <w:widowControl/>
              <w:suppressLineNumbers w:val="0"/>
              <w:jc w:val="center"/>
              <w:textAlignment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企业</w:t>
            </w:r>
          </w:p>
        </w:tc>
        <w:tc>
          <w:tcPr>
            <w:tcW w:w="1310" w:type="dxa"/>
            <w:vAlign w:val="center"/>
          </w:tcPr>
          <w:p w14:paraId="29EF6BB1">
            <w:pPr>
              <w:keepNext w:val="0"/>
              <w:keepLines w:val="0"/>
              <w:widowControl/>
              <w:suppressLineNumbers w:val="0"/>
              <w:jc w:val="center"/>
              <w:textAlignment w:val="center"/>
              <w:rPr>
                <w:rFonts w:hint="eastAsia"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补贴</w:t>
            </w:r>
          </w:p>
          <w:p w14:paraId="0F1B0B79">
            <w:pPr>
              <w:keepNext w:val="0"/>
              <w:keepLines w:val="0"/>
              <w:widowControl/>
              <w:suppressLineNumbers w:val="0"/>
              <w:jc w:val="center"/>
              <w:textAlignment w:val="center"/>
              <w:rPr>
                <w:rFonts w:hint="eastAsia"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（万元）</w:t>
            </w:r>
          </w:p>
          <w:p w14:paraId="28B004F2">
            <w:pPr>
              <w:keepNext w:val="0"/>
              <w:keepLines w:val="0"/>
              <w:widowControl/>
              <w:suppressLineNumbers w:val="0"/>
              <w:jc w:val="center"/>
              <w:textAlignment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（1）</w:t>
            </w:r>
          </w:p>
        </w:tc>
        <w:tc>
          <w:tcPr>
            <w:tcW w:w="1180" w:type="dxa"/>
            <w:vAlign w:val="center"/>
          </w:tcPr>
          <w:p w14:paraId="718D92B3">
            <w:pPr>
              <w:keepNext w:val="0"/>
              <w:keepLines w:val="0"/>
              <w:widowControl/>
              <w:suppressLineNumbers w:val="0"/>
              <w:jc w:val="center"/>
              <w:textAlignment w:val="center"/>
              <w:rPr>
                <w:rFonts w:hint="eastAsia"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占比</w:t>
            </w:r>
          </w:p>
          <w:p w14:paraId="30945B77">
            <w:pPr>
              <w:keepNext w:val="0"/>
              <w:keepLines w:val="0"/>
              <w:widowControl/>
              <w:suppressLineNumbers w:val="0"/>
              <w:jc w:val="center"/>
              <w:textAlignment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（2）</w:t>
            </w:r>
          </w:p>
        </w:tc>
        <w:tc>
          <w:tcPr>
            <w:tcW w:w="1180" w:type="dxa"/>
            <w:vAlign w:val="center"/>
          </w:tcPr>
          <w:p w14:paraId="3B949C31">
            <w:pPr>
              <w:keepNext w:val="0"/>
              <w:keepLines w:val="0"/>
              <w:widowControl/>
              <w:suppressLineNumbers w:val="0"/>
              <w:jc w:val="center"/>
              <w:textAlignment w:val="center"/>
              <w:rPr>
                <w:rFonts w:hint="eastAsia"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雇员人数增长得分</w:t>
            </w:r>
          </w:p>
          <w:p w14:paraId="7FE7D754">
            <w:pPr>
              <w:keepNext w:val="0"/>
              <w:keepLines w:val="0"/>
              <w:widowControl/>
              <w:suppressLineNumbers w:val="0"/>
              <w:jc w:val="center"/>
              <w:textAlignment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（3）</w:t>
            </w:r>
          </w:p>
        </w:tc>
        <w:tc>
          <w:tcPr>
            <w:tcW w:w="1721" w:type="dxa"/>
            <w:vAlign w:val="center"/>
          </w:tcPr>
          <w:p w14:paraId="4AB75BF8">
            <w:pPr>
              <w:keepNext w:val="0"/>
              <w:keepLines w:val="0"/>
              <w:widowControl/>
              <w:suppressLineNumbers w:val="0"/>
              <w:jc w:val="center"/>
              <w:textAlignment w:val="center"/>
              <w:rPr>
                <w:rFonts w:hint="eastAsia"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就业带动效应指标分值</w:t>
            </w:r>
          </w:p>
          <w:p w14:paraId="72BE324D">
            <w:pPr>
              <w:keepNext w:val="0"/>
              <w:keepLines w:val="0"/>
              <w:widowControl/>
              <w:suppressLineNumbers w:val="0"/>
              <w:jc w:val="center"/>
              <w:textAlignment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（4）=（3）×（2）</w:t>
            </w:r>
          </w:p>
        </w:tc>
        <w:tc>
          <w:tcPr>
            <w:tcW w:w="959" w:type="dxa"/>
            <w:vAlign w:val="center"/>
          </w:tcPr>
          <w:p w14:paraId="27F9BF39">
            <w:pPr>
              <w:keepNext w:val="0"/>
              <w:keepLines w:val="0"/>
              <w:widowControl/>
              <w:suppressLineNumbers w:val="0"/>
              <w:jc w:val="center"/>
              <w:textAlignment w:val="center"/>
              <w:rPr>
                <w:rFonts w:hint="eastAsia"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营收变动得分</w:t>
            </w:r>
          </w:p>
          <w:p w14:paraId="4288A50A">
            <w:pPr>
              <w:keepNext w:val="0"/>
              <w:keepLines w:val="0"/>
              <w:widowControl/>
              <w:suppressLineNumbers w:val="0"/>
              <w:jc w:val="center"/>
              <w:textAlignment w:val="center"/>
              <w:rPr>
                <w:rFonts w:hint="default"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（5）</w:t>
            </w:r>
          </w:p>
        </w:tc>
        <w:tc>
          <w:tcPr>
            <w:tcW w:w="1910" w:type="dxa"/>
            <w:vAlign w:val="center"/>
          </w:tcPr>
          <w:p w14:paraId="782F62AA">
            <w:pPr>
              <w:keepNext w:val="0"/>
              <w:keepLines w:val="0"/>
              <w:widowControl/>
              <w:suppressLineNumbers w:val="0"/>
              <w:jc w:val="center"/>
              <w:textAlignment w:val="center"/>
              <w:rPr>
                <w:rFonts w:hint="eastAsia"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受补贴企业</w:t>
            </w:r>
            <w:r>
              <w:rPr>
                <w:rFonts w:hint="default" w:ascii="仿宋" w:hAnsi="仿宋" w:eastAsia="仿宋" w:cs="仿宋"/>
                <w:b/>
                <w:bCs/>
                <w:kern w:val="2"/>
                <w:sz w:val="21"/>
                <w:szCs w:val="21"/>
                <w:vertAlign w:val="baseline"/>
                <w:lang w:val="en-US" w:eastAsia="zh-CN" w:bidi="ar-SA"/>
              </w:rPr>
              <w:t>营收增长</w:t>
            </w:r>
            <w:r>
              <w:rPr>
                <w:rFonts w:hint="eastAsia" w:ascii="仿宋" w:hAnsi="仿宋" w:eastAsia="仿宋" w:cs="仿宋"/>
                <w:b/>
                <w:bCs/>
                <w:kern w:val="2"/>
                <w:sz w:val="21"/>
                <w:szCs w:val="21"/>
                <w:vertAlign w:val="baseline"/>
                <w:lang w:val="en-US" w:eastAsia="zh-CN" w:bidi="ar-SA"/>
              </w:rPr>
              <w:t>指标分值</w:t>
            </w:r>
          </w:p>
          <w:p w14:paraId="1E52C528">
            <w:pPr>
              <w:keepNext w:val="0"/>
              <w:keepLines w:val="0"/>
              <w:widowControl/>
              <w:suppressLineNumbers w:val="0"/>
              <w:jc w:val="center"/>
              <w:textAlignment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（6）=（5）×（2）</w:t>
            </w:r>
          </w:p>
        </w:tc>
        <w:tc>
          <w:tcPr>
            <w:tcW w:w="760" w:type="dxa"/>
            <w:vAlign w:val="center"/>
          </w:tcPr>
          <w:p w14:paraId="6B0B0CF9">
            <w:pPr>
              <w:keepNext w:val="0"/>
              <w:keepLines w:val="0"/>
              <w:widowControl/>
              <w:suppressLineNumbers w:val="0"/>
              <w:jc w:val="center"/>
              <w:textAlignment w:val="center"/>
              <w:rPr>
                <w:rFonts w:hint="eastAsia"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税收变动得分</w:t>
            </w:r>
          </w:p>
          <w:p w14:paraId="01FA6605">
            <w:pPr>
              <w:keepNext w:val="0"/>
              <w:keepLines w:val="0"/>
              <w:widowControl/>
              <w:suppressLineNumbers w:val="0"/>
              <w:jc w:val="center"/>
              <w:textAlignment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（7）</w:t>
            </w:r>
          </w:p>
        </w:tc>
        <w:tc>
          <w:tcPr>
            <w:tcW w:w="1431" w:type="dxa"/>
            <w:vAlign w:val="center"/>
          </w:tcPr>
          <w:p w14:paraId="79ACCB26">
            <w:pPr>
              <w:keepNext w:val="0"/>
              <w:keepLines w:val="0"/>
              <w:widowControl/>
              <w:suppressLineNumbers w:val="0"/>
              <w:jc w:val="center"/>
              <w:textAlignment w:val="center"/>
              <w:rPr>
                <w:rFonts w:hint="eastAsia" w:ascii="仿宋" w:hAnsi="仿宋" w:eastAsia="仿宋" w:cs="仿宋"/>
                <w:b/>
                <w:bCs/>
                <w:kern w:val="2"/>
                <w:sz w:val="21"/>
                <w:szCs w:val="21"/>
                <w:vertAlign w:val="baseline"/>
                <w:lang w:val="en-US" w:eastAsia="zh-CN" w:bidi="ar-SA"/>
              </w:rPr>
            </w:pPr>
            <w:r>
              <w:rPr>
                <w:rFonts w:hint="eastAsia" w:ascii="仿宋" w:hAnsi="仿宋" w:eastAsia="仿宋" w:cs="仿宋"/>
                <w:b/>
                <w:bCs/>
                <w:kern w:val="2"/>
                <w:sz w:val="21"/>
                <w:szCs w:val="21"/>
                <w:vertAlign w:val="baseline"/>
                <w:lang w:val="en-US" w:eastAsia="zh-CN" w:bidi="ar-SA"/>
              </w:rPr>
              <w:t>经济效益指标分值</w:t>
            </w:r>
          </w:p>
          <w:p w14:paraId="3FAB08CE">
            <w:pPr>
              <w:keepNext w:val="0"/>
              <w:keepLines w:val="0"/>
              <w:widowControl/>
              <w:suppressLineNumbers w:val="0"/>
              <w:jc w:val="center"/>
              <w:textAlignment w:val="center"/>
              <w:rPr>
                <w:rFonts w:hint="eastAsia" w:ascii="仿宋" w:hAnsi="仿宋" w:eastAsia="仿宋" w:cs="仿宋"/>
                <w:b/>
                <w:bCs/>
                <w:kern w:val="2"/>
                <w:sz w:val="21"/>
                <w:szCs w:val="21"/>
                <w:vertAlign w:val="baseline"/>
                <w:lang w:val="zh-CN" w:eastAsia="zh-CN" w:bidi="ar-SA"/>
              </w:rPr>
            </w:pPr>
            <w:r>
              <w:rPr>
                <w:rFonts w:hint="eastAsia" w:ascii="仿宋" w:hAnsi="仿宋" w:eastAsia="仿宋" w:cs="仿宋"/>
                <w:b/>
                <w:bCs/>
                <w:kern w:val="2"/>
                <w:sz w:val="21"/>
                <w:szCs w:val="21"/>
                <w:vertAlign w:val="baseline"/>
                <w:lang w:val="en-US" w:eastAsia="zh-CN" w:bidi="ar-SA"/>
              </w:rPr>
              <w:t>（8）=（7）×（2）</w:t>
            </w:r>
          </w:p>
        </w:tc>
      </w:tr>
      <w:tr w14:paraId="7E926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vAlign w:val="center"/>
          </w:tcPr>
          <w:p w14:paraId="3C8B9F4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石狮鼎盛船务有限公司</w:t>
            </w:r>
          </w:p>
        </w:tc>
        <w:tc>
          <w:tcPr>
            <w:tcW w:w="1310" w:type="dxa"/>
            <w:vAlign w:val="center"/>
          </w:tcPr>
          <w:p w14:paraId="71EC9A02">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2624.2595</w:t>
            </w:r>
          </w:p>
        </w:tc>
        <w:tc>
          <w:tcPr>
            <w:tcW w:w="1180" w:type="dxa"/>
            <w:vAlign w:val="center"/>
          </w:tcPr>
          <w:p w14:paraId="093967D3">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41.35%</w:t>
            </w:r>
          </w:p>
        </w:tc>
        <w:tc>
          <w:tcPr>
            <w:tcW w:w="1180" w:type="dxa"/>
            <w:vAlign w:val="center"/>
          </w:tcPr>
          <w:p w14:paraId="1F0BFA45">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3</w:t>
            </w:r>
          </w:p>
        </w:tc>
        <w:tc>
          <w:tcPr>
            <w:tcW w:w="1721" w:type="dxa"/>
            <w:vAlign w:val="center"/>
          </w:tcPr>
          <w:p w14:paraId="554BE20D">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1.240602166</w:t>
            </w:r>
          </w:p>
        </w:tc>
        <w:tc>
          <w:tcPr>
            <w:tcW w:w="959" w:type="dxa"/>
            <w:vAlign w:val="center"/>
          </w:tcPr>
          <w:p w14:paraId="1F3738DC">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2</w:t>
            </w:r>
          </w:p>
        </w:tc>
        <w:tc>
          <w:tcPr>
            <w:tcW w:w="1910" w:type="dxa"/>
            <w:vAlign w:val="center"/>
          </w:tcPr>
          <w:p w14:paraId="5CC49BB1">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0.827068111</w:t>
            </w:r>
          </w:p>
        </w:tc>
        <w:tc>
          <w:tcPr>
            <w:tcW w:w="760" w:type="dxa"/>
            <w:vAlign w:val="center"/>
          </w:tcPr>
          <w:p w14:paraId="3912BB56">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3</w:t>
            </w:r>
          </w:p>
        </w:tc>
        <w:tc>
          <w:tcPr>
            <w:tcW w:w="1431" w:type="dxa"/>
            <w:vAlign w:val="center"/>
          </w:tcPr>
          <w:p w14:paraId="41643D8C">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1.240602166</w:t>
            </w:r>
          </w:p>
        </w:tc>
      </w:tr>
      <w:tr w14:paraId="5C804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vAlign w:val="center"/>
          </w:tcPr>
          <w:p w14:paraId="7EE66F1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福建省东亿船务有限责任公司</w:t>
            </w:r>
          </w:p>
        </w:tc>
        <w:tc>
          <w:tcPr>
            <w:tcW w:w="1310" w:type="dxa"/>
            <w:vAlign w:val="center"/>
          </w:tcPr>
          <w:p w14:paraId="3CD2866F">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1819.2757</w:t>
            </w:r>
          </w:p>
        </w:tc>
        <w:tc>
          <w:tcPr>
            <w:tcW w:w="1180" w:type="dxa"/>
            <w:vAlign w:val="center"/>
          </w:tcPr>
          <w:p w14:paraId="4596AA9D">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28.67%</w:t>
            </w:r>
          </w:p>
        </w:tc>
        <w:tc>
          <w:tcPr>
            <w:tcW w:w="1180" w:type="dxa"/>
            <w:vAlign w:val="center"/>
          </w:tcPr>
          <w:p w14:paraId="5004CFE3">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6</w:t>
            </w:r>
          </w:p>
        </w:tc>
        <w:tc>
          <w:tcPr>
            <w:tcW w:w="1721" w:type="dxa"/>
            <w:vAlign w:val="center"/>
          </w:tcPr>
          <w:p w14:paraId="57EA5DC7">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1.72010228</w:t>
            </w:r>
          </w:p>
        </w:tc>
        <w:tc>
          <w:tcPr>
            <w:tcW w:w="959" w:type="dxa"/>
            <w:vAlign w:val="center"/>
          </w:tcPr>
          <w:p w14:paraId="247832E1">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4</w:t>
            </w:r>
          </w:p>
        </w:tc>
        <w:tc>
          <w:tcPr>
            <w:tcW w:w="1910" w:type="dxa"/>
            <w:vAlign w:val="center"/>
          </w:tcPr>
          <w:p w14:paraId="3840EAFD">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1.146734853</w:t>
            </w:r>
          </w:p>
        </w:tc>
        <w:tc>
          <w:tcPr>
            <w:tcW w:w="760" w:type="dxa"/>
            <w:vAlign w:val="center"/>
          </w:tcPr>
          <w:p w14:paraId="134DF9F4">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3</w:t>
            </w:r>
          </w:p>
        </w:tc>
        <w:tc>
          <w:tcPr>
            <w:tcW w:w="1431" w:type="dxa"/>
            <w:vAlign w:val="center"/>
          </w:tcPr>
          <w:p w14:paraId="7DD4CFDE">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0.86005114</w:t>
            </w:r>
          </w:p>
        </w:tc>
      </w:tr>
      <w:tr w14:paraId="4DA82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vAlign w:val="center"/>
          </w:tcPr>
          <w:p w14:paraId="3A405DC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石狮鼎鑫海运有限公司</w:t>
            </w:r>
          </w:p>
        </w:tc>
        <w:tc>
          <w:tcPr>
            <w:tcW w:w="1310" w:type="dxa"/>
            <w:vAlign w:val="center"/>
          </w:tcPr>
          <w:p w14:paraId="70AADDEA">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497.3127</w:t>
            </w:r>
          </w:p>
        </w:tc>
        <w:tc>
          <w:tcPr>
            <w:tcW w:w="1180" w:type="dxa"/>
            <w:vAlign w:val="center"/>
          </w:tcPr>
          <w:p w14:paraId="4E177F23">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7.84%</w:t>
            </w:r>
          </w:p>
        </w:tc>
        <w:tc>
          <w:tcPr>
            <w:tcW w:w="1180" w:type="dxa"/>
            <w:vAlign w:val="center"/>
          </w:tcPr>
          <w:p w14:paraId="6455849F">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3</w:t>
            </w:r>
          </w:p>
        </w:tc>
        <w:tc>
          <w:tcPr>
            <w:tcW w:w="1721" w:type="dxa"/>
            <w:vAlign w:val="center"/>
          </w:tcPr>
          <w:p w14:paraId="7B7C5DD8">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0.235103813</w:t>
            </w:r>
          </w:p>
        </w:tc>
        <w:tc>
          <w:tcPr>
            <w:tcW w:w="959" w:type="dxa"/>
            <w:vAlign w:val="center"/>
          </w:tcPr>
          <w:p w14:paraId="4A8BD090">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2</w:t>
            </w:r>
          </w:p>
        </w:tc>
        <w:tc>
          <w:tcPr>
            <w:tcW w:w="1910" w:type="dxa"/>
            <w:vAlign w:val="center"/>
          </w:tcPr>
          <w:p w14:paraId="1354A185">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0.156735876</w:t>
            </w:r>
          </w:p>
        </w:tc>
        <w:tc>
          <w:tcPr>
            <w:tcW w:w="760" w:type="dxa"/>
            <w:vAlign w:val="center"/>
          </w:tcPr>
          <w:p w14:paraId="2AB024A1">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c>
          <w:tcPr>
            <w:tcW w:w="1431" w:type="dxa"/>
            <w:vAlign w:val="center"/>
          </w:tcPr>
          <w:p w14:paraId="64D3F46C">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r>
      <w:tr w14:paraId="3533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vAlign w:val="center"/>
          </w:tcPr>
          <w:p w14:paraId="2C93915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福建鑫淼海运有限公司</w:t>
            </w:r>
          </w:p>
        </w:tc>
        <w:tc>
          <w:tcPr>
            <w:tcW w:w="1310" w:type="dxa"/>
            <w:vAlign w:val="center"/>
          </w:tcPr>
          <w:p w14:paraId="16ABB921">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789</w:t>
            </w:r>
          </w:p>
        </w:tc>
        <w:tc>
          <w:tcPr>
            <w:tcW w:w="1180" w:type="dxa"/>
            <w:vAlign w:val="center"/>
          </w:tcPr>
          <w:p w14:paraId="7E77FF48">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12.43%</w:t>
            </w:r>
          </w:p>
        </w:tc>
        <w:tc>
          <w:tcPr>
            <w:tcW w:w="1180" w:type="dxa"/>
            <w:vAlign w:val="center"/>
          </w:tcPr>
          <w:p w14:paraId="15AE5463">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3</w:t>
            </w:r>
          </w:p>
        </w:tc>
        <w:tc>
          <w:tcPr>
            <w:tcW w:w="1721" w:type="dxa"/>
            <w:vAlign w:val="center"/>
          </w:tcPr>
          <w:p w14:paraId="76EFC1CB">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0.372994785</w:t>
            </w:r>
          </w:p>
        </w:tc>
        <w:tc>
          <w:tcPr>
            <w:tcW w:w="959" w:type="dxa"/>
            <w:vAlign w:val="center"/>
          </w:tcPr>
          <w:p w14:paraId="5436301E">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4</w:t>
            </w:r>
          </w:p>
        </w:tc>
        <w:tc>
          <w:tcPr>
            <w:tcW w:w="1910" w:type="dxa"/>
            <w:vAlign w:val="center"/>
          </w:tcPr>
          <w:p w14:paraId="0B012DD9">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0.497326381</w:t>
            </w:r>
          </w:p>
        </w:tc>
        <w:tc>
          <w:tcPr>
            <w:tcW w:w="760" w:type="dxa"/>
            <w:vAlign w:val="center"/>
          </w:tcPr>
          <w:p w14:paraId="1220C5CA">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6</w:t>
            </w:r>
          </w:p>
        </w:tc>
        <w:tc>
          <w:tcPr>
            <w:tcW w:w="1431" w:type="dxa"/>
            <w:vAlign w:val="center"/>
          </w:tcPr>
          <w:p w14:paraId="6604E017">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0.745989571</w:t>
            </w:r>
          </w:p>
        </w:tc>
      </w:tr>
      <w:tr w14:paraId="7CC12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vAlign w:val="center"/>
          </w:tcPr>
          <w:p w14:paraId="6A56350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福建千祥船务有限公司</w:t>
            </w:r>
          </w:p>
        </w:tc>
        <w:tc>
          <w:tcPr>
            <w:tcW w:w="1310" w:type="dxa"/>
            <w:vAlign w:val="center"/>
          </w:tcPr>
          <w:p w14:paraId="5E0E7B68">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102.97532</w:t>
            </w:r>
          </w:p>
        </w:tc>
        <w:tc>
          <w:tcPr>
            <w:tcW w:w="1180" w:type="dxa"/>
            <w:vAlign w:val="center"/>
          </w:tcPr>
          <w:p w14:paraId="27CA54F5">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1.62%</w:t>
            </w:r>
          </w:p>
        </w:tc>
        <w:tc>
          <w:tcPr>
            <w:tcW w:w="1180" w:type="dxa"/>
            <w:vAlign w:val="center"/>
          </w:tcPr>
          <w:p w14:paraId="368687AF">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c>
          <w:tcPr>
            <w:tcW w:w="1721" w:type="dxa"/>
            <w:vAlign w:val="center"/>
          </w:tcPr>
          <w:p w14:paraId="2086B351">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c>
          <w:tcPr>
            <w:tcW w:w="959" w:type="dxa"/>
            <w:vAlign w:val="center"/>
          </w:tcPr>
          <w:p w14:paraId="67820C25">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4</w:t>
            </w:r>
          </w:p>
        </w:tc>
        <w:tc>
          <w:tcPr>
            <w:tcW w:w="1910" w:type="dxa"/>
            <w:vAlign w:val="center"/>
          </w:tcPr>
          <w:p w14:paraId="52316F8C">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0.064907913</w:t>
            </w:r>
          </w:p>
        </w:tc>
        <w:tc>
          <w:tcPr>
            <w:tcW w:w="760" w:type="dxa"/>
            <w:vAlign w:val="center"/>
          </w:tcPr>
          <w:p w14:paraId="6271D3D1">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3</w:t>
            </w:r>
          </w:p>
        </w:tc>
        <w:tc>
          <w:tcPr>
            <w:tcW w:w="1431" w:type="dxa"/>
            <w:vAlign w:val="center"/>
          </w:tcPr>
          <w:p w14:paraId="4DCCBA7D">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0.048680935</w:t>
            </w:r>
          </w:p>
        </w:tc>
      </w:tr>
      <w:tr w14:paraId="6DBFD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vAlign w:val="center"/>
          </w:tcPr>
          <w:p w14:paraId="56971A4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石狮聚远船运有限公司</w:t>
            </w:r>
          </w:p>
        </w:tc>
        <w:tc>
          <w:tcPr>
            <w:tcW w:w="1310" w:type="dxa"/>
            <w:vAlign w:val="center"/>
          </w:tcPr>
          <w:p w14:paraId="473B2355">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89.9</w:t>
            </w:r>
          </w:p>
        </w:tc>
        <w:tc>
          <w:tcPr>
            <w:tcW w:w="1180" w:type="dxa"/>
            <w:vAlign w:val="center"/>
          </w:tcPr>
          <w:p w14:paraId="51EF6CD7">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1.42%</w:t>
            </w:r>
          </w:p>
        </w:tc>
        <w:tc>
          <w:tcPr>
            <w:tcW w:w="1180" w:type="dxa"/>
            <w:vAlign w:val="center"/>
          </w:tcPr>
          <w:p w14:paraId="129F1146">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3</w:t>
            </w:r>
          </w:p>
        </w:tc>
        <w:tc>
          <w:tcPr>
            <w:tcW w:w="1721" w:type="dxa"/>
            <w:vAlign w:val="center"/>
          </w:tcPr>
          <w:p w14:paraId="50743FD3">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0.042499659</w:t>
            </w:r>
          </w:p>
        </w:tc>
        <w:tc>
          <w:tcPr>
            <w:tcW w:w="959" w:type="dxa"/>
            <w:vAlign w:val="center"/>
          </w:tcPr>
          <w:p w14:paraId="151AE2EE">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4</w:t>
            </w:r>
          </w:p>
        </w:tc>
        <w:tc>
          <w:tcPr>
            <w:tcW w:w="1910" w:type="dxa"/>
            <w:vAlign w:val="center"/>
          </w:tcPr>
          <w:p w14:paraId="680ACA00">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0.056666212</w:t>
            </w:r>
          </w:p>
        </w:tc>
        <w:tc>
          <w:tcPr>
            <w:tcW w:w="760" w:type="dxa"/>
            <w:vAlign w:val="center"/>
          </w:tcPr>
          <w:p w14:paraId="3ACCD297">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6</w:t>
            </w:r>
          </w:p>
        </w:tc>
        <w:tc>
          <w:tcPr>
            <w:tcW w:w="1431" w:type="dxa"/>
            <w:vAlign w:val="center"/>
          </w:tcPr>
          <w:p w14:paraId="593EFC76">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0.084999319</w:t>
            </w:r>
          </w:p>
        </w:tc>
      </w:tr>
      <w:tr w14:paraId="2CF83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vAlign w:val="center"/>
          </w:tcPr>
          <w:p w14:paraId="4737E57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石狮市祥展航运有限公司</w:t>
            </w:r>
          </w:p>
        </w:tc>
        <w:tc>
          <w:tcPr>
            <w:tcW w:w="1310" w:type="dxa"/>
            <w:vAlign w:val="center"/>
          </w:tcPr>
          <w:p w14:paraId="0A2A3403">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84.58</w:t>
            </w:r>
          </w:p>
        </w:tc>
        <w:tc>
          <w:tcPr>
            <w:tcW w:w="1180" w:type="dxa"/>
            <w:vAlign w:val="center"/>
          </w:tcPr>
          <w:p w14:paraId="17E54E03">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1.33%</w:t>
            </w:r>
          </w:p>
        </w:tc>
        <w:tc>
          <w:tcPr>
            <w:tcW w:w="1180" w:type="dxa"/>
            <w:vAlign w:val="center"/>
          </w:tcPr>
          <w:p w14:paraId="065D663A">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6</w:t>
            </w:r>
          </w:p>
        </w:tc>
        <w:tc>
          <w:tcPr>
            <w:tcW w:w="1721" w:type="dxa"/>
            <w:vAlign w:val="center"/>
          </w:tcPr>
          <w:p w14:paraId="7728D1CD">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0.079969326</w:t>
            </w:r>
          </w:p>
        </w:tc>
        <w:tc>
          <w:tcPr>
            <w:tcW w:w="959" w:type="dxa"/>
            <w:vAlign w:val="center"/>
          </w:tcPr>
          <w:p w14:paraId="4E1E9646">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4</w:t>
            </w:r>
          </w:p>
        </w:tc>
        <w:tc>
          <w:tcPr>
            <w:tcW w:w="1910" w:type="dxa"/>
            <w:vAlign w:val="center"/>
          </w:tcPr>
          <w:p w14:paraId="13D254A7">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0.053312884</w:t>
            </w:r>
          </w:p>
        </w:tc>
        <w:tc>
          <w:tcPr>
            <w:tcW w:w="760" w:type="dxa"/>
            <w:vAlign w:val="center"/>
          </w:tcPr>
          <w:p w14:paraId="7D90F805">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6</w:t>
            </w:r>
          </w:p>
        </w:tc>
        <w:tc>
          <w:tcPr>
            <w:tcW w:w="1431" w:type="dxa"/>
            <w:vAlign w:val="center"/>
          </w:tcPr>
          <w:p w14:paraId="266DE5DA">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0.079969326</w:t>
            </w:r>
          </w:p>
        </w:tc>
      </w:tr>
      <w:tr w14:paraId="53432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vAlign w:val="center"/>
          </w:tcPr>
          <w:p w14:paraId="01A5CFA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福建省鑫嘉源海运有限责任公司</w:t>
            </w:r>
          </w:p>
        </w:tc>
        <w:tc>
          <w:tcPr>
            <w:tcW w:w="1310" w:type="dxa"/>
            <w:vAlign w:val="center"/>
          </w:tcPr>
          <w:p w14:paraId="6E1FAEB5">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84.26</w:t>
            </w:r>
          </w:p>
        </w:tc>
        <w:tc>
          <w:tcPr>
            <w:tcW w:w="1180" w:type="dxa"/>
            <w:vAlign w:val="center"/>
          </w:tcPr>
          <w:p w14:paraId="389B4520">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1.33%</w:t>
            </w:r>
          </w:p>
        </w:tc>
        <w:tc>
          <w:tcPr>
            <w:tcW w:w="1180" w:type="dxa"/>
            <w:vAlign w:val="center"/>
          </w:tcPr>
          <w:p w14:paraId="08A120AB">
            <w:pPr>
              <w:jc w:val="right"/>
              <w:rPr>
                <w:rFonts w:hint="default"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w:t>
            </w:r>
          </w:p>
        </w:tc>
        <w:tc>
          <w:tcPr>
            <w:tcW w:w="1721" w:type="dxa"/>
            <w:vAlign w:val="center"/>
          </w:tcPr>
          <w:p w14:paraId="618DFB6F">
            <w:pPr>
              <w:jc w:val="right"/>
              <w:rPr>
                <w:rFonts w:hint="default"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w:t>
            </w:r>
          </w:p>
        </w:tc>
        <w:tc>
          <w:tcPr>
            <w:tcW w:w="959" w:type="dxa"/>
            <w:vAlign w:val="center"/>
          </w:tcPr>
          <w:p w14:paraId="65C0C67B">
            <w:pPr>
              <w:jc w:val="right"/>
              <w:rPr>
                <w:rFonts w:hint="default"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w:t>
            </w:r>
          </w:p>
        </w:tc>
        <w:tc>
          <w:tcPr>
            <w:tcW w:w="1910" w:type="dxa"/>
            <w:vAlign w:val="center"/>
          </w:tcPr>
          <w:p w14:paraId="061CFB71">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w:t>
            </w:r>
          </w:p>
        </w:tc>
        <w:tc>
          <w:tcPr>
            <w:tcW w:w="760" w:type="dxa"/>
            <w:vAlign w:val="center"/>
          </w:tcPr>
          <w:p w14:paraId="186E1BE3">
            <w:pPr>
              <w:jc w:val="right"/>
              <w:rPr>
                <w:rFonts w:hint="default"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w:t>
            </w:r>
          </w:p>
        </w:tc>
        <w:tc>
          <w:tcPr>
            <w:tcW w:w="1431" w:type="dxa"/>
            <w:vAlign w:val="center"/>
          </w:tcPr>
          <w:p w14:paraId="55F809CB">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w:t>
            </w:r>
          </w:p>
        </w:tc>
      </w:tr>
      <w:tr w14:paraId="72D75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vAlign w:val="center"/>
          </w:tcPr>
          <w:p w14:paraId="2489749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石狮市华信船运有限公司</w:t>
            </w:r>
          </w:p>
        </w:tc>
        <w:tc>
          <w:tcPr>
            <w:tcW w:w="1310" w:type="dxa"/>
            <w:vAlign w:val="center"/>
          </w:tcPr>
          <w:p w14:paraId="0CA08603">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75.16</w:t>
            </w:r>
          </w:p>
        </w:tc>
        <w:tc>
          <w:tcPr>
            <w:tcW w:w="1180" w:type="dxa"/>
            <w:vAlign w:val="center"/>
          </w:tcPr>
          <w:p w14:paraId="644A3880">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1.18%</w:t>
            </w:r>
          </w:p>
        </w:tc>
        <w:tc>
          <w:tcPr>
            <w:tcW w:w="1180" w:type="dxa"/>
            <w:vAlign w:val="center"/>
          </w:tcPr>
          <w:p w14:paraId="667C8685">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3</w:t>
            </w:r>
          </w:p>
        </w:tc>
        <w:tc>
          <w:tcPr>
            <w:tcW w:w="1721" w:type="dxa"/>
            <w:vAlign w:val="center"/>
          </w:tcPr>
          <w:p w14:paraId="7EC54A1B">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0.035531417</w:t>
            </w:r>
          </w:p>
        </w:tc>
        <w:tc>
          <w:tcPr>
            <w:tcW w:w="959" w:type="dxa"/>
            <w:vAlign w:val="center"/>
          </w:tcPr>
          <w:p w14:paraId="776E47AD">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c>
          <w:tcPr>
            <w:tcW w:w="1910" w:type="dxa"/>
            <w:vAlign w:val="center"/>
          </w:tcPr>
          <w:p w14:paraId="307D6CB0">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c>
          <w:tcPr>
            <w:tcW w:w="760" w:type="dxa"/>
            <w:vAlign w:val="center"/>
          </w:tcPr>
          <w:p w14:paraId="46CDE07F">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c>
          <w:tcPr>
            <w:tcW w:w="1431" w:type="dxa"/>
            <w:vAlign w:val="center"/>
          </w:tcPr>
          <w:p w14:paraId="5A7FE0C2">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r>
      <w:tr w14:paraId="4F582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vAlign w:val="center"/>
          </w:tcPr>
          <w:p w14:paraId="75690BF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石狮弘兴船务有限公司</w:t>
            </w:r>
          </w:p>
        </w:tc>
        <w:tc>
          <w:tcPr>
            <w:tcW w:w="1310" w:type="dxa"/>
            <w:vAlign w:val="center"/>
          </w:tcPr>
          <w:p w14:paraId="4B9F4F91">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54.35</w:t>
            </w:r>
          </w:p>
        </w:tc>
        <w:tc>
          <w:tcPr>
            <w:tcW w:w="1180" w:type="dxa"/>
            <w:vAlign w:val="center"/>
          </w:tcPr>
          <w:p w14:paraId="31533B66">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0.86%</w:t>
            </w:r>
          </w:p>
        </w:tc>
        <w:tc>
          <w:tcPr>
            <w:tcW w:w="1180" w:type="dxa"/>
            <w:vAlign w:val="center"/>
          </w:tcPr>
          <w:p w14:paraId="3CD30320">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c>
          <w:tcPr>
            <w:tcW w:w="1721" w:type="dxa"/>
            <w:vAlign w:val="center"/>
          </w:tcPr>
          <w:p w14:paraId="184704FE">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c>
          <w:tcPr>
            <w:tcW w:w="959" w:type="dxa"/>
            <w:vAlign w:val="center"/>
          </w:tcPr>
          <w:p w14:paraId="0EAD8A81">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c>
          <w:tcPr>
            <w:tcW w:w="1910" w:type="dxa"/>
            <w:vAlign w:val="center"/>
          </w:tcPr>
          <w:p w14:paraId="538619B0">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c>
          <w:tcPr>
            <w:tcW w:w="760" w:type="dxa"/>
            <w:vAlign w:val="center"/>
          </w:tcPr>
          <w:p w14:paraId="1829375E">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c>
          <w:tcPr>
            <w:tcW w:w="1431" w:type="dxa"/>
            <w:vAlign w:val="center"/>
          </w:tcPr>
          <w:p w14:paraId="1007B58D">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r>
      <w:tr w14:paraId="49A77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vAlign w:val="center"/>
          </w:tcPr>
          <w:p w14:paraId="5D0BF65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福建安丰船务有限公司</w:t>
            </w:r>
          </w:p>
        </w:tc>
        <w:tc>
          <w:tcPr>
            <w:tcW w:w="1310" w:type="dxa"/>
            <w:vAlign w:val="center"/>
          </w:tcPr>
          <w:p w14:paraId="18150487">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49.97</w:t>
            </w:r>
          </w:p>
        </w:tc>
        <w:tc>
          <w:tcPr>
            <w:tcW w:w="1180" w:type="dxa"/>
            <w:vAlign w:val="center"/>
          </w:tcPr>
          <w:p w14:paraId="3AEA680C">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0.79%</w:t>
            </w:r>
          </w:p>
        </w:tc>
        <w:tc>
          <w:tcPr>
            <w:tcW w:w="1180" w:type="dxa"/>
            <w:vAlign w:val="center"/>
          </w:tcPr>
          <w:p w14:paraId="18D2A02D">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3</w:t>
            </w:r>
          </w:p>
        </w:tc>
        <w:tc>
          <w:tcPr>
            <w:tcW w:w="1721" w:type="dxa"/>
            <w:vAlign w:val="center"/>
          </w:tcPr>
          <w:p w14:paraId="1F54B449">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0.023623003</w:t>
            </w:r>
          </w:p>
        </w:tc>
        <w:tc>
          <w:tcPr>
            <w:tcW w:w="959" w:type="dxa"/>
            <w:vAlign w:val="center"/>
          </w:tcPr>
          <w:p w14:paraId="44052071">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4</w:t>
            </w:r>
          </w:p>
        </w:tc>
        <w:tc>
          <w:tcPr>
            <w:tcW w:w="1910" w:type="dxa"/>
            <w:vAlign w:val="center"/>
          </w:tcPr>
          <w:p w14:paraId="143A288C">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0.031497337</w:t>
            </w:r>
          </w:p>
        </w:tc>
        <w:tc>
          <w:tcPr>
            <w:tcW w:w="760" w:type="dxa"/>
            <w:vAlign w:val="center"/>
          </w:tcPr>
          <w:p w14:paraId="02F20D34">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6</w:t>
            </w:r>
          </w:p>
        </w:tc>
        <w:tc>
          <w:tcPr>
            <w:tcW w:w="1431" w:type="dxa"/>
            <w:vAlign w:val="center"/>
          </w:tcPr>
          <w:p w14:paraId="1106B16A">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0.047246006</w:t>
            </w:r>
          </w:p>
        </w:tc>
      </w:tr>
      <w:tr w14:paraId="22D34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vAlign w:val="center"/>
          </w:tcPr>
          <w:p w14:paraId="474BF82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泉州弘旭船务有限公司</w:t>
            </w:r>
          </w:p>
        </w:tc>
        <w:tc>
          <w:tcPr>
            <w:tcW w:w="1310" w:type="dxa"/>
            <w:vAlign w:val="center"/>
          </w:tcPr>
          <w:p w14:paraId="1D444901">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49.9</w:t>
            </w:r>
          </w:p>
        </w:tc>
        <w:tc>
          <w:tcPr>
            <w:tcW w:w="1180" w:type="dxa"/>
            <w:vAlign w:val="center"/>
          </w:tcPr>
          <w:p w14:paraId="5D54EC3D">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0.79%</w:t>
            </w:r>
          </w:p>
        </w:tc>
        <w:tc>
          <w:tcPr>
            <w:tcW w:w="1180" w:type="dxa"/>
            <w:vAlign w:val="center"/>
          </w:tcPr>
          <w:p w14:paraId="28B77181">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3</w:t>
            </w:r>
          </w:p>
        </w:tc>
        <w:tc>
          <w:tcPr>
            <w:tcW w:w="1721" w:type="dxa"/>
            <w:vAlign w:val="center"/>
          </w:tcPr>
          <w:p w14:paraId="23DCD278">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0.023589911</w:t>
            </w:r>
          </w:p>
        </w:tc>
        <w:tc>
          <w:tcPr>
            <w:tcW w:w="959" w:type="dxa"/>
            <w:vAlign w:val="center"/>
          </w:tcPr>
          <w:p w14:paraId="757540E5">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2</w:t>
            </w:r>
          </w:p>
        </w:tc>
        <w:tc>
          <w:tcPr>
            <w:tcW w:w="1910" w:type="dxa"/>
            <w:vAlign w:val="center"/>
          </w:tcPr>
          <w:p w14:paraId="07F2C079">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0.015726607</w:t>
            </w:r>
          </w:p>
        </w:tc>
        <w:tc>
          <w:tcPr>
            <w:tcW w:w="760" w:type="dxa"/>
            <w:vAlign w:val="center"/>
          </w:tcPr>
          <w:p w14:paraId="1E53B70A">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3</w:t>
            </w:r>
          </w:p>
        </w:tc>
        <w:tc>
          <w:tcPr>
            <w:tcW w:w="1431" w:type="dxa"/>
            <w:vAlign w:val="center"/>
          </w:tcPr>
          <w:p w14:paraId="4104FDAD">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0.023589911</w:t>
            </w:r>
          </w:p>
        </w:tc>
      </w:tr>
      <w:tr w14:paraId="054FB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tcPr>
          <w:p w14:paraId="00D116A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zh-CN" w:eastAsia="zh-CN" w:bidi="ar"/>
              </w:rPr>
              <w:t>泉州宝晟船务有限公司</w:t>
            </w:r>
          </w:p>
        </w:tc>
        <w:tc>
          <w:tcPr>
            <w:tcW w:w="1310" w:type="dxa"/>
            <w:vAlign w:val="center"/>
          </w:tcPr>
          <w:p w14:paraId="0A5E997A">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24.99</w:t>
            </w:r>
          </w:p>
        </w:tc>
        <w:tc>
          <w:tcPr>
            <w:tcW w:w="1180" w:type="dxa"/>
            <w:vAlign w:val="center"/>
          </w:tcPr>
          <w:p w14:paraId="0B3F6984">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r>
              <w:rPr>
                <w:rFonts w:hint="eastAsia" w:ascii="宋体" w:hAnsi="宋体" w:eastAsia="宋体" w:cs="宋体"/>
                <w:i w:val="0"/>
                <w:iCs w:val="0"/>
                <w:color w:val="000000"/>
                <w:kern w:val="0"/>
                <w:sz w:val="21"/>
                <w:szCs w:val="21"/>
                <w:u w:val="none"/>
                <w:lang w:val="en-US" w:eastAsia="zh-CN" w:bidi="ar"/>
              </w:rPr>
              <w:t>0.39%</w:t>
            </w:r>
          </w:p>
        </w:tc>
        <w:tc>
          <w:tcPr>
            <w:tcW w:w="1180" w:type="dxa"/>
            <w:vAlign w:val="center"/>
          </w:tcPr>
          <w:p w14:paraId="1EC048F4">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c>
          <w:tcPr>
            <w:tcW w:w="1721" w:type="dxa"/>
            <w:vAlign w:val="center"/>
          </w:tcPr>
          <w:p w14:paraId="243D68C1">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w:t>
            </w:r>
          </w:p>
        </w:tc>
        <w:tc>
          <w:tcPr>
            <w:tcW w:w="959" w:type="dxa"/>
            <w:vAlign w:val="center"/>
          </w:tcPr>
          <w:p w14:paraId="2E03B4B3">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2</w:t>
            </w:r>
          </w:p>
        </w:tc>
        <w:tc>
          <w:tcPr>
            <w:tcW w:w="1910" w:type="dxa"/>
            <w:vAlign w:val="center"/>
          </w:tcPr>
          <w:p w14:paraId="5962C990">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0.00787591</w:t>
            </w:r>
          </w:p>
        </w:tc>
        <w:tc>
          <w:tcPr>
            <w:tcW w:w="760" w:type="dxa"/>
            <w:vAlign w:val="center"/>
          </w:tcPr>
          <w:p w14:paraId="441C24D7">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3</w:t>
            </w:r>
          </w:p>
        </w:tc>
        <w:tc>
          <w:tcPr>
            <w:tcW w:w="1431" w:type="dxa"/>
            <w:vAlign w:val="center"/>
          </w:tcPr>
          <w:p w14:paraId="73BFD16A">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0.011813865</w:t>
            </w:r>
          </w:p>
        </w:tc>
      </w:tr>
      <w:tr w14:paraId="7FE9B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tcPr>
          <w:p w14:paraId="2D6294E0">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合计值</w:t>
            </w:r>
          </w:p>
        </w:tc>
        <w:tc>
          <w:tcPr>
            <w:tcW w:w="1310" w:type="dxa"/>
          </w:tcPr>
          <w:p w14:paraId="32556C93">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p>
        </w:tc>
        <w:tc>
          <w:tcPr>
            <w:tcW w:w="1180" w:type="dxa"/>
          </w:tcPr>
          <w:p w14:paraId="6BC80CDC">
            <w:pPr>
              <w:keepNext w:val="0"/>
              <w:keepLines w:val="0"/>
              <w:widowControl/>
              <w:suppressLineNumbers w:val="0"/>
              <w:jc w:val="righ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w:t>
            </w:r>
          </w:p>
        </w:tc>
        <w:tc>
          <w:tcPr>
            <w:tcW w:w="1180" w:type="dxa"/>
          </w:tcPr>
          <w:p w14:paraId="1E9225A7">
            <w:pPr>
              <w:rPr>
                <w:rFonts w:hint="eastAsia" w:ascii="仿宋" w:hAnsi="仿宋" w:eastAsia="仿宋" w:cs="仿宋"/>
                <w:b/>
                <w:bCs/>
                <w:sz w:val="28"/>
                <w:szCs w:val="28"/>
                <w:vertAlign w:val="baseline"/>
                <w:lang w:val="zh-CN" w:eastAsia="zh-CN"/>
              </w:rPr>
            </w:pPr>
          </w:p>
        </w:tc>
        <w:tc>
          <w:tcPr>
            <w:tcW w:w="1721" w:type="dxa"/>
            <w:vAlign w:val="center"/>
          </w:tcPr>
          <w:p w14:paraId="4D8B95FE">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3.77</w:t>
            </w:r>
          </w:p>
        </w:tc>
        <w:tc>
          <w:tcPr>
            <w:tcW w:w="959" w:type="dxa"/>
            <w:vAlign w:val="center"/>
          </w:tcPr>
          <w:p w14:paraId="31B43FD4">
            <w:pPr>
              <w:rPr>
                <w:rFonts w:hint="eastAsia" w:ascii="仿宋" w:hAnsi="仿宋" w:eastAsia="仿宋" w:cs="仿宋"/>
                <w:b/>
                <w:bCs/>
                <w:sz w:val="28"/>
                <w:szCs w:val="28"/>
                <w:vertAlign w:val="baseline"/>
                <w:lang w:val="zh-CN" w:eastAsia="zh-CN"/>
              </w:rPr>
            </w:pPr>
          </w:p>
        </w:tc>
        <w:tc>
          <w:tcPr>
            <w:tcW w:w="1910" w:type="dxa"/>
            <w:vAlign w:val="center"/>
          </w:tcPr>
          <w:p w14:paraId="3D5106A3">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2.86</w:t>
            </w:r>
          </w:p>
        </w:tc>
        <w:tc>
          <w:tcPr>
            <w:tcW w:w="760" w:type="dxa"/>
            <w:vAlign w:val="center"/>
          </w:tcPr>
          <w:p w14:paraId="34B575CB">
            <w:pPr>
              <w:rPr>
                <w:rFonts w:hint="eastAsia" w:ascii="仿宋" w:hAnsi="仿宋" w:eastAsia="仿宋" w:cs="仿宋"/>
                <w:b/>
                <w:bCs/>
                <w:sz w:val="28"/>
                <w:szCs w:val="28"/>
                <w:vertAlign w:val="baseline"/>
                <w:lang w:val="zh-CN" w:eastAsia="zh-CN"/>
              </w:rPr>
            </w:pPr>
          </w:p>
        </w:tc>
        <w:tc>
          <w:tcPr>
            <w:tcW w:w="1431" w:type="dxa"/>
            <w:vAlign w:val="center"/>
          </w:tcPr>
          <w:p w14:paraId="62EB5BFE">
            <w:pPr>
              <w:keepNext w:val="0"/>
              <w:keepLines w:val="0"/>
              <w:widowControl/>
              <w:suppressLineNumbers w:val="0"/>
              <w:jc w:val="right"/>
              <w:textAlignment w:val="center"/>
              <w:rPr>
                <w:rFonts w:hint="eastAsia" w:ascii="仿宋" w:hAnsi="仿宋" w:eastAsia="仿宋" w:cs="仿宋"/>
                <w:b/>
                <w:bCs/>
                <w:sz w:val="28"/>
                <w:szCs w:val="28"/>
                <w:vertAlign w:val="baseline"/>
                <w:lang w:val="zh-CN" w:eastAsia="zh-CN"/>
              </w:rPr>
            </w:pPr>
            <w:r>
              <w:rPr>
                <w:rFonts w:hint="eastAsia" w:ascii="宋体" w:hAnsi="宋体" w:eastAsia="宋体" w:cs="宋体"/>
                <w:i w:val="0"/>
                <w:iCs w:val="0"/>
                <w:color w:val="000000"/>
                <w:kern w:val="0"/>
                <w:sz w:val="22"/>
                <w:szCs w:val="22"/>
                <w:u w:val="none"/>
                <w:lang w:val="en-US" w:eastAsia="zh-CN" w:bidi="ar"/>
              </w:rPr>
              <w:t>3.14</w:t>
            </w:r>
          </w:p>
        </w:tc>
      </w:tr>
      <w:tr w14:paraId="54AB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1" w:type="dxa"/>
          </w:tcPr>
          <w:p w14:paraId="61DA5AFC">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折算值=合计值/98.67%</w:t>
            </w:r>
          </w:p>
        </w:tc>
        <w:tc>
          <w:tcPr>
            <w:tcW w:w="1310" w:type="dxa"/>
          </w:tcPr>
          <w:p w14:paraId="42FE7437">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zh-CN" w:eastAsia="zh-CN" w:bidi="ar"/>
              </w:rPr>
            </w:pPr>
          </w:p>
        </w:tc>
        <w:tc>
          <w:tcPr>
            <w:tcW w:w="1180" w:type="dxa"/>
          </w:tcPr>
          <w:p w14:paraId="33F9397E">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c>
          <w:tcPr>
            <w:tcW w:w="1180" w:type="dxa"/>
          </w:tcPr>
          <w:p w14:paraId="3B539B91">
            <w:pPr>
              <w:rPr>
                <w:rFonts w:hint="eastAsia" w:ascii="仿宋" w:hAnsi="仿宋" w:eastAsia="仿宋" w:cs="仿宋"/>
                <w:b/>
                <w:bCs/>
                <w:sz w:val="28"/>
                <w:szCs w:val="28"/>
                <w:vertAlign w:val="baseline"/>
                <w:lang w:val="zh-CN" w:eastAsia="zh-CN"/>
              </w:rPr>
            </w:pPr>
          </w:p>
        </w:tc>
        <w:tc>
          <w:tcPr>
            <w:tcW w:w="1721" w:type="dxa"/>
            <w:vAlign w:val="center"/>
          </w:tcPr>
          <w:p w14:paraId="0B7014E1">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3.82</w:t>
            </w:r>
          </w:p>
        </w:tc>
        <w:tc>
          <w:tcPr>
            <w:tcW w:w="959" w:type="dxa"/>
            <w:vAlign w:val="center"/>
          </w:tcPr>
          <w:p w14:paraId="6C14E0A6">
            <w:pPr>
              <w:rPr>
                <w:rFonts w:hint="eastAsia" w:ascii="仿宋" w:hAnsi="仿宋" w:eastAsia="仿宋" w:cs="仿宋"/>
                <w:b/>
                <w:bCs/>
                <w:sz w:val="28"/>
                <w:szCs w:val="28"/>
                <w:vertAlign w:val="baseline"/>
                <w:lang w:val="zh-CN" w:eastAsia="zh-CN"/>
              </w:rPr>
            </w:pPr>
          </w:p>
        </w:tc>
        <w:tc>
          <w:tcPr>
            <w:tcW w:w="1910" w:type="dxa"/>
            <w:vAlign w:val="center"/>
          </w:tcPr>
          <w:p w14:paraId="5E8B9649">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2.9</w:t>
            </w:r>
          </w:p>
        </w:tc>
        <w:tc>
          <w:tcPr>
            <w:tcW w:w="760" w:type="dxa"/>
            <w:vAlign w:val="center"/>
          </w:tcPr>
          <w:p w14:paraId="6CBD4332">
            <w:pPr>
              <w:rPr>
                <w:rFonts w:hint="eastAsia" w:ascii="仿宋" w:hAnsi="仿宋" w:eastAsia="仿宋" w:cs="仿宋"/>
                <w:b/>
                <w:bCs/>
                <w:sz w:val="28"/>
                <w:szCs w:val="28"/>
                <w:vertAlign w:val="baseline"/>
                <w:lang w:val="zh-CN" w:eastAsia="zh-CN"/>
              </w:rPr>
            </w:pPr>
          </w:p>
        </w:tc>
        <w:tc>
          <w:tcPr>
            <w:tcW w:w="1431" w:type="dxa"/>
            <w:vAlign w:val="center"/>
          </w:tcPr>
          <w:p w14:paraId="4CD07D0F">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3.18</w:t>
            </w:r>
          </w:p>
        </w:tc>
      </w:tr>
    </w:tbl>
    <w:p w14:paraId="0C0D6F00">
      <w:pPr>
        <w:rPr>
          <w:rFonts w:hint="eastAsia" w:ascii="仿宋" w:hAnsi="仿宋" w:eastAsia="仿宋" w:cs="仿宋"/>
          <w:b/>
          <w:bCs/>
          <w:sz w:val="28"/>
          <w:szCs w:val="28"/>
          <w:lang w:val="zh-CN" w:eastAsia="zh-CN"/>
        </w:rPr>
      </w:pPr>
      <w:r>
        <w:rPr>
          <w:rFonts w:hint="eastAsia" w:ascii="仿宋" w:hAnsi="仿宋" w:eastAsia="仿宋" w:cs="仿宋"/>
          <w:b/>
          <w:bCs/>
          <w:sz w:val="28"/>
          <w:szCs w:val="28"/>
          <w:lang w:val="zh-CN" w:eastAsia="zh-CN"/>
        </w:rPr>
        <w:br w:type="page"/>
      </w:r>
    </w:p>
    <w:p w14:paraId="2A28F1A5">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仿宋" w:hAnsi="仿宋" w:eastAsia="仿宋" w:cs="仿宋"/>
          <w:b/>
          <w:bCs/>
          <w:sz w:val="28"/>
          <w:szCs w:val="28"/>
          <w:lang w:val="zh-CN" w:eastAsia="zh-CN"/>
        </w:rPr>
        <w:sectPr>
          <w:pgSz w:w="16838" w:h="11906" w:orient="landscape"/>
          <w:pgMar w:top="1701" w:right="1417" w:bottom="1531" w:left="1531" w:header="851" w:footer="1020" w:gutter="0"/>
          <w:pgBorders>
            <w:top w:val="none" w:sz="0" w:space="0"/>
            <w:left w:val="none" w:sz="0" w:space="0"/>
            <w:bottom w:val="none" w:sz="0" w:space="0"/>
            <w:right w:val="none" w:sz="0" w:space="0"/>
          </w:pgBorders>
          <w:pgNumType w:fmt="decimal"/>
          <w:cols w:space="0" w:num="1"/>
          <w:rtlGutter w:val="0"/>
          <w:docGrid w:type="lines" w:linePitch="420" w:charSpace="0"/>
        </w:sectPr>
      </w:pPr>
    </w:p>
    <w:p w14:paraId="139C0D7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仿宋" w:hAnsi="仿宋" w:eastAsia="仿宋" w:cs="仿宋"/>
          <w:b/>
          <w:bCs/>
          <w:sz w:val="28"/>
          <w:szCs w:val="28"/>
          <w:lang w:val="en-US" w:eastAsia="zh-CN"/>
        </w:rPr>
      </w:pPr>
      <w:bookmarkStart w:id="99" w:name="_Toc13116"/>
      <w:r>
        <w:rPr>
          <w:rFonts w:hint="eastAsia" w:ascii="仿宋" w:hAnsi="仿宋" w:eastAsia="仿宋" w:cs="仿宋"/>
          <w:b/>
          <w:bCs/>
          <w:sz w:val="28"/>
          <w:szCs w:val="28"/>
          <w:lang w:val="zh-CN" w:eastAsia="zh-CN"/>
        </w:rPr>
        <w:t>附录</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lang w:val="zh-CN" w:eastAsia="zh-CN"/>
        </w:rPr>
        <w:t>石狮市202</w:t>
      </w:r>
      <w:r>
        <w:rPr>
          <w:rFonts w:hint="eastAsia" w:ascii="仿宋" w:hAnsi="仿宋" w:eastAsia="仿宋" w:cs="仿宋"/>
          <w:b/>
          <w:bCs/>
          <w:sz w:val="28"/>
          <w:szCs w:val="28"/>
          <w:lang w:val="en-US" w:eastAsia="zh-CN"/>
        </w:rPr>
        <w:t>4</w:t>
      </w:r>
      <w:r>
        <w:rPr>
          <w:rFonts w:hint="eastAsia" w:ascii="仿宋" w:hAnsi="仿宋" w:eastAsia="仿宋" w:cs="仿宋"/>
          <w:b/>
          <w:bCs/>
          <w:sz w:val="28"/>
          <w:szCs w:val="28"/>
          <w:lang w:val="zh-CN" w:eastAsia="zh-CN"/>
        </w:rPr>
        <w:t>年</w:t>
      </w:r>
      <w:r>
        <w:rPr>
          <w:rFonts w:hint="eastAsia" w:ascii="仿宋" w:hAnsi="仿宋" w:eastAsia="仿宋" w:cs="仿宋"/>
          <w:b/>
          <w:bCs/>
          <w:sz w:val="28"/>
          <w:szCs w:val="28"/>
          <w:lang w:val="en-US" w:eastAsia="zh-CN"/>
        </w:rPr>
        <w:t>水路运输业相关补贴</w:t>
      </w:r>
      <w:r>
        <w:rPr>
          <w:rFonts w:hint="eastAsia" w:ascii="仿宋" w:hAnsi="仿宋" w:eastAsia="仿宋" w:cs="仿宋"/>
          <w:b/>
          <w:bCs/>
          <w:sz w:val="28"/>
          <w:szCs w:val="28"/>
          <w:lang w:val="zh-CN" w:eastAsia="zh-CN"/>
        </w:rPr>
        <w:t>项目</w:t>
      </w:r>
      <w:bookmarkEnd w:id="95"/>
      <w:bookmarkEnd w:id="96"/>
      <w:bookmarkEnd w:id="97"/>
      <w:r>
        <w:rPr>
          <w:rFonts w:hint="eastAsia" w:ascii="仿宋" w:hAnsi="仿宋" w:eastAsia="仿宋" w:cs="仿宋"/>
          <w:b/>
          <w:bCs/>
          <w:sz w:val="28"/>
          <w:szCs w:val="28"/>
          <w:lang w:val="en-US" w:eastAsia="zh-CN"/>
        </w:rPr>
        <w:t>受补贴企业调查问卷</w:t>
      </w:r>
      <w:bookmarkEnd w:id="99"/>
    </w:p>
    <w:p w14:paraId="220924ED">
      <w:pPr>
        <w:jc w:val="center"/>
        <w:rPr>
          <w:rFonts w:hint="eastAsia" w:ascii="黑体" w:hAnsi="黑体" w:eastAsia="黑体" w:cs="黑体"/>
          <w:sz w:val="30"/>
          <w:szCs w:val="30"/>
          <w:lang w:val="en-US" w:eastAsia="zh-CN"/>
        </w:rPr>
      </w:pPr>
    </w:p>
    <w:p w14:paraId="45BE0AA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各水路运输企业：</w:t>
      </w:r>
    </w:p>
    <w:p w14:paraId="4E8F38D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请根据贵企业自身实际情况填写本问卷，问卷仅用于2023-2024年水路运输业相关补贴项目资金绩效评价使用，资料不外传，请放心填写，填写后</w:t>
      </w:r>
      <w:r>
        <w:rPr>
          <w:rFonts w:hint="eastAsia" w:ascii="仿宋" w:hAnsi="仿宋" w:eastAsia="仿宋" w:cs="仿宋"/>
          <w:b/>
          <w:bCs/>
          <w:sz w:val="24"/>
          <w:szCs w:val="24"/>
          <w:lang w:val="en-US" w:eastAsia="zh-CN"/>
        </w:rPr>
        <w:t>在第一题企业名称处加盖企业公章，并扫描问卷发送至22369051@qq.com邮箱</w:t>
      </w:r>
      <w:r>
        <w:rPr>
          <w:rFonts w:hint="eastAsia" w:ascii="仿宋" w:hAnsi="仿宋" w:eastAsia="仿宋" w:cs="仿宋"/>
          <w:sz w:val="24"/>
          <w:szCs w:val="24"/>
          <w:lang w:val="en-US" w:eastAsia="zh-CN"/>
        </w:rPr>
        <w:t>，感谢您的支持。</w:t>
      </w:r>
    </w:p>
    <w:p w14:paraId="3EF9856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lang w:val="en-US" w:eastAsia="zh-CN"/>
        </w:rPr>
      </w:pPr>
    </w:p>
    <w:p w14:paraId="6810E99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lang w:val="en-US" w:eastAsia="zh-CN"/>
        </w:rPr>
        <w:t>1.贵企业名称是</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w:t>
      </w:r>
    </w:p>
    <w:p w14:paraId="379CEE9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p>
    <w:p w14:paraId="49F4AC7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2.贵企业在哪些年份曾领取水路运输业相关补贴？（请填写具体年份，如2022年）</w:t>
      </w:r>
    </w:p>
    <w:p w14:paraId="2CD84B5A">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u w:val="single"/>
          <w:lang w:val="en-US" w:eastAsia="zh-CN"/>
        </w:rPr>
        <w:t xml:space="preserve">                        </w:t>
      </w:r>
    </w:p>
    <w:p w14:paraId="30C7E432">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br w:type="textWrapping"/>
      </w:r>
      <w:r>
        <w:rPr>
          <w:rFonts w:hint="eastAsia" w:ascii="仿宋" w:hAnsi="仿宋" w:eastAsia="仿宋" w:cs="仿宋"/>
          <w:sz w:val="24"/>
          <w:szCs w:val="24"/>
          <w:u w:val="none"/>
          <w:lang w:val="en-US" w:eastAsia="zh-CN"/>
        </w:rPr>
        <w:t>3.贵企业所领取的水路运输业相关补贴是哪些项目的补助？（请在方框中勾选）</w:t>
      </w:r>
    </w:p>
    <w:p w14:paraId="45E97E7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 xml:space="preserve">  </w:t>
      </w:r>
      <w:r>
        <w:rPr>
          <w:rFonts w:hint="eastAsia" w:ascii="仿宋" w:hAnsi="仿宋" w:eastAsia="仿宋" w:cs="仿宋"/>
          <w:sz w:val="28"/>
          <w:szCs w:val="28"/>
          <w:lang w:val="en-US" w:eastAsia="zh-CN"/>
        </w:rPr>
        <w:sym w:font="Wingdings 2" w:char="00A3"/>
      </w:r>
      <w:r>
        <w:rPr>
          <w:rFonts w:hint="eastAsia" w:ascii="仿宋" w:hAnsi="仿宋" w:eastAsia="仿宋" w:cs="仿宋"/>
          <w:sz w:val="24"/>
          <w:szCs w:val="24"/>
          <w:u w:val="none"/>
          <w:lang w:val="en-US" w:eastAsia="zh-CN"/>
        </w:rPr>
        <w:t xml:space="preserve">鼓励企业新增运力     </w:t>
      </w:r>
      <w:r>
        <w:rPr>
          <w:rFonts w:hint="eastAsia" w:ascii="仿宋" w:hAnsi="仿宋" w:eastAsia="仿宋" w:cs="仿宋"/>
          <w:sz w:val="28"/>
          <w:szCs w:val="28"/>
          <w:lang w:val="en-US" w:eastAsia="zh-CN"/>
        </w:rPr>
        <w:sym w:font="Wingdings 2" w:char="00A3"/>
      </w:r>
      <w:r>
        <w:rPr>
          <w:rFonts w:hint="eastAsia" w:ascii="仿宋" w:hAnsi="仿宋" w:eastAsia="仿宋" w:cs="仿宋"/>
          <w:sz w:val="24"/>
          <w:szCs w:val="24"/>
          <w:u w:val="none"/>
          <w:lang w:val="en-US" w:eastAsia="zh-CN"/>
        </w:rPr>
        <w:t xml:space="preserve">促进企业规模发展    </w:t>
      </w:r>
      <w:r>
        <w:rPr>
          <w:rFonts w:hint="eastAsia" w:ascii="仿宋" w:hAnsi="仿宋" w:eastAsia="仿宋" w:cs="仿宋"/>
          <w:sz w:val="28"/>
          <w:szCs w:val="28"/>
          <w:lang w:val="en-US" w:eastAsia="zh-CN"/>
        </w:rPr>
        <w:sym w:font="Wingdings 2" w:char="00A3"/>
      </w:r>
      <w:r>
        <w:rPr>
          <w:rFonts w:hint="eastAsia" w:ascii="仿宋" w:hAnsi="仿宋" w:eastAsia="仿宋" w:cs="仿宋"/>
          <w:sz w:val="24"/>
          <w:szCs w:val="24"/>
          <w:u w:val="none"/>
          <w:lang w:val="en-US" w:eastAsia="zh-CN"/>
        </w:rPr>
        <w:t>实施船舶贷款贴息</w:t>
      </w:r>
    </w:p>
    <w:p w14:paraId="732B3EB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p>
    <w:p w14:paraId="4E4AAB5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4.请填写贵企业2022-2025年在职人数情况。</w:t>
      </w:r>
    </w:p>
    <w:p w14:paraId="06A63452">
      <w:pPr>
        <w:keepNext w:val="0"/>
        <w:keepLines w:val="0"/>
        <w:pageBreakBefore w:val="0"/>
        <w:widowControl w:val="0"/>
        <w:kinsoku/>
        <w:wordWrap/>
        <w:overflowPunct/>
        <w:topLinePunct w:val="0"/>
        <w:autoSpaceDE/>
        <w:autoSpaceDN/>
        <w:bidi w:val="0"/>
        <w:adjustRightInd/>
        <w:snapToGrid/>
        <w:spacing w:line="360" w:lineRule="auto"/>
        <w:ind w:left="218" w:leftChars="0" w:hanging="218" w:hangingChars="91"/>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 xml:space="preserve">  2022年在职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人，其中船员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人（年末数）；2023年在职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人，其中船员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人（年末数）；2024年在职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人，其中船员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人（年末数）；2025年在职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人，其中船员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人（当前数）</w:t>
      </w:r>
    </w:p>
    <w:p w14:paraId="525FB7F9">
      <w:pPr>
        <w:keepNext w:val="0"/>
        <w:keepLines w:val="0"/>
        <w:pageBreakBefore w:val="0"/>
        <w:widowControl w:val="0"/>
        <w:kinsoku/>
        <w:wordWrap/>
        <w:overflowPunct/>
        <w:topLinePunct w:val="0"/>
        <w:autoSpaceDE/>
        <w:autoSpaceDN/>
        <w:bidi w:val="0"/>
        <w:adjustRightInd/>
        <w:snapToGrid/>
        <w:spacing w:line="360" w:lineRule="auto"/>
        <w:ind w:left="218" w:leftChars="0" w:hanging="218" w:hangingChars="91"/>
        <w:jc w:val="both"/>
        <w:textAlignment w:val="auto"/>
        <w:rPr>
          <w:rFonts w:hint="eastAsia" w:ascii="仿宋" w:hAnsi="仿宋" w:eastAsia="仿宋" w:cs="仿宋"/>
          <w:sz w:val="24"/>
          <w:szCs w:val="24"/>
          <w:u w:val="none"/>
          <w:lang w:val="en-US" w:eastAsia="zh-CN"/>
        </w:rPr>
      </w:pPr>
    </w:p>
    <w:p w14:paraId="012451F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5.请填写贵企业2022-2024年的总运力规模变化情况。</w:t>
      </w:r>
    </w:p>
    <w:p w14:paraId="1D46CC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2022年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载重吨，2023年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载重吨，2024年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载重吨</w:t>
      </w:r>
    </w:p>
    <w:p w14:paraId="45B10D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sz w:val="24"/>
          <w:szCs w:val="24"/>
          <w:u w:val="none"/>
          <w:lang w:val="en-US" w:eastAsia="zh-CN"/>
        </w:rPr>
      </w:pPr>
    </w:p>
    <w:p w14:paraId="6EA9F99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6.请填写贵企业2022-2024年营业收入变动情况。</w:t>
      </w:r>
    </w:p>
    <w:p w14:paraId="74EAA865">
      <w:pPr>
        <w:keepNext w:val="0"/>
        <w:keepLines w:val="0"/>
        <w:pageBreakBefore w:val="0"/>
        <w:widowControl w:val="0"/>
        <w:kinsoku/>
        <w:wordWrap/>
        <w:overflowPunct/>
        <w:topLinePunct w:val="0"/>
        <w:autoSpaceDE/>
        <w:autoSpaceDN/>
        <w:bidi w:val="0"/>
        <w:adjustRightInd/>
        <w:snapToGrid/>
        <w:spacing w:line="360" w:lineRule="auto"/>
        <w:ind w:left="216" w:leftChars="103" w:firstLine="0" w:firstLineChars="0"/>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2022年营收</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万元， 2023年营收</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万元，2024年营收</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万元。  </w:t>
      </w:r>
    </w:p>
    <w:p w14:paraId="0E541F5C">
      <w:pPr>
        <w:keepNext w:val="0"/>
        <w:keepLines w:val="0"/>
        <w:pageBreakBefore w:val="0"/>
        <w:widowControl w:val="0"/>
        <w:kinsoku/>
        <w:wordWrap/>
        <w:overflowPunct/>
        <w:topLinePunct w:val="0"/>
        <w:autoSpaceDE/>
        <w:autoSpaceDN/>
        <w:bidi w:val="0"/>
        <w:adjustRightInd/>
        <w:snapToGrid/>
        <w:spacing w:line="360" w:lineRule="auto"/>
        <w:ind w:left="216" w:leftChars="103" w:firstLine="0" w:firstLineChars="0"/>
        <w:jc w:val="both"/>
        <w:textAlignment w:val="auto"/>
        <w:rPr>
          <w:rFonts w:hint="eastAsia" w:ascii="仿宋" w:hAnsi="仿宋" w:eastAsia="仿宋" w:cs="仿宋"/>
          <w:sz w:val="24"/>
          <w:szCs w:val="24"/>
          <w:u w:val="none"/>
          <w:lang w:val="en-US" w:eastAsia="zh-CN"/>
        </w:rPr>
      </w:pPr>
    </w:p>
    <w:p w14:paraId="4A8FE93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7.请填写贵企业2022-2024年纳税情况。</w:t>
      </w:r>
    </w:p>
    <w:p w14:paraId="0D8A4A4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2022年纳税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万元， 2023年纳税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万元，2024年纳税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万元。 </w:t>
      </w:r>
    </w:p>
    <w:p w14:paraId="41093F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sz w:val="24"/>
          <w:szCs w:val="24"/>
          <w:u w:val="none"/>
          <w:lang w:val="en-US" w:eastAsia="zh-CN"/>
        </w:rPr>
      </w:pPr>
    </w:p>
    <w:p w14:paraId="1599A3B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lang w:val="en-US" w:eastAsia="zh-CN"/>
        </w:rPr>
        <w:t xml:space="preserve">8.请填写贵企业2022-2024年新增符合政策补助的船舶（5000 载重吨及以上，船龄10年（含）以下）情况。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723"/>
        <w:gridCol w:w="1215"/>
        <w:gridCol w:w="1845"/>
        <w:gridCol w:w="1740"/>
        <w:gridCol w:w="1620"/>
      </w:tblGrid>
      <w:tr w14:paraId="3A679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 w:type="dxa"/>
            <w:vAlign w:val="center"/>
          </w:tcPr>
          <w:p w14:paraId="61CAD8F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年份</w:t>
            </w:r>
          </w:p>
        </w:tc>
        <w:tc>
          <w:tcPr>
            <w:tcW w:w="1723" w:type="dxa"/>
            <w:vAlign w:val="center"/>
          </w:tcPr>
          <w:p w14:paraId="5C32015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购置船舶数量</w:t>
            </w:r>
          </w:p>
          <w:p w14:paraId="6A5BC76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（艘）</w:t>
            </w:r>
          </w:p>
        </w:tc>
        <w:tc>
          <w:tcPr>
            <w:tcW w:w="1215" w:type="dxa"/>
            <w:vAlign w:val="center"/>
          </w:tcPr>
          <w:p w14:paraId="18E55CA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购置费用</w:t>
            </w:r>
          </w:p>
          <w:p w14:paraId="08A46D9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（万元）</w:t>
            </w:r>
          </w:p>
        </w:tc>
        <w:tc>
          <w:tcPr>
            <w:tcW w:w="1845" w:type="dxa"/>
            <w:vAlign w:val="center"/>
          </w:tcPr>
          <w:p w14:paraId="10495F7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租赁船舶数量</w:t>
            </w:r>
          </w:p>
          <w:p w14:paraId="71FF9AC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（艘）</w:t>
            </w:r>
          </w:p>
        </w:tc>
        <w:tc>
          <w:tcPr>
            <w:tcW w:w="1740" w:type="dxa"/>
            <w:vAlign w:val="center"/>
          </w:tcPr>
          <w:p w14:paraId="1DE00EF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租赁总费用</w:t>
            </w:r>
          </w:p>
          <w:p w14:paraId="697F6D2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（万元）</w:t>
            </w:r>
          </w:p>
        </w:tc>
        <w:tc>
          <w:tcPr>
            <w:tcW w:w="1620" w:type="dxa"/>
            <w:vAlign w:val="center"/>
          </w:tcPr>
          <w:p w14:paraId="679088A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新增运力</w:t>
            </w:r>
            <w:r>
              <w:rPr>
                <w:rFonts w:hint="eastAsia" w:ascii="仿宋" w:hAnsi="仿宋" w:eastAsia="仿宋" w:cs="仿宋"/>
                <w:sz w:val="24"/>
                <w:szCs w:val="24"/>
                <w:u w:val="none"/>
                <w:vertAlign w:val="baseline"/>
                <w:lang w:val="en-US" w:eastAsia="zh-CN"/>
              </w:rPr>
              <w:br w:type="textWrapping"/>
            </w:r>
            <w:r>
              <w:rPr>
                <w:rFonts w:hint="eastAsia" w:ascii="仿宋" w:hAnsi="仿宋" w:eastAsia="仿宋" w:cs="仿宋"/>
                <w:sz w:val="24"/>
                <w:szCs w:val="24"/>
                <w:u w:val="none"/>
                <w:vertAlign w:val="baseline"/>
                <w:lang w:val="en-US" w:eastAsia="zh-CN"/>
              </w:rPr>
              <w:t>（</w:t>
            </w:r>
            <w:r>
              <w:rPr>
                <w:rFonts w:hint="eastAsia" w:ascii="仿宋" w:hAnsi="仿宋" w:eastAsia="仿宋" w:cs="仿宋"/>
                <w:sz w:val="24"/>
                <w:szCs w:val="24"/>
                <w:u w:val="none"/>
                <w:lang w:val="en-US" w:eastAsia="zh-CN"/>
              </w:rPr>
              <w:t>载重吨</w:t>
            </w:r>
            <w:r>
              <w:rPr>
                <w:rFonts w:hint="eastAsia" w:ascii="仿宋" w:hAnsi="仿宋" w:eastAsia="仿宋" w:cs="仿宋"/>
                <w:sz w:val="24"/>
                <w:szCs w:val="24"/>
                <w:u w:val="none"/>
                <w:vertAlign w:val="baseline"/>
                <w:lang w:val="en-US" w:eastAsia="zh-CN"/>
              </w:rPr>
              <w:t>）</w:t>
            </w:r>
          </w:p>
        </w:tc>
      </w:tr>
      <w:tr w14:paraId="1C2FE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 w:type="dxa"/>
            <w:vAlign w:val="center"/>
          </w:tcPr>
          <w:p w14:paraId="24E7B62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2022</w:t>
            </w:r>
          </w:p>
        </w:tc>
        <w:tc>
          <w:tcPr>
            <w:tcW w:w="1723" w:type="dxa"/>
          </w:tcPr>
          <w:p w14:paraId="06228F3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p>
        </w:tc>
        <w:tc>
          <w:tcPr>
            <w:tcW w:w="1215" w:type="dxa"/>
          </w:tcPr>
          <w:p w14:paraId="730EF57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p>
        </w:tc>
        <w:tc>
          <w:tcPr>
            <w:tcW w:w="1845" w:type="dxa"/>
          </w:tcPr>
          <w:p w14:paraId="6EF28E8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p>
        </w:tc>
        <w:tc>
          <w:tcPr>
            <w:tcW w:w="1740" w:type="dxa"/>
          </w:tcPr>
          <w:p w14:paraId="4676167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p>
        </w:tc>
        <w:tc>
          <w:tcPr>
            <w:tcW w:w="1620" w:type="dxa"/>
          </w:tcPr>
          <w:p w14:paraId="3D3B1B3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p>
        </w:tc>
      </w:tr>
      <w:tr w14:paraId="7DD4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 w:type="dxa"/>
            <w:vAlign w:val="center"/>
          </w:tcPr>
          <w:p w14:paraId="3C4713C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2023</w:t>
            </w:r>
          </w:p>
        </w:tc>
        <w:tc>
          <w:tcPr>
            <w:tcW w:w="1723" w:type="dxa"/>
          </w:tcPr>
          <w:p w14:paraId="2B0C4AB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p>
        </w:tc>
        <w:tc>
          <w:tcPr>
            <w:tcW w:w="1215" w:type="dxa"/>
          </w:tcPr>
          <w:p w14:paraId="49A9B1E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p>
        </w:tc>
        <w:tc>
          <w:tcPr>
            <w:tcW w:w="1845" w:type="dxa"/>
          </w:tcPr>
          <w:p w14:paraId="0A5F7E6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p>
        </w:tc>
        <w:tc>
          <w:tcPr>
            <w:tcW w:w="1740" w:type="dxa"/>
          </w:tcPr>
          <w:p w14:paraId="0792D41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p>
        </w:tc>
        <w:tc>
          <w:tcPr>
            <w:tcW w:w="1620" w:type="dxa"/>
          </w:tcPr>
          <w:p w14:paraId="76B94EE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p>
        </w:tc>
      </w:tr>
      <w:tr w14:paraId="32C84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 w:type="dxa"/>
            <w:vAlign w:val="center"/>
          </w:tcPr>
          <w:p w14:paraId="7D42AE6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2024</w:t>
            </w:r>
          </w:p>
        </w:tc>
        <w:tc>
          <w:tcPr>
            <w:tcW w:w="1723" w:type="dxa"/>
          </w:tcPr>
          <w:p w14:paraId="554B593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p>
        </w:tc>
        <w:tc>
          <w:tcPr>
            <w:tcW w:w="1215" w:type="dxa"/>
          </w:tcPr>
          <w:p w14:paraId="40A09A9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p>
        </w:tc>
        <w:tc>
          <w:tcPr>
            <w:tcW w:w="1845" w:type="dxa"/>
          </w:tcPr>
          <w:p w14:paraId="67132FA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p>
        </w:tc>
        <w:tc>
          <w:tcPr>
            <w:tcW w:w="1740" w:type="dxa"/>
          </w:tcPr>
          <w:p w14:paraId="16954D9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p>
        </w:tc>
        <w:tc>
          <w:tcPr>
            <w:tcW w:w="1620" w:type="dxa"/>
          </w:tcPr>
          <w:p w14:paraId="2041633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vertAlign w:val="baseline"/>
                <w:lang w:val="en-US" w:eastAsia="zh-CN"/>
              </w:rPr>
            </w:pPr>
          </w:p>
        </w:tc>
      </w:tr>
    </w:tbl>
    <w:p w14:paraId="6903282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p>
    <w:p w14:paraId="409BEFA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9.请问贵企业由什么途径获得补助政策信息？</w:t>
      </w:r>
    </w:p>
    <w:p w14:paraId="4A313F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218" w:firstLineChars="91"/>
        <w:jc w:val="both"/>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u w:val="single"/>
          <w:lang w:val="en-US" w:eastAsia="zh-CN"/>
        </w:rPr>
        <w:t xml:space="preserve">                                   </w:t>
      </w:r>
    </w:p>
    <w:p w14:paraId="7840D15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p>
    <w:p w14:paraId="66178FC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10.请问贵企业在领取补助过程中是否存在困难？（请在方框中勾选）</w:t>
      </w:r>
    </w:p>
    <w:p w14:paraId="0D645A7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 xml:space="preserve">   </w:t>
      </w:r>
      <w:r>
        <w:rPr>
          <w:rFonts w:hint="eastAsia" w:ascii="仿宋" w:hAnsi="仿宋" w:eastAsia="仿宋" w:cs="仿宋"/>
          <w:sz w:val="28"/>
          <w:szCs w:val="28"/>
          <w:lang w:val="en-US" w:eastAsia="zh-CN"/>
        </w:rPr>
        <w:sym w:font="Wingdings 2" w:char="00A3"/>
      </w:r>
      <w:r>
        <w:rPr>
          <w:rFonts w:hint="eastAsia" w:ascii="仿宋" w:hAnsi="仿宋" w:eastAsia="仿宋" w:cs="仿宋"/>
          <w:sz w:val="24"/>
          <w:szCs w:val="24"/>
          <w:u w:val="none"/>
          <w:lang w:val="en-US" w:eastAsia="zh-CN"/>
        </w:rPr>
        <w:t>存在，具体困难是</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8"/>
          <w:szCs w:val="28"/>
          <w:lang w:val="en-US" w:eastAsia="zh-CN"/>
        </w:rPr>
        <w:sym w:font="Wingdings 2" w:char="00A3"/>
      </w:r>
      <w:r>
        <w:rPr>
          <w:rFonts w:hint="eastAsia" w:ascii="仿宋" w:hAnsi="仿宋" w:eastAsia="仿宋" w:cs="仿宋"/>
          <w:sz w:val="24"/>
          <w:szCs w:val="24"/>
          <w:u w:val="none"/>
          <w:lang w:val="en-US" w:eastAsia="zh-CN"/>
        </w:rPr>
        <w:t>不存在困难</w:t>
      </w:r>
    </w:p>
    <w:p w14:paraId="04A78799">
      <w:pPr>
        <w:keepNext w:val="0"/>
        <w:keepLines w:val="0"/>
        <w:pageBreakBefore w:val="0"/>
        <w:widowControl w:val="0"/>
        <w:kinsoku/>
        <w:wordWrap/>
        <w:overflowPunct/>
        <w:topLinePunct w:val="0"/>
        <w:autoSpaceDE/>
        <w:autoSpaceDN/>
        <w:bidi w:val="0"/>
        <w:adjustRightInd/>
        <w:snapToGrid/>
        <w:spacing w:line="360" w:lineRule="auto"/>
        <w:ind w:left="216" w:leftChars="0" w:hanging="216" w:hangingChars="90"/>
        <w:jc w:val="both"/>
        <w:textAlignment w:val="auto"/>
        <w:rPr>
          <w:rFonts w:hint="eastAsia" w:ascii="仿宋" w:hAnsi="仿宋" w:eastAsia="仿宋" w:cs="仿宋"/>
          <w:sz w:val="24"/>
          <w:szCs w:val="24"/>
          <w:u w:val="none"/>
          <w:lang w:val="en-US" w:eastAsia="zh-CN"/>
        </w:rPr>
      </w:pPr>
    </w:p>
    <w:p w14:paraId="67F38AEB">
      <w:pPr>
        <w:keepNext w:val="0"/>
        <w:keepLines w:val="0"/>
        <w:pageBreakBefore w:val="0"/>
        <w:widowControl w:val="0"/>
        <w:kinsoku/>
        <w:wordWrap/>
        <w:overflowPunct/>
        <w:topLinePunct w:val="0"/>
        <w:autoSpaceDE/>
        <w:autoSpaceDN/>
        <w:bidi w:val="0"/>
        <w:adjustRightInd/>
        <w:snapToGrid/>
        <w:spacing w:line="360" w:lineRule="auto"/>
        <w:ind w:left="216" w:leftChars="0" w:hanging="216" w:hangingChars="90"/>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11.请问贵企业对水路运输业相关补贴政策是否满意？如果最满意分值为5分，贵企业能给几分？如果评分低于3分（含），请说明理由。</w:t>
      </w:r>
    </w:p>
    <w:p w14:paraId="387137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218" w:firstLineChars="91"/>
        <w:jc w:val="both"/>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u w:val="single"/>
          <w:lang w:val="en-US" w:eastAsia="zh-CN"/>
        </w:rPr>
        <w:t xml:space="preserve">                                      </w:t>
      </w:r>
    </w:p>
    <w:p w14:paraId="7A7205A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p>
    <w:p w14:paraId="37DE2DC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12.请问贵企业对于水路运输业的补助政策还有哪些方面建议？</w:t>
      </w:r>
    </w:p>
    <w:p w14:paraId="27B32D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218" w:firstLineChars="91"/>
        <w:jc w:val="both"/>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u w:val="single"/>
          <w:lang w:val="en-US" w:eastAsia="zh-CN"/>
        </w:rPr>
        <w:t xml:space="preserve">                                         </w:t>
      </w:r>
    </w:p>
    <w:p w14:paraId="3E18D7E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u w:val="none"/>
          <w:lang w:val="en-US" w:eastAsia="zh-CN"/>
        </w:rPr>
      </w:pPr>
    </w:p>
    <w:p w14:paraId="30D1C197">
      <w:pPr>
        <w:rPr>
          <w:rFonts w:hint="eastAsia" w:ascii="仿宋" w:hAnsi="仿宋" w:eastAsia="仿宋" w:cs="仿宋"/>
          <w:color w:val="000000"/>
          <w:sz w:val="21"/>
          <w:szCs w:val="21"/>
        </w:rPr>
      </w:pPr>
    </w:p>
    <w:p w14:paraId="2C6BC1F8">
      <w:pPr>
        <w:widowControl w:val="0"/>
        <w:numPr>
          <w:ilvl w:val="0"/>
          <w:numId w:val="0"/>
        </w:numPr>
        <w:jc w:val="both"/>
        <w:rPr>
          <w:rFonts w:hint="eastAsia" w:ascii="仿宋" w:hAnsi="仿宋" w:eastAsia="仿宋" w:cs="仿宋"/>
          <w:color w:val="0066FF"/>
          <w:sz w:val="21"/>
          <w:szCs w:val="21"/>
          <w:lang w:val="en-US" w:eastAsia="zh-CN"/>
        </w:rPr>
      </w:pPr>
    </w:p>
    <w:p w14:paraId="2D780C94">
      <w:pPr>
        <w:widowControl w:val="0"/>
        <w:numPr>
          <w:ilvl w:val="0"/>
          <w:numId w:val="0"/>
        </w:numPr>
        <w:jc w:val="both"/>
        <w:rPr>
          <w:rFonts w:hint="eastAsia" w:ascii="仿宋" w:hAnsi="仿宋" w:eastAsia="仿宋" w:cs="仿宋"/>
          <w:color w:val="0066FF"/>
          <w:sz w:val="21"/>
          <w:szCs w:val="21"/>
          <w:lang w:val="en-US" w:eastAsia="zh-CN"/>
        </w:rPr>
      </w:pPr>
    </w:p>
    <w:p w14:paraId="66B44BAE">
      <w:pPr>
        <w:widowControl w:val="0"/>
        <w:numPr>
          <w:ilvl w:val="0"/>
          <w:numId w:val="0"/>
        </w:numPr>
        <w:jc w:val="both"/>
        <w:rPr>
          <w:rFonts w:hint="eastAsia" w:ascii="仿宋" w:hAnsi="仿宋" w:eastAsia="仿宋" w:cs="仿宋"/>
          <w:color w:val="0066FF"/>
          <w:sz w:val="21"/>
          <w:szCs w:val="21"/>
          <w:lang w:val="en-US" w:eastAsia="zh-CN"/>
        </w:rPr>
      </w:pPr>
    </w:p>
    <w:p w14:paraId="475E0308">
      <w:pPr>
        <w:pStyle w:val="8"/>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仿宋" w:hAnsi="仿宋" w:eastAsia="仿宋" w:cs="仿宋"/>
          <w:sz w:val="30"/>
          <w:szCs w:val="30"/>
          <w:lang w:val="en-US" w:eastAsia="zh-CN"/>
        </w:rPr>
      </w:pPr>
    </w:p>
    <w:sectPr>
      <w:pgSz w:w="11906" w:h="16838"/>
      <w:pgMar w:top="1417" w:right="1531" w:bottom="1531" w:left="1701" w:header="851" w:footer="1020" w:gutter="0"/>
      <w:pgBorders>
        <w:top w:val="none" w:sz="0" w:space="0"/>
        <w:left w:val="none" w:sz="0" w:space="0"/>
        <w:bottom w:val="none" w:sz="0" w:space="0"/>
        <w:right w:val="none" w:sz="0" w:space="0"/>
      </w:pgBorders>
      <w:pgNumType w:fmt="decimal"/>
      <w:cols w:space="0" w:num="1"/>
      <w:rtlGutter w:val="0"/>
      <w:docGrid w:type="lines" w:linePitch="4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FangSong_GB2312">
    <w:altName w:val="仿宋"/>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E14FA">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7" name="文本框 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2DCEB3">
                          <w:pPr>
                            <w:pStyle w:val="9"/>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WEWw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m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WEWwzAgAAYwQAAA4AAAAAAAAAAQAgAAAAHwEAAGRycy9lMm9Eb2MueG1sUEsF&#10;BgAAAAAGAAYAWQEAAMQFAAAAAA==&#10;">
              <v:fill on="f" focussize="0,0"/>
              <v:stroke on="f" weight="0.5pt"/>
              <v:imagedata o:title=""/>
              <o:lock v:ext="edit" aspectratio="f"/>
              <v:textbox inset="0mm,0mm,0mm,0mm" style="mso-fit-shape-to-text:t;">
                <w:txbxContent>
                  <w:p w14:paraId="2B2DCEB3">
                    <w:pPr>
                      <w:pStyle w:val="9"/>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0EA0C">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8" name="文本框 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CEF17C">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teHZ4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teHZ4zAgAAYwQAAA4AAAAAAAAAAQAgAAAAHwEAAGRycy9lMm9Eb2MueG1sUEsF&#10;BgAAAAAGAAYAWQEAAMQFAAAAAA==&#10;">
              <v:fill on="f" focussize="0,0"/>
              <v:stroke on="f" weight="0.5pt"/>
              <v:imagedata o:title=""/>
              <o:lock v:ext="edit" aspectratio="f"/>
              <v:textbox inset="0mm,0mm,0mm,0mm" style="mso-fit-shape-to-text:t;">
                <w:txbxContent>
                  <w:p w14:paraId="69CEF17C">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A9978">
    <w:pPr>
      <w:widowControl w:val="0"/>
      <w:ind w:firstLine="0"/>
      <w:jc w:val="both"/>
    </w:pPr>
    <w:r>
      <w:rPr>
        <w:rStyle w:val="18"/>
        <w:rFonts w:hint="eastAsia" w:ascii="Times New Roman" w:hAnsi="Times New Roman" w:eastAsia="仿宋_GB2312" w:cs="Times New Roman"/>
        <w:kern w:val="2"/>
        <w:sz w:val="21"/>
        <w:szCs w:val="32"/>
        <w:u w:val="thick"/>
        <w:lang w:val="en-US" w:eastAsia="zh-CN" w:bidi="ar-SA"/>
      </w:rPr>
      <w:t xml:space="preserve">石狮市水路运输业相关补贴项目支出绩效评价报告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3DB2F">
    <w:pPr>
      <w:widowControl w:val="0"/>
      <w:ind w:firstLine="0"/>
      <w:jc w:val="both"/>
      <w:rPr>
        <w:rStyle w:val="18"/>
        <w:rFonts w:hint="eastAsia" w:ascii="Times New Roman" w:hAnsi="Times New Roman" w:eastAsia="仿宋_GB2312" w:cs="Times New Roman"/>
        <w:kern w:val="2"/>
        <w:sz w:val="21"/>
        <w:szCs w:val="32"/>
        <w:u w:val="thick"/>
        <w:lang w:val="en-US" w:eastAsia="zh-CN" w:bidi="ar-SA"/>
      </w:rPr>
    </w:pPr>
    <w:r>
      <w:rPr>
        <w:rStyle w:val="18"/>
        <w:rFonts w:hint="eastAsia" w:ascii="Times New Roman" w:hAnsi="Times New Roman" w:eastAsia="仿宋_GB2312" w:cs="Times New Roman"/>
        <w:kern w:val="2"/>
        <w:sz w:val="21"/>
        <w:szCs w:val="32"/>
        <w:u w:val="thick"/>
        <w:lang w:val="en-US" w:eastAsia="zh-CN" w:bidi="ar-SA"/>
      </w:rPr>
      <w:t xml:space="preserve">石狮市2024年水路运输业相关补贴项目支出绩效评价报告                                       </w:t>
    </w:r>
  </w:p>
  <w:p w14:paraId="7D443044">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0BE587"/>
    <w:multiLevelType w:val="singleLevel"/>
    <w:tmpl w:val="E30BE587"/>
    <w:lvl w:ilvl="0" w:tentative="0">
      <w:start w:val="1"/>
      <w:numFmt w:val="bullet"/>
      <w:pStyle w:val="6"/>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10"/>
  <w:drawingGridVerticalSpacing w:val="212"/>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D442D"/>
    <w:rsid w:val="0048276F"/>
    <w:rsid w:val="004E7ED8"/>
    <w:rsid w:val="00592A0F"/>
    <w:rsid w:val="00BC5E3A"/>
    <w:rsid w:val="00C94C5A"/>
    <w:rsid w:val="00E872DE"/>
    <w:rsid w:val="010831EA"/>
    <w:rsid w:val="014672E9"/>
    <w:rsid w:val="016F664B"/>
    <w:rsid w:val="01DE5E85"/>
    <w:rsid w:val="0205420E"/>
    <w:rsid w:val="02957FB5"/>
    <w:rsid w:val="02FE77A7"/>
    <w:rsid w:val="0343039A"/>
    <w:rsid w:val="03ED5076"/>
    <w:rsid w:val="042D3FC7"/>
    <w:rsid w:val="04685A42"/>
    <w:rsid w:val="04A45C0C"/>
    <w:rsid w:val="04BA2805"/>
    <w:rsid w:val="04C660B1"/>
    <w:rsid w:val="04CD6259"/>
    <w:rsid w:val="04DD27C9"/>
    <w:rsid w:val="04DD4BD1"/>
    <w:rsid w:val="04E85ACE"/>
    <w:rsid w:val="05075A65"/>
    <w:rsid w:val="051E125A"/>
    <w:rsid w:val="057A03B5"/>
    <w:rsid w:val="05822FA5"/>
    <w:rsid w:val="05B70C4B"/>
    <w:rsid w:val="05CF6041"/>
    <w:rsid w:val="05D3027A"/>
    <w:rsid w:val="05EB6869"/>
    <w:rsid w:val="062E3CC9"/>
    <w:rsid w:val="06776232"/>
    <w:rsid w:val="069169F2"/>
    <w:rsid w:val="073E0BE0"/>
    <w:rsid w:val="074E6421"/>
    <w:rsid w:val="07513F6A"/>
    <w:rsid w:val="077C2986"/>
    <w:rsid w:val="07A51586"/>
    <w:rsid w:val="07CE7CCF"/>
    <w:rsid w:val="084538A0"/>
    <w:rsid w:val="089B7E57"/>
    <w:rsid w:val="08D67C0A"/>
    <w:rsid w:val="08F10228"/>
    <w:rsid w:val="08FC4B23"/>
    <w:rsid w:val="093C394F"/>
    <w:rsid w:val="094253E9"/>
    <w:rsid w:val="094B1FE3"/>
    <w:rsid w:val="09AF7F0C"/>
    <w:rsid w:val="09C63F0F"/>
    <w:rsid w:val="09D939B0"/>
    <w:rsid w:val="09DC6BBA"/>
    <w:rsid w:val="0A447AFA"/>
    <w:rsid w:val="0A457048"/>
    <w:rsid w:val="0A7C6BA4"/>
    <w:rsid w:val="0A8A1CC3"/>
    <w:rsid w:val="0AC8676E"/>
    <w:rsid w:val="0AEE2528"/>
    <w:rsid w:val="0AF34C02"/>
    <w:rsid w:val="0B167D3A"/>
    <w:rsid w:val="0B7E68E7"/>
    <w:rsid w:val="0BB9707E"/>
    <w:rsid w:val="0BDF762F"/>
    <w:rsid w:val="0C8671BB"/>
    <w:rsid w:val="0CB931C3"/>
    <w:rsid w:val="0CDA2C21"/>
    <w:rsid w:val="0CE8610E"/>
    <w:rsid w:val="0D1830A8"/>
    <w:rsid w:val="0D3669A7"/>
    <w:rsid w:val="0D4953CA"/>
    <w:rsid w:val="0D8A69D7"/>
    <w:rsid w:val="0E721018"/>
    <w:rsid w:val="0EA524FE"/>
    <w:rsid w:val="0F364B5D"/>
    <w:rsid w:val="0F415D32"/>
    <w:rsid w:val="0F4B242C"/>
    <w:rsid w:val="0F6C3837"/>
    <w:rsid w:val="0F792489"/>
    <w:rsid w:val="0F7D3E18"/>
    <w:rsid w:val="0F7D70D6"/>
    <w:rsid w:val="0FBA5004"/>
    <w:rsid w:val="0FD75009"/>
    <w:rsid w:val="0FDE02BB"/>
    <w:rsid w:val="0FFD5391"/>
    <w:rsid w:val="10262EF4"/>
    <w:rsid w:val="10406467"/>
    <w:rsid w:val="10511FBA"/>
    <w:rsid w:val="106532FE"/>
    <w:rsid w:val="10CE6264"/>
    <w:rsid w:val="113D3857"/>
    <w:rsid w:val="11766E32"/>
    <w:rsid w:val="11AC26DD"/>
    <w:rsid w:val="11D323E9"/>
    <w:rsid w:val="11DA3D07"/>
    <w:rsid w:val="124B1422"/>
    <w:rsid w:val="12706133"/>
    <w:rsid w:val="12B66E2D"/>
    <w:rsid w:val="12E345CB"/>
    <w:rsid w:val="130E2DFF"/>
    <w:rsid w:val="13576102"/>
    <w:rsid w:val="137039BA"/>
    <w:rsid w:val="138274DC"/>
    <w:rsid w:val="13D41E43"/>
    <w:rsid w:val="13D7066F"/>
    <w:rsid w:val="1421148C"/>
    <w:rsid w:val="142B4166"/>
    <w:rsid w:val="14320C94"/>
    <w:rsid w:val="146307BF"/>
    <w:rsid w:val="15000C6F"/>
    <w:rsid w:val="152369F7"/>
    <w:rsid w:val="155941F7"/>
    <w:rsid w:val="15995C23"/>
    <w:rsid w:val="16173DC9"/>
    <w:rsid w:val="169774E3"/>
    <w:rsid w:val="16BC0093"/>
    <w:rsid w:val="16E201DA"/>
    <w:rsid w:val="171506C3"/>
    <w:rsid w:val="171B3EA1"/>
    <w:rsid w:val="179719DC"/>
    <w:rsid w:val="17A97232"/>
    <w:rsid w:val="17BD46DE"/>
    <w:rsid w:val="17E45C9F"/>
    <w:rsid w:val="17EE7125"/>
    <w:rsid w:val="182325E6"/>
    <w:rsid w:val="183D60C5"/>
    <w:rsid w:val="18452AD7"/>
    <w:rsid w:val="18742EFC"/>
    <w:rsid w:val="18D65CA4"/>
    <w:rsid w:val="18D6703E"/>
    <w:rsid w:val="18EF21B8"/>
    <w:rsid w:val="191631D4"/>
    <w:rsid w:val="194018F4"/>
    <w:rsid w:val="19B724AA"/>
    <w:rsid w:val="1A396889"/>
    <w:rsid w:val="1A3B0A74"/>
    <w:rsid w:val="1A7F0E95"/>
    <w:rsid w:val="1AB551FD"/>
    <w:rsid w:val="1AC6177B"/>
    <w:rsid w:val="1AF234ED"/>
    <w:rsid w:val="1B690270"/>
    <w:rsid w:val="1B6F67A3"/>
    <w:rsid w:val="1BCF1D10"/>
    <w:rsid w:val="1BD83ABC"/>
    <w:rsid w:val="1C300673"/>
    <w:rsid w:val="1CD847FB"/>
    <w:rsid w:val="1D0F5F3B"/>
    <w:rsid w:val="1D1A20B4"/>
    <w:rsid w:val="1D282714"/>
    <w:rsid w:val="1D3E6A30"/>
    <w:rsid w:val="1D5A5F6B"/>
    <w:rsid w:val="1DC75E54"/>
    <w:rsid w:val="1E103B1C"/>
    <w:rsid w:val="1E3273C5"/>
    <w:rsid w:val="1E3E300F"/>
    <w:rsid w:val="1E466001"/>
    <w:rsid w:val="1EA1491D"/>
    <w:rsid w:val="1EB105C3"/>
    <w:rsid w:val="1EEA2799"/>
    <w:rsid w:val="1F0F067F"/>
    <w:rsid w:val="1F1D1393"/>
    <w:rsid w:val="1F297236"/>
    <w:rsid w:val="1F551B65"/>
    <w:rsid w:val="1F5B03BF"/>
    <w:rsid w:val="1F6F6411"/>
    <w:rsid w:val="1FA603CB"/>
    <w:rsid w:val="1FC11684"/>
    <w:rsid w:val="1FC87926"/>
    <w:rsid w:val="1FDA6A81"/>
    <w:rsid w:val="1FDE042E"/>
    <w:rsid w:val="1FEF2E0F"/>
    <w:rsid w:val="20597E0A"/>
    <w:rsid w:val="2072218E"/>
    <w:rsid w:val="20A30DC9"/>
    <w:rsid w:val="20BB555C"/>
    <w:rsid w:val="2122468B"/>
    <w:rsid w:val="21893DAF"/>
    <w:rsid w:val="220B20C2"/>
    <w:rsid w:val="22212941"/>
    <w:rsid w:val="22653C80"/>
    <w:rsid w:val="22FF7A6F"/>
    <w:rsid w:val="232358AF"/>
    <w:rsid w:val="23E0576C"/>
    <w:rsid w:val="24286A5E"/>
    <w:rsid w:val="247904E6"/>
    <w:rsid w:val="24E0480A"/>
    <w:rsid w:val="250A2706"/>
    <w:rsid w:val="257A495C"/>
    <w:rsid w:val="25CA2549"/>
    <w:rsid w:val="2621587F"/>
    <w:rsid w:val="26581E83"/>
    <w:rsid w:val="267E15BC"/>
    <w:rsid w:val="26C2177C"/>
    <w:rsid w:val="27251886"/>
    <w:rsid w:val="274D2F2A"/>
    <w:rsid w:val="27502CBF"/>
    <w:rsid w:val="27522065"/>
    <w:rsid w:val="275A2EB6"/>
    <w:rsid w:val="27DF5F6B"/>
    <w:rsid w:val="27E72481"/>
    <w:rsid w:val="288C3319"/>
    <w:rsid w:val="28FA08C6"/>
    <w:rsid w:val="2A0D0444"/>
    <w:rsid w:val="2BAD49D3"/>
    <w:rsid w:val="2BD60345"/>
    <w:rsid w:val="2C0E2815"/>
    <w:rsid w:val="2C80693B"/>
    <w:rsid w:val="2C933DF1"/>
    <w:rsid w:val="2C952E46"/>
    <w:rsid w:val="2CC53569"/>
    <w:rsid w:val="2CD814FF"/>
    <w:rsid w:val="2D545FC9"/>
    <w:rsid w:val="2D6606CE"/>
    <w:rsid w:val="2D9C54A6"/>
    <w:rsid w:val="2DE62BAE"/>
    <w:rsid w:val="2E2C13E8"/>
    <w:rsid w:val="2E4945C5"/>
    <w:rsid w:val="2E6B01C9"/>
    <w:rsid w:val="2E922AA4"/>
    <w:rsid w:val="2E9810E1"/>
    <w:rsid w:val="2F0E794D"/>
    <w:rsid w:val="2F1E1154"/>
    <w:rsid w:val="2F442D2F"/>
    <w:rsid w:val="2F4B786F"/>
    <w:rsid w:val="2F5A11CD"/>
    <w:rsid w:val="2F7A0DCC"/>
    <w:rsid w:val="2F7B2778"/>
    <w:rsid w:val="2FA96A37"/>
    <w:rsid w:val="30075207"/>
    <w:rsid w:val="302B350C"/>
    <w:rsid w:val="307A466F"/>
    <w:rsid w:val="307E7C38"/>
    <w:rsid w:val="30D8303F"/>
    <w:rsid w:val="30DB5F78"/>
    <w:rsid w:val="30E05083"/>
    <w:rsid w:val="310E62F0"/>
    <w:rsid w:val="315242AB"/>
    <w:rsid w:val="31525108"/>
    <w:rsid w:val="321305E4"/>
    <w:rsid w:val="326B7A56"/>
    <w:rsid w:val="32946446"/>
    <w:rsid w:val="32EA60C1"/>
    <w:rsid w:val="333011CC"/>
    <w:rsid w:val="335A3568"/>
    <w:rsid w:val="3363711E"/>
    <w:rsid w:val="33904D46"/>
    <w:rsid w:val="33A249B8"/>
    <w:rsid w:val="33D2591C"/>
    <w:rsid w:val="33D55DEC"/>
    <w:rsid w:val="33DC0516"/>
    <w:rsid w:val="342B47ED"/>
    <w:rsid w:val="342C074E"/>
    <w:rsid w:val="345F2165"/>
    <w:rsid w:val="346C440C"/>
    <w:rsid w:val="349F3024"/>
    <w:rsid w:val="34BB28E6"/>
    <w:rsid w:val="35654980"/>
    <w:rsid w:val="3594661F"/>
    <w:rsid w:val="364775F2"/>
    <w:rsid w:val="36A0632C"/>
    <w:rsid w:val="36D87907"/>
    <w:rsid w:val="37297561"/>
    <w:rsid w:val="373A3E20"/>
    <w:rsid w:val="377C4680"/>
    <w:rsid w:val="38045282"/>
    <w:rsid w:val="381367FF"/>
    <w:rsid w:val="385D0FE0"/>
    <w:rsid w:val="38812183"/>
    <w:rsid w:val="389B7863"/>
    <w:rsid w:val="38AB3AC2"/>
    <w:rsid w:val="38D33E49"/>
    <w:rsid w:val="38E71C77"/>
    <w:rsid w:val="392859A6"/>
    <w:rsid w:val="395146E4"/>
    <w:rsid w:val="398F17E2"/>
    <w:rsid w:val="3994792C"/>
    <w:rsid w:val="3A190C42"/>
    <w:rsid w:val="3A1A5B9A"/>
    <w:rsid w:val="3A481E82"/>
    <w:rsid w:val="3A545E38"/>
    <w:rsid w:val="3A5C22DB"/>
    <w:rsid w:val="3A8A19A2"/>
    <w:rsid w:val="3A971EE4"/>
    <w:rsid w:val="3AB46091"/>
    <w:rsid w:val="3AD35929"/>
    <w:rsid w:val="3AE44164"/>
    <w:rsid w:val="3B207A16"/>
    <w:rsid w:val="3B4676F9"/>
    <w:rsid w:val="3B591190"/>
    <w:rsid w:val="3B7E3FEF"/>
    <w:rsid w:val="3B9331D3"/>
    <w:rsid w:val="3BE87A50"/>
    <w:rsid w:val="3C192A1D"/>
    <w:rsid w:val="3C2E7CD9"/>
    <w:rsid w:val="3C782FA9"/>
    <w:rsid w:val="3CA81F52"/>
    <w:rsid w:val="3CF47C7C"/>
    <w:rsid w:val="3D1261F8"/>
    <w:rsid w:val="3D1C301F"/>
    <w:rsid w:val="3D3D2135"/>
    <w:rsid w:val="3D766180"/>
    <w:rsid w:val="3D91026C"/>
    <w:rsid w:val="3D974BA2"/>
    <w:rsid w:val="3D992E06"/>
    <w:rsid w:val="3D9A279A"/>
    <w:rsid w:val="3DFF1990"/>
    <w:rsid w:val="3E30444D"/>
    <w:rsid w:val="3E5B04C9"/>
    <w:rsid w:val="3EB57C42"/>
    <w:rsid w:val="3EDD0C49"/>
    <w:rsid w:val="3EE2018A"/>
    <w:rsid w:val="3F2E4B3F"/>
    <w:rsid w:val="3F3C07A5"/>
    <w:rsid w:val="3F53483B"/>
    <w:rsid w:val="3FC02C41"/>
    <w:rsid w:val="3FD52A71"/>
    <w:rsid w:val="3FD6525C"/>
    <w:rsid w:val="41240FFA"/>
    <w:rsid w:val="41372B4F"/>
    <w:rsid w:val="41B96849"/>
    <w:rsid w:val="41BB0996"/>
    <w:rsid w:val="4241384D"/>
    <w:rsid w:val="42605154"/>
    <w:rsid w:val="42931113"/>
    <w:rsid w:val="432C394A"/>
    <w:rsid w:val="43533451"/>
    <w:rsid w:val="43732856"/>
    <w:rsid w:val="441074AC"/>
    <w:rsid w:val="44163547"/>
    <w:rsid w:val="44361C78"/>
    <w:rsid w:val="444E4620"/>
    <w:rsid w:val="44C40F4E"/>
    <w:rsid w:val="44CF1376"/>
    <w:rsid w:val="454E3D3C"/>
    <w:rsid w:val="45534254"/>
    <w:rsid w:val="455D33B3"/>
    <w:rsid w:val="455D457F"/>
    <w:rsid w:val="456C0625"/>
    <w:rsid w:val="45E80174"/>
    <w:rsid w:val="45EA6720"/>
    <w:rsid w:val="46BB51AC"/>
    <w:rsid w:val="46CF1974"/>
    <w:rsid w:val="46EC35A2"/>
    <w:rsid w:val="471501D2"/>
    <w:rsid w:val="471D5476"/>
    <w:rsid w:val="47245DA7"/>
    <w:rsid w:val="4724658B"/>
    <w:rsid w:val="47625FEA"/>
    <w:rsid w:val="47796EAA"/>
    <w:rsid w:val="47813B4D"/>
    <w:rsid w:val="47B90D34"/>
    <w:rsid w:val="47C76018"/>
    <w:rsid w:val="481F316A"/>
    <w:rsid w:val="48412296"/>
    <w:rsid w:val="4850733B"/>
    <w:rsid w:val="486C38FA"/>
    <w:rsid w:val="48D873A1"/>
    <w:rsid w:val="48E60314"/>
    <w:rsid w:val="498D77CD"/>
    <w:rsid w:val="49A57DFF"/>
    <w:rsid w:val="49AC5F3E"/>
    <w:rsid w:val="49AE616E"/>
    <w:rsid w:val="49CC7F9C"/>
    <w:rsid w:val="49E61F67"/>
    <w:rsid w:val="4A142756"/>
    <w:rsid w:val="4A343A55"/>
    <w:rsid w:val="4A4170C0"/>
    <w:rsid w:val="4A4B7EB2"/>
    <w:rsid w:val="4B18264A"/>
    <w:rsid w:val="4B830BBB"/>
    <w:rsid w:val="4B8857DD"/>
    <w:rsid w:val="4BC4776A"/>
    <w:rsid w:val="4BF266DD"/>
    <w:rsid w:val="4C1A3292"/>
    <w:rsid w:val="4CDA7712"/>
    <w:rsid w:val="4CDB4816"/>
    <w:rsid w:val="4CE31F57"/>
    <w:rsid w:val="4DBA5CD1"/>
    <w:rsid w:val="4DEA1F97"/>
    <w:rsid w:val="4E1267F7"/>
    <w:rsid w:val="4E902369"/>
    <w:rsid w:val="4E9F6C3E"/>
    <w:rsid w:val="4ECB46E2"/>
    <w:rsid w:val="4EDD341E"/>
    <w:rsid w:val="4EEA689E"/>
    <w:rsid w:val="4F461418"/>
    <w:rsid w:val="4FE65037"/>
    <w:rsid w:val="4FF03836"/>
    <w:rsid w:val="50305D99"/>
    <w:rsid w:val="50621445"/>
    <w:rsid w:val="50690773"/>
    <w:rsid w:val="5072697F"/>
    <w:rsid w:val="5074692F"/>
    <w:rsid w:val="5142756E"/>
    <w:rsid w:val="5154503B"/>
    <w:rsid w:val="51DD5443"/>
    <w:rsid w:val="51E93949"/>
    <w:rsid w:val="523A15F9"/>
    <w:rsid w:val="527B5817"/>
    <w:rsid w:val="52872BA3"/>
    <w:rsid w:val="52D47880"/>
    <w:rsid w:val="53B74837"/>
    <w:rsid w:val="542E1C6B"/>
    <w:rsid w:val="543C08F8"/>
    <w:rsid w:val="544B6679"/>
    <w:rsid w:val="544D3AEE"/>
    <w:rsid w:val="5457181F"/>
    <w:rsid w:val="54951DE5"/>
    <w:rsid w:val="54B04062"/>
    <w:rsid w:val="54B8083C"/>
    <w:rsid w:val="54EA13E0"/>
    <w:rsid w:val="54FD17E6"/>
    <w:rsid w:val="55095260"/>
    <w:rsid w:val="55674A17"/>
    <w:rsid w:val="558E489F"/>
    <w:rsid w:val="55924494"/>
    <w:rsid w:val="55A021AD"/>
    <w:rsid w:val="55AE6467"/>
    <w:rsid w:val="55ED3650"/>
    <w:rsid w:val="56232D37"/>
    <w:rsid w:val="562936CA"/>
    <w:rsid w:val="562E50E1"/>
    <w:rsid w:val="56300B7B"/>
    <w:rsid w:val="56984CD2"/>
    <w:rsid w:val="56A05D99"/>
    <w:rsid w:val="56C80DDE"/>
    <w:rsid w:val="56EA1451"/>
    <w:rsid w:val="56F46A10"/>
    <w:rsid w:val="570D5C92"/>
    <w:rsid w:val="57B44052"/>
    <w:rsid w:val="57D5294B"/>
    <w:rsid w:val="58286AE4"/>
    <w:rsid w:val="58616AC4"/>
    <w:rsid w:val="59066829"/>
    <w:rsid w:val="59133DDF"/>
    <w:rsid w:val="596C2D35"/>
    <w:rsid w:val="597A7267"/>
    <w:rsid w:val="59DA739B"/>
    <w:rsid w:val="59F43CA4"/>
    <w:rsid w:val="5A0C3E88"/>
    <w:rsid w:val="5A6E1D26"/>
    <w:rsid w:val="5A940E72"/>
    <w:rsid w:val="5B0525A2"/>
    <w:rsid w:val="5B2C7914"/>
    <w:rsid w:val="5BD05CD7"/>
    <w:rsid w:val="5BF1698B"/>
    <w:rsid w:val="5BFF6E82"/>
    <w:rsid w:val="5C5C3993"/>
    <w:rsid w:val="5C753BF3"/>
    <w:rsid w:val="5CAF5E5A"/>
    <w:rsid w:val="5CC154D0"/>
    <w:rsid w:val="5CDC2451"/>
    <w:rsid w:val="5D462BDB"/>
    <w:rsid w:val="5D605E75"/>
    <w:rsid w:val="5D8067FD"/>
    <w:rsid w:val="5DAA05DA"/>
    <w:rsid w:val="5DB85B2B"/>
    <w:rsid w:val="5DDE25BF"/>
    <w:rsid w:val="5E721D9D"/>
    <w:rsid w:val="5E8E1297"/>
    <w:rsid w:val="5F28073E"/>
    <w:rsid w:val="5F882222"/>
    <w:rsid w:val="60443DDE"/>
    <w:rsid w:val="606D0B7B"/>
    <w:rsid w:val="60775492"/>
    <w:rsid w:val="607B1408"/>
    <w:rsid w:val="614D247B"/>
    <w:rsid w:val="616C3134"/>
    <w:rsid w:val="619F093C"/>
    <w:rsid w:val="61DF5E7D"/>
    <w:rsid w:val="62956CCF"/>
    <w:rsid w:val="62DC0B72"/>
    <w:rsid w:val="62FC7813"/>
    <w:rsid w:val="634A622D"/>
    <w:rsid w:val="6395618D"/>
    <w:rsid w:val="646D4B87"/>
    <w:rsid w:val="64B76A2E"/>
    <w:rsid w:val="64F539DA"/>
    <w:rsid w:val="64F9301E"/>
    <w:rsid w:val="65181CEF"/>
    <w:rsid w:val="654D5AD3"/>
    <w:rsid w:val="6604404B"/>
    <w:rsid w:val="666844C0"/>
    <w:rsid w:val="66CC2174"/>
    <w:rsid w:val="66E56DAD"/>
    <w:rsid w:val="67140FEE"/>
    <w:rsid w:val="673C55D9"/>
    <w:rsid w:val="67402283"/>
    <w:rsid w:val="67C3469B"/>
    <w:rsid w:val="67C552AE"/>
    <w:rsid w:val="689F16A3"/>
    <w:rsid w:val="68AA5473"/>
    <w:rsid w:val="696C3B9C"/>
    <w:rsid w:val="697719BE"/>
    <w:rsid w:val="69E73623"/>
    <w:rsid w:val="69FF4821"/>
    <w:rsid w:val="6A307B61"/>
    <w:rsid w:val="6A6C08C9"/>
    <w:rsid w:val="6A6F39BA"/>
    <w:rsid w:val="6A764710"/>
    <w:rsid w:val="6A7C785B"/>
    <w:rsid w:val="6B081284"/>
    <w:rsid w:val="6B0A5399"/>
    <w:rsid w:val="6B1F7DBD"/>
    <w:rsid w:val="6B4333E3"/>
    <w:rsid w:val="6B6A7A84"/>
    <w:rsid w:val="6B723AF9"/>
    <w:rsid w:val="6B9A6A3E"/>
    <w:rsid w:val="6BC4766F"/>
    <w:rsid w:val="6BD75905"/>
    <w:rsid w:val="6BF3467A"/>
    <w:rsid w:val="6C1C33B2"/>
    <w:rsid w:val="6C2447A1"/>
    <w:rsid w:val="6C283FF3"/>
    <w:rsid w:val="6C2F0F7A"/>
    <w:rsid w:val="6D5556EE"/>
    <w:rsid w:val="6D6F4D1B"/>
    <w:rsid w:val="6DFF521E"/>
    <w:rsid w:val="6EBD318A"/>
    <w:rsid w:val="6EF57093"/>
    <w:rsid w:val="6EFF7858"/>
    <w:rsid w:val="6F72780A"/>
    <w:rsid w:val="6F840A2A"/>
    <w:rsid w:val="6F8820A1"/>
    <w:rsid w:val="70260C1E"/>
    <w:rsid w:val="70910BDF"/>
    <w:rsid w:val="70A3499D"/>
    <w:rsid w:val="715D1BDD"/>
    <w:rsid w:val="71B50421"/>
    <w:rsid w:val="72201ACF"/>
    <w:rsid w:val="727D0889"/>
    <w:rsid w:val="72883058"/>
    <w:rsid w:val="72A02B65"/>
    <w:rsid w:val="72CD158A"/>
    <w:rsid w:val="737E72AF"/>
    <w:rsid w:val="738F0067"/>
    <w:rsid w:val="739D05F9"/>
    <w:rsid w:val="73CA5617"/>
    <w:rsid w:val="74532713"/>
    <w:rsid w:val="746D6AFE"/>
    <w:rsid w:val="74721AEE"/>
    <w:rsid w:val="74960CCB"/>
    <w:rsid w:val="74EF79AF"/>
    <w:rsid w:val="75130C42"/>
    <w:rsid w:val="75150AB7"/>
    <w:rsid w:val="75AA7DAF"/>
    <w:rsid w:val="75C17407"/>
    <w:rsid w:val="75C60334"/>
    <w:rsid w:val="76486BF8"/>
    <w:rsid w:val="770D696D"/>
    <w:rsid w:val="77715632"/>
    <w:rsid w:val="77763AB8"/>
    <w:rsid w:val="77A96E2C"/>
    <w:rsid w:val="77E95FA6"/>
    <w:rsid w:val="77FE452A"/>
    <w:rsid w:val="781F77E3"/>
    <w:rsid w:val="7899276D"/>
    <w:rsid w:val="793479B2"/>
    <w:rsid w:val="7958478C"/>
    <w:rsid w:val="796A56C0"/>
    <w:rsid w:val="797F3457"/>
    <w:rsid w:val="79C81C6F"/>
    <w:rsid w:val="7A0C47FC"/>
    <w:rsid w:val="7A621180"/>
    <w:rsid w:val="7A6223EB"/>
    <w:rsid w:val="7B291CC5"/>
    <w:rsid w:val="7B374DE6"/>
    <w:rsid w:val="7B3D64D4"/>
    <w:rsid w:val="7BD337FC"/>
    <w:rsid w:val="7BDC0FE5"/>
    <w:rsid w:val="7BDD35AD"/>
    <w:rsid w:val="7BF35FEA"/>
    <w:rsid w:val="7C3B3C0C"/>
    <w:rsid w:val="7C4D3D05"/>
    <w:rsid w:val="7D0254BA"/>
    <w:rsid w:val="7D7F65DC"/>
    <w:rsid w:val="7DA12AFE"/>
    <w:rsid w:val="7DA86AFB"/>
    <w:rsid w:val="7DBA1B16"/>
    <w:rsid w:val="7DF90B70"/>
    <w:rsid w:val="7E0F793B"/>
    <w:rsid w:val="7E490F93"/>
    <w:rsid w:val="7E8042F0"/>
    <w:rsid w:val="7EC96B5B"/>
    <w:rsid w:val="7F0666E9"/>
    <w:rsid w:val="7F1F18DB"/>
    <w:rsid w:val="7F365594"/>
    <w:rsid w:val="7F3E4FF8"/>
    <w:rsid w:val="7F490A4D"/>
    <w:rsid w:val="7F945811"/>
    <w:rsid w:val="7FB9535E"/>
    <w:rsid w:val="7FBE1D12"/>
    <w:rsid w:val="7FE47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60" w:after="80"/>
      <w:outlineLvl w:val="0"/>
    </w:pPr>
    <w:rPr>
      <w:rFonts w:ascii="Arial" w:hAnsi="Arial" w:eastAsia="仿宋" w:cs="Arial"/>
      <w:b/>
      <w:sz w:val="28"/>
      <w:szCs w:val="40"/>
    </w:rPr>
  </w:style>
  <w:style w:type="paragraph" w:styleId="3">
    <w:name w:val="heading 2"/>
    <w:basedOn w:val="1"/>
    <w:next w:val="1"/>
    <w:link w:val="19"/>
    <w:unhideWhenUsed/>
    <w:qFormat/>
    <w:uiPriority w:val="9"/>
    <w:pPr>
      <w:keepNext/>
      <w:keepLines/>
      <w:spacing w:before="160" w:after="80"/>
      <w:outlineLvl w:val="1"/>
    </w:pPr>
    <w:rPr>
      <w:rFonts w:ascii="Arial" w:hAnsi="Arial" w:eastAsia="仿宋" w:cs="Arial"/>
      <w:b/>
      <w:sz w:val="24"/>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6"/>
    <w:qFormat/>
    <w:uiPriority w:val="99"/>
    <w:rPr>
      <w:rFonts w:cs="宋体"/>
      <w:szCs w:val="21"/>
    </w:rPr>
  </w:style>
  <w:style w:type="paragraph" w:styleId="6">
    <w:name w:val="List Bullet 5"/>
    <w:basedOn w:val="1"/>
    <w:qFormat/>
    <w:uiPriority w:val="0"/>
    <w:pPr>
      <w:numPr>
        <w:ilvl w:val="0"/>
        <w:numId w:val="1"/>
      </w:numPr>
    </w:pPr>
  </w:style>
  <w:style w:type="paragraph" w:styleId="7">
    <w:name w:val="Body Text Indent"/>
    <w:basedOn w:val="1"/>
    <w:next w:val="1"/>
    <w:qFormat/>
    <w:uiPriority w:val="0"/>
    <w:pPr>
      <w:spacing w:line="500" w:lineRule="exact"/>
      <w:ind w:left="1588" w:leftChars="832" w:firstLine="433" w:firstLineChars="196"/>
    </w:pPr>
    <w:rPr>
      <w:sz w:val="24"/>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Body Text First Indent 2"/>
    <w:basedOn w:val="7"/>
    <w:qFormat/>
    <w:uiPriority w:val="0"/>
    <w:pPr>
      <w:spacing w:after="120" w:line="240" w:lineRule="auto"/>
      <w:ind w:left="420" w:leftChars="200" w:firstLine="420" w:firstLineChars="200"/>
    </w:pPr>
    <w:rPr>
      <w:sz w:val="21"/>
    </w:rPr>
  </w:style>
  <w:style w:type="table" w:styleId="16">
    <w:name w:val="Table Grid"/>
    <w:basedOn w:val="1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8">
    <w:name w:val="Emphasis"/>
    <w:basedOn w:val="17"/>
    <w:qFormat/>
    <w:uiPriority w:val="0"/>
    <w:rPr>
      <w:i/>
      <w:iCs/>
    </w:rPr>
  </w:style>
  <w:style w:type="character" w:customStyle="1" w:styleId="19">
    <w:name w:val="标题 2 Char"/>
    <w:basedOn w:val="17"/>
    <w:link w:val="3"/>
    <w:qFormat/>
    <w:uiPriority w:val="9"/>
    <w:rPr>
      <w:rFonts w:ascii="Arial" w:hAnsi="Arial" w:eastAsia="仿宋" w:cs="Arial"/>
      <w:b/>
      <w:sz w:val="24"/>
      <w:szCs w:val="32"/>
    </w:rPr>
  </w:style>
  <w:style w:type="paragraph" w:customStyle="1" w:styleId="20">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4996</Words>
  <Characters>5482</Characters>
  <Lines>0</Lines>
  <Paragraphs>0</Paragraphs>
  <TotalTime>1287</TotalTime>
  <ScaleCrop>false</ScaleCrop>
  <LinksUpToDate>false</LinksUpToDate>
  <CharactersWithSpaces>5670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2022-03-29T07:31:00Z</dcterms:created>
  <dc:creator>ychen</dc:creator>
  <cp:lastModifiedBy>cy</cp:lastModifiedBy>
  <cp:lastPrinted>2025-06-11T08:04:00Z</cp:lastPrinted>
  <dcterms:modified xsi:type="dcterms:W3CDTF">2025-11-07T01:43:48Z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51E23C748254498694A15FCAFC01A229_13</vt:lpwstr>
  </property>
  <property fmtid="{D5CDD505-2E9C-101B-9397-08002B2CF9AE}" pid="4" name="KSOTemplateDocerSaveRecord">
    <vt:lpwstr>eyJoZGlkIjoiYWJmNTAxYTA0NTllZTU0OWY5NWY0MWNlMzBjNGU2OTYiLCJ1c2VySWQiOiI3Mzk0OTY5ODUifQ==</vt:lpwstr>
  </property>
</Properties>
</file>