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EDCE8">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6467AFEB">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0C909486">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171A1CBB">
      <w:pPr>
        <w:jc w:val="center"/>
        <w:rPr>
          <w:rFonts w:hint="eastAsia" w:ascii="华文行楷" w:hAnsi="华文行楷" w:eastAsia="华文行楷" w:cs="华文行楷"/>
          <w:b w:val="0"/>
          <w:bCs/>
          <w:color w:val="auto"/>
          <w:sz w:val="192"/>
          <w:szCs w:val="22"/>
        </w:rPr>
      </w:pPr>
      <w:r>
        <w:rPr>
          <w:rFonts w:hint="eastAsia" w:ascii="华文行楷" w:hAnsi="华文行楷" w:eastAsia="华文行楷" w:cs="华文行楷"/>
          <w:b w:val="0"/>
          <w:bCs/>
          <w:color w:val="auto"/>
          <w:sz w:val="200"/>
          <w:szCs w:val="24"/>
        </w:rPr>
        <w:t>报告书</w:t>
      </w:r>
    </w:p>
    <w:p w14:paraId="6B2DF1EB">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697B8D23">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p>
    <w:p w14:paraId="3A7B9CD3">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p>
    <w:p w14:paraId="0579CDD1">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p>
    <w:p w14:paraId="41BE7A10">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p>
    <w:p w14:paraId="73081021">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50D072DF">
      <w:pPr>
        <w:keepNext w:val="0"/>
        <w:keepLines w:val="0"/>
        <w:pageBreakBefore w:val="0"/>
        <w:widowControl w:val="0"/>
        <w:kinsoku/>
        <w:wordWrap/>
        <w:overflowPunct/>
        <w:topLinePunct w:val="0"/>
        <w:autoSpaceDE/>
        <w:autoSpaceDN/>
        <w:bidi w:val="0"/>
        <w:adjustRightInd/>
        <w:snapToGrid/>
        <w:ind w:left="2209" w:leftChars="0" w:hanging="2209" w:hangingChars="500"/>
        <w:jc w:val="left"/>
        <w:textAlignment w:val="auto"/>
        <w:rPr>
          <w:rFonts w:hint="eastAsia" w:ascii="仿宋" w:hAnsi="仿宋" w:eastAsia="仿宋" w:cs="仿宋"/>
          <w:b/>
          <w:bCs/>
          <w:sz w:val="28"/>
          <w:szCs w:val="36"/>
          <w:lang w:val="en-US" w:eastAsia="zh-CN"/>
        </w:rPr>
      </w:pPr>
      <w:r>
        <w:rPr>
          <w:rFonts w:hint="eastAsia" w:ascii="仿宋" w:hAnsi="仿宋" w:eastAsia="仿宋" w:cs="仿宋"/>
          <w:b/>
          <w:bCs/>
          <w:sz w:val="44"/>
          <w:szCs w:val="52"/>
          <w:lang w:val="en-US" w:eastAsia="zh-CN"/>
        </w:rPr>
        <w:t>项目名称：</w:t>
      </w:r>
      <w:r>
        <w:rPr>
          <w:rFonts w:hint="eastAsia" w:ascii="仿宋" w:hAnsi="仿宋" w:eastAsia="仿宋" w:cs="仿宋"/>
          <w:b/>
          <w:bCs/>
          <w:sz w:val="32"/>
          <w:szCs w:val="40"/>
          <w:u w:val="thick"/>
          <w:lang w:val="en-US" w:eastAsia="zh-CN"/>
        </w:rPr>
        <w:t xml:space="preserve">石狮市2024年渔港建设项目资金(东店一级渔港)支出绩效评价           </w:t>
      </w:r>
      <w:r>
        <w:rPr>
          <w:rFonts w:hint="eastAsia" w:ascii="仿宋" w:hAnsi="仿宋" w:eastAsia="仿宋" w:cs="仿宋"/>
          <w:b/>
          <w:bCs/>
          <w:sz w:val="28"/>
          <w:szCs w:val="36"/>
          <w:u w:val="thick"/>
          <w:lang w:val="en-US" w:eastAsia="zh-CN"/>
        </w:rPr>
        <w:t xml:space="preserve">                         </w:t>
      </w:r>
    </w:p>
    <w:p w14:paraId="1B147A81">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仿宋" w:hAnsi="仿宋" w:eastAsia="仿宋" w:cs="仿宋"/>
          <w:b/>
          <w:bCs/>
          <w:sz w:val="44"/>
          <w:szCs w:val="52"/>
          <w:lang w:val="en-US" w:eastAsia="zh-CN"/>
        </w:rPr>
      </w:pPr>
      <w:r>
        <w:rPr>
          <w:rFonts w:hint="eastAsia" w:ascii="仿宋" w:hAnsi="仿宋" w:eastAsia="仿宋" w:cs="仿宋"/>
          <w:b/>
          <w:bCs/>
          <w:sz w:val="44"/>
          <w:szCs w:val="52"/>
          <w:lang w:val="en-US" w:eastAsia="zh-CN"/>
        </w:rPr>
        <w:t>委 托 方：</w:t>
      </w:r>
      <w:r>
        <w:rPr>
          <w:rFonts w:hint="eastAsia" w:ascii="仿宋" w:hAnsi="仿宋" w:eastAsia="仿宋" w:cs="仿宋"/>
          <w:b/>
          <w:bCs/>
          <w:sz w:val="32"/>
          <w:szCs w:val="40"/>
          <w:u w:val="thick"/>
          <w:lang w:val="en-US" w:eastAsia="zh-CN"/>
        </w:rPr>
        <w:t xml:space="preserve">石狮市财政局    </w:t>
      </w:r>
      <w:r>
        <w:rPr>
          <w:rFonts w:hint="eastAsia" w:ascii="仿宋" w:hAnsi="仿宋" w:eastAsia="仿宋" w:cs="仿宋"/>
          <w:b/>
          <w:bCs/>
          <w:sz w:val="28"/>
          <w:szCs w:val="36"/>
          <w:u w:val="thick"/>
          <w:lang w:val="en-US" w:eastAsia="zh-CN"/>
        </w:rPr>
        <w:t xml:space="preserve">                               </w:t>
      </w:r>
    </w:p>
    <w:p w14:paraId="0FE57935">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仿宋" w:hAnsi="仿宋" w:eastAsia="仿宋" w:cs="仿宋"/>
          <w:b/>
          <w:bCs/>
          <w:sz w:val="44"/>
          <w:szCs w:val="52"/>
          <w:u w:val="thick"/>
          <w:lang w:val="en-US" w:eastAsia="zh-CN"/>
        </w:rPr>
      </w:pPr>
      <w:r>
        <w:rPr>
          <w:rFonts w:hint="eastAsia" w:ascii="仿宋" w:hAnsi="仿宋" w:eastAsia="仿宋" w:cs="仿宋"/>
          <w:b/>
          <w:bCs/>
          <w:sz w:val="44"/>
          <w:szCs w:val="52"/>
          <w:lang w:val="en-US" w:eastAsia="zh-CN"/>
        </w:rPr>
        <w:t>项目单位：</w:t>
      </w:r>
      <w:r>
        <w:rPr>
          <w:rFonts w:hint="eastAsia" w:ascii="仿宋" w:hAnsi="仿宋" w:eastAsia="仿宋" w:cs="仿宋"/>
          <w:b/>
          <w:bCs/>
          <w:sz w:val="32"/>
          <w:szCs w:val="32"/>
          <w:u w:val="thick"/>
          <w:lang w:val="en-US" w:eastAsia="zh-CN"/>
        </w:rPr>
        <w:t>石狮市锦尚东店渔港建设服务有限公司</w:t>
      </w:r>
      <w:r>
        <w:rPr>
          <w:rFonts w:hint="eastAsia" w:ascii="仿宋" w:hAnsi="仿宋" w:eastAsia="仿宋" w:cs="仿宋"/>
          <w:b/>
          <w:bCs/>
          <w:sz w:val="32"/>
          <w:szCs w:val="40"/>
          <w:u w:val="thick"/>
          <w:lang w:val="en-US" w:eastAsia="zh-CN"/>
        </w:rPr>
        <w:t xml:space="preserve">                        </w:t>
      </w:r>
      <w:r>
        <w:rPr>
          <w:rFonts w:hint="eastAsia" w:ascii="仿宋" w:hAnsi="仿宋" w:eastAsia="仿宋" w:cs="仿宋"/>
          <w:b/>
          <w:bCs/>
          <w:sz w:val="28"/>
          <w:szCs w:val="36"/>
          <w:u w:val="thick"/>
          <w:lang w:val="en-US" w:eastAsia="zh-CN"/>
        </w:rPr>
        <w:t xml:space="preserve">                     </w:t>
      </w:r>
    </w:p>
    <w:p w14:paraId="4C7CA749">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default"/>
          <w:b/>
          <w:bCs/>
          <w:sz w:val="44"/>
          <w:szCs w:val="52"/>
          <w:lang w:val="en-US" w:eastAsia="zh-CN"/>
        </w:rPr>
      </w:pPr>
      <w:r>
        <w:rPr>
          <w:rFonts w:hint="eastAsia" w:ascii="仿宋" w:hAnsi="仿宋" w:eastAsia="仿宋" w:cs="仿宋"/>
          <w:b/>
          <w:bCs/>
          <w:sz w:val="44"/>
          <w:szCs w:val="52"/>
          <w:lang w:val="en-US" w:eastAsia="zh-CN"/>
        </w:rPr>
        <w:t>评价机构：</w:t>
      </w:r>
      <w:r>
        <w:rPr>
          <w:rFonts w:hint="eastAsia" w:ascii="仿宋" w:hAnsi="仿宋" w:eastAsia="仿宋" w:cs="仿宋"/>
          <w:b/>
          <w:bCs/>
          <w:sz w:val="32"/>
          <w:szCs w:val="32"/>
          <w:u w:val="thick"/>
          <w:lang w:val="en-US" w:eastAsia="zh-CN"/>
        </w:rPr>
        <w:t xml:space="preserve">集大财经咨询（福州）有限公司                 </w:t>
      </w:r>
      <w:r>
        <w:rPr>
          <w:rFonts w:hint="eastAsia"/>
          <w:b/>
          <w:bCs/>
          <w:sz w:val="28"/>
          <w:szCs w:val="36"/>
          <w:u w:val="single"/>
          <w:lang w:val="en-US" w:eastAsia="zh-CN"/>
        </w:rPr>
        <w:t xml:space="preserve">     </w:t>
      </w:r>
      <w:r>
        <w:rPr>
          <w:rFonts w:hint="eastAsia"/>
          <w:b/>
          <w:bCs/>
          <w:sz w:val="28"/>
          <w:szCs w:val="36"/>
          <w:u w:val="thick"/>
          <w:lang w:val="en-US" w:eastAsia="zh-CN"/>
        </w:rPr>
        <w:t xml:space="preserve">         </w:t>
      </w:r>
    </w:p>
    <w:p w14:paraId="1EE1C68D">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华文中宋" w:hAnsi="华文中宋" w:eastAsia="华文中宋" w:cs="华文中宋"/>
          <w:lang w:val="en-US" w:eastAsia="zh-CN"/>
        </w:rPr>
      </w:pPr>
    </w:p>
    <w:p w14:paraId="28DA4D2F">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p>
    <w:p w14:paraId="20330A77">
      <w:pPr>
        <w:jc w:val="left"/>
        <w:rPr>
          <w:sz w:val="30"/>
          <w:szCs w:val="30"/>
        </w:rPr>
      </w:pPr>
      <w:r>
        <w:rPr>
          <w:sz w:val="21"/>
        </w:rPr>
        <mc:AlternateContent>
          <mc:Choice Requires="wps">
            <w:drawing>
              <wp:anchor distT="0" distB="0" distL="114300" distR="114300" simplePos="0" relativeHeight="251659264" behindDoc="0" locked="0" layoutInCell="1" allowOverlap="1">
                <wp:simplePos x="0" y="0"/>
                <wp:positionH relativeFrom="column">
                  <wp:posOffset>936625</wp:posOffset>
                </wp:positionH>
                <wp:positionV relativeFrom="paragraph">
                  <wp:posOffset>148590</wp:posOffset>
                </wp:positionV>
                <wp:extent cx="5279390" cy="620395"/>
                <wp:effectExtent l="4445" t="4445" r="19685" b="15240"/>
                <wp:wrapNone/>
                <wp:docPr id="101" name="文本框 101"/>
                <wp:cNvGraphicFramePr/>
                <a:graphic xmlns:a="http://schemas.openxmlformats.org/drawingml/2006/main">
                  <a:graphicData uri="http://schemas.microsoft.com/office/word/2010/wordprocessingShape">
                    <wps:wsp>
                      <wps:cNvSpPr txBox="1"/>
                      <wps:spPr>
                        <a:xfrm>
                          <a:off x="1303655" y="6525895"/>
                          <a:ext cx="5279390" cy="620395"/>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B4CF76E">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Theme="minorEastAsia" w:hAnsiTheme="minorEastAsia" w:eastAsiaTheme="minorEastAsia" w:cstheme="minorEastAsia"/>
                                <w:b/>
                                <w:sz w:val="40"/>
                                <w:szCs w:val="40"/>
                              </w:rPr>
                            </w:pPr>
                            <w:r>
                              <w:rPr>
                                <w:rFonts w:hint="eastAsia" w:asciiTheme="minorEastAsia" w:hAnsiTheme="minorEastAsia" w:eastAsiaTheme="minorEastAsia" w:cstheme="minorEastAsia"/>
                                <w:b/>
                                <w:sz w:val="40"/>
                                <w:szCs w:val="40"/>
                              </w:rPr>
                              <w:t xml:space="preserve"> 集 大 财 经 咨 询（福 州）有 限 公 司 </w:t>
                            </w:r>
                          </w:p>
                          <w:p w14:paraId="0489AD7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b/>
                                <w:sz w:val="36"/>
                                <w:szCs w:val="36"/>
                              </w:rPr>
                              <w:t>Jida Financial Consulting (Fuzhou) Co., Ltd.</w:t>
                            </w:r>
                          </w:p>
                          <w:p w14:paraId="774D592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3.75pt;margin-top:11.7pt;height:48.85pt;width:415.7pt;z-index:251659264;mso-width-relative:page;mso-height-relative:page;" fillcolor="#FFFFFF [3212]" filled="t" stroked="t" coordsize="21600,21600" o:gfxdata="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2ZpQvYAAAACgEAAA8AAAAAAAAAAQAgAAAAIgAAAGRycy9kb3ducmV2LnhtbFBLAQIUABQAAAAI&#10;AIdO4kAnGVkvXwIAAMgEAAAOAAAAAAAAAAEAIAAAACcBAABkcnMvZTJvRG9jLnhtbFBLBQYAAAAA&#10;BgAGAFkBAAD4BQAAAAA=&#10;">
                <v:fill on="t" focussize="0,0"/>
                <v:stroke weight="0.5pt" color="#FFFFFF [3212]" joinstyle="round"/>
                <v:imagedata o:title=""/>
                <o:lock v:ext="edit" aspectratio="f"/>
                <v:textbox>
                  <w:txbxContent>
                    <w:p w14:paraId="3B4CF76E">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Theme="minorEastAsia" w:hAnsiTheme="minorEastAsia" w:eastAsiaTheme="minorEastAsia" w:cstheme="minorEastAsia"/>
                          <w:b/>
                          <w:sz w:val="40"/>
                          <w:szCs w:val="40"/>
                        </w:rPr>
                      </w:pPr>
                      <w:r>
                        <w:rPr>
                          <w:rFonts w:hint="eastAsia" w:asciiTheme="minorEastAsia" w:hAnsiTheme="minorEastAsia" w:eastAsiaTheme="minorEastAsia" w:cstheme="minorEastAsia"/>
                          <w:b/>
                          <w:sz w:val="40"/>
                          <w:szCs w:val="40"/>
                        </w:rPr>
                        <w:t xml:space="preserve"> 集 大 财 经 咨 询（福 州）有 限 公 司 </w:t>
                      </w:r>
                    </w:p>
                    <w:p w14:paraId="0489AD7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b/>
                          <w:sz w:val="36"/>
                          <w:szCs w:val="36"/>
                        </w:rPr>
                        <w:t>Jida Financial Consulting (Fuzhou) Co., Ltd.</w:t>
                      </w:r>
                    </w:p>
                    <w:p w14:paraId="774D592A"/>
                  </w:txbxContent>
                </v:textbox>
              </v:shape>
            </w:pict>
          </mc:Fallback>
        </mc:AlternateContent>
      </w:r>
      <w:r>
        <w:rPr>
          <w:rFonts w:hint="default" w:eastAsiaTheme="minorEastAsia"/>
          <w:lang w:val="en-US" w:eastAsia="zh-CN"/>
        </w:rPr>
        <w:drawing>
          <wp:inline distT="0" distB="0" distL="114300" distR="114300">
            <wp:extent cx="850900" cy="854710"/>
            <wp:effectExtent l="0" t="0" r="2540" b="13970"/>
            <wp:docPr id="102" name="图片 102" descr="集大财经咨询logo-定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集大财经咨询logo-定稿"/>
                    <pic:cNvPicPr>
                      <a:picLocks noChangeAspect="1"/>
                    </pic:cNvPicPr>
                  </pic:nvPicPr>
                  <pic:blipFill>
                    <a:blip r:embed="rId6"/>
                    <a:srcRect l="22038" t="24205" r="23109" b="20785"/>
                    <a:stretch>
                      <a:fillRect/>
                    </a:stretch>
                  </pic:blipFill>
                  <pic:spPr>
                    <a:xfrm>
                      <a:off x="0" y="0"/>
                      <a:ext cx="850900" cy="854710"/>
                    </a:xfrm>
                    <a:prstGeom prst="rect">
                      <a:avLst/>
                    </a:prstGeom>
                  </pic:spPr>
                </pic:pic>
              </a:graphicData>
            </a:graphic>
          </wp:inline>
        </w:drawing>
      </w:r>
      <w:r>
        <w:rPr>
          <w:sz w:val="30"/>
          <w:szCs w:val="30"/>
        </w:rPr>
        <w:br w:type="page"/>
      </w:r>
    </w:p>
    <w:p w14:paraId="2DF5285C">
      <w:pPr>
        <w:jc w:val="center"/>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摘  要</w:t>
      </w:r>
    </w:p>
    <w:p w14:paraId="2AEE6EEC">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一、基本情况</w:t>
      </w:r>
    </w:p>
    <w:p w14:paraId="034C06F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_GB2312"/>
        </w:rPr>
      </w:pPr>
      <w:r>
        <w:rPr>
          <w:rFonts w:hint="eastAsia" w:ascii="仿宋_GB2312"/>
          <w:b/>
          <w:bCs/>
          <w:sz w:val="24"/>
          <w:szCs w:val="24"/>
        </w:rPr>
        <w:t>（一）项目主要内容及实施情况</w:t>
      </w:r>
    </w:p>
    <w:p w14:paraId="0A3B4E17">
      <w:pPr>
        <w:pStyle w:val="3"/>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仿宋_GB2312" w:cs="Times New Roman"/>
          <w:kern w:val="2"/>
          <w:sz w:val="24"/>
          <w:szCs w:val="24"/>
          <w:highlight w:val="lightGray"/>
          <w:lang w:val="en-US" w:eastAsia="zh-CN" w:bidi="ar-SA"/>
        </w:rPr>
      </w:pPr>
      <w:r>
        <w:rPr>
          <w:rFonts w:hint="eastAsia" w:ascii="仿宋_GB2312" w:cs="Times New Roman"/>
          <w:kern w:val="2"/>
          <w:sz w:val="24"/>
          <w:szCs w:val="24"/>
          <w:lang w:val="en-US" w:eastAsia="zh-CN" w:bidi="ar-SA"/>
        </w:rPr>
        <w:t>石狮市</w:t>
      </w:r>
      <w:r>
        <w:rPr>
          <w:rFonts w:hint="eastAsia" w:ascii="仿宋_GB2312" w:cs="Times New Roman"/>
          <w:sz w:val="24"/>
          <w:szCs w:val="24"/>
          <w:lang w:val="en-US" w:eastAsia="zh-CN"/>
        </w:rPr>
        <w:t>港</w:t>
      </w:r>
      <w:r>
        <w:rPr>
          <w:rFonts w:hint="eastAsia" w:ascii="仿宋_GB2312" w:cs="Times New Roman"/>
          <w:sz w:val="24"/>
          <w:szCs w:val="24"/>
          <w:highlight w:val="none"/>
          <w:lang w:val="en-US" w:eastAsia="zh-CN"/>
        </w:rPr>
        <w:t>建设项目资金（东店一级渔港）闽财农指</w:t>
      </w:r>
      <w:r>
        <w:rPr>
          <w:rFonts w:hint="eastAsia" w:ascii="仿宋_GB2312" w:cs="Times New Roman"/>
          <w:kern w:val="2"/>
          <w:sz w:val="24"/>
          <w:szCs w:val="24"/>
          <w:lang w:val="en-US" w:eastAsia="zh-CN" w:bidi="ar-SA"/>
        </w:rPr>
        <w:t>〔</w:t>
      </w:r>
      <w:r>
        <w:rPr>
          <w:rFonts w:hint="eastAsia" w:ascii="仿宋_GB2312" w:cs="Times New Roman"/>
          <w:sz w:val="24"/>
          <w:szCs w:val="24"/>
          <w:highlight w:val="none"/>
          <w:lang w:val="en-US" w:eastAsia="zh-CN"/>
        </w:rPr>
        <w:t>2024</w:t>
      </w:r>
      <w:r>
        <w:rPr>
          <w:rFonts w:hint="eastAsia" w:ascii="仿宋_GB2312" w:cs="Times New Roman"/>
          <w:kern w:val="2"/>
          <w:sz w:val="24"/>
          <w:szCs w:val="24"/>
          <w:lang w:val="en-US" w:eastAsia="zh-CN" w:bidi="ar-SA"/>
        </w:rPr>
        <w:t>〕</w:t>
      </w:r>
      <w:r>
        <w:rPr>
          <w:rFonts w:hint="eastAsia" w:ascii="仿宋_GB2312" w:cs="Times New Roman"/>
          <w:sz w:val="24"/>
          <w:szCs w:val="24"/>
          <w:highlight w:val="none"/>
          <w:lang w:val="en-US" w:eastAsia="zh-CN"/>
        </w:rPr>
        <w:t>081号</w:t>
      </w:r>
      <w:r>
        <w:rPr>
          <w:rFonts w:hint="eastAsia" w:ascii="仿宋_GB2312" w:cs="Times New Roman"/>
          <w:kern w:val="2"/>
          <w:sz w:val="24"/>
          <w:szCs w:val="24"/>
          <w:highlight w:val="none"/>
          <w:lang w:val="en-US" w:eastAsia="zh-CN" w:bidi="ar-SA"/>
        </w:rPr>
        <w:t>项目是由石狮市锦尚东店渔港建设服务有限公司负责的福建省石狮市锦尚东店一级渔港工程，项目位于石狮市锦尚镇东店村，建设的主要内容包括建设北防波堤兼码头315米（其中内侧256米兼做码头）、南码头200米、南引堤196米，改造北引堤353米（由6.5米拓宽至20米）；港内炸礁7.83万立方米，港池开挖28.73万立方米，拆除原防波堤7.49万立方米；形成港内水域面积73万平方米，建设渔港管理房1200平方米，配套建设水电设施、智慧渔港等项目。建设工期：30个月。石狮市锦尚东店渔港建设服务有限公司作为业主单位，负责招标、施工管理、重要设备采购及验收管理的具体工作。</w:t>
      </w:r>
    </w:p>
    <w:p w14:paraId="6D8D375F">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textAlignment w:val="auto"/>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 xml:space="preserve">   （二）资金收支情况</w:t>
      </w:r>
    </w:p>
    <w:p w14:paraId="622602B7">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textAlignment w:val="auto"/>
        <w:outlineLvl w:val="9"/>
        <w:rPr>
          <w:rFonts w:hint="eastAsia" w:ascii="仿宋_GB2312" w:cs="Times New Roman"/>
          <w:kern w:val="2"/>
          <w:sz w:val="24"/>
          <w:szCs w:val="24"/>
          <w:lang w:val="en-US" w:eastAsia="zh-CN" w:bidi="ar-SA"/>
        </w:rPr>
      </w:pPr>
      <w:r>
        <w:rPr>
          <w:rFonts w:hint="eastAsia" w:ascii="仿宋_GB2312" w:cs="Times New Roman"/>
          <w:kern w:val="2"/>
          <w:sz w:val="24"/>
          <w:szCs w:val="24"/>
          <w:lang w:val="en-US" w:eastAsia="zh-CN" w:bidi="ar-SA"/>
        </w:rPr>
        <w:t>根据《关于福建省石狮市锦尚东店一级渔港工程初步设计及概算的批复》（闽海渔〔2022〕37号</w:t>
      </w:r>
      <w:r>
        <w:rPr>
          <w:rFonts w:hint="eastAsia" w:ascii="仿宋_GB2312" w:cs="Times New Roman"/>
          <w:sz w:val="24"/>
          <w:szCs w:val="24"/>
          <w:lang w:val="en-US" w:eastAsia="zh-CN"/>
        </w:rPr>
        <w:t>）文件</w:t>
      </w:r>
      <w:r>
        <w:rPr>
          <w:rFonts w:hint="eastAsia" w:ascii="仿宋_GB2312" w:cs="Times New Roman"/>
          <w:kern w:val="2"/>
          <w:sz w:val="24"/>
          <w:szCs w:val="24"/>
          <w:lang w:val="en-US" w:eastAsia="zh-CN" w:bidi="ar-SA"/>
        </w:rPr>
        <w:t>，项目概算总投资16041.79万元,其中：工程费用13735.00万元，其他费用1839.55万元，预备费467.24万元。资金除省级补助外，其余部分由业主单位多方筹措解决。截至本次评价期间（2025年7月23日），根据</w:t>
      </w:r>
      <w:r>
        <w:rPr>
          <w:rFonts w:hint="eastAsia" w:hAnsi="宋体" w:cs="宋体"/>
          <w:sz w:val="24"/>
          <w:szCs w:val="24"/>
          <w:lang w:val="en-US" w:eastAsia="zh-CN"/>
        </w:rPr>
        <w:t>石狮市锦尚东店渔港建设服务有限公司提供的</w:t>
      </w:r>
      <w:r>
        <w:rPr>
          <w:rFonts w:hint="eastAsia" w:ascii="仿宋_GB2312" w:cs="Times New Roman"/>
          <w:kern w:val="2"/>
          <w:sz w:val="24"/>
          <w:szCs w:val="24"/>
          <w:lang w:val="en-US" w:eastAsia="zh-CN" w:bidi="ar-SA"/>
        </w:rPr>
        <w:t>《建设项目支出情况表》该项目已支付7270.61万元。</w:t>
      </w:r>
    </w:p>
    <w:p w14:paraId="391D25B2">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textAlignment w:val="auto"/>
        <w:outlineLvl w:val="9"/>
        <w:rPr>
          <w:rFonts w:hint="eastAsia" w:ascii="仿宋_GB2312" w:cs="Times New Roman"/>
          <w:kern w:val="2"/>
          <w:sz w:val="24"/>
          <w:szCs w:val="24"/>
          <w:lang w:val="en-US" w:eastAsia="zh-CN" w:bidi="ar-SA"/>
        </w:rPr>
      </w:pPr>
      <w:r>
        <w:rPr>
          <w:rFonts w:hint="eastAsia" w:ascii="仿宋_GB2312" w:cs="Times New Roman"/>
          <w:kern w:val="2"/>
          <w:sz w:val="24"/>
          <w:szCs w:val="24"/>
          <w:lang w:val="en-US" w:eastAsia="zh-CN" w:bidi="ar-SA"/>
        </w:rPr>
        <w:t>目前，石狮市锦尚东店一级渔港工程项目共收到补助款6360.31万元，其中，第一批省财政补助资金4287万元，根据《福建省财政厅福建省海与渔业局关于下达2024年渔业发展补助资金（第三批）的通知》（闽财农指〔2024〕81号）下达渔业发展补助资金2073.31万元，其中包含第二批省级财政补助资金1987万元，正向激励补助资金86.31万元，实际拨付和已使用补助资金2073.31万元。</w:t>
      </w:r>
    </w:p>
    <w:p w14:paraId="68AEF60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、综合评价情况及评价结论</w:t>
      </w:r>
    </w:p>
    <w:p w14:paraId="38A0ED96">
      <w:pPr>
        <w:pStyle w:val="6"/>
        <w:spacing w:line="360" w:lineRule="auto"/>
        <w:ind w:firstLine="480" w:firstLineChars="200"/>
        <w:outlineLvl w:val="9"/>
        <w:rPr>
          <w:rFonts w:hint="eastAsia" w:hAnsi="宋体"/>
          <w:sz w:val="24"/>
          <w:highlight w:val="none"/>
          <w:lang w:val="en-US" w:eastAsia="zh-CN"/>
        </w:rPr>
      </w:pPr>
      <w:r>
        <w:rPr>
          <w:rFonts w:hint="eastAsia" w:hAnsi="宋体"/>
          <w:sz w:val="24"/>
          <w:lang w:val="en-US" w:eastAsia="zh-CN"/>
        </w:rPr>
        <w:t>从2024年</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sz w:val="24"/>
          <w:highlight w:val="none"/>
          <w:lang w:val="en-US" w:eastAsia="zh-CN"/>
        </w:rPr>
        <w:t>的推动情况看，虽总体上具备社会效益、生态效益和可持续影响，群众满意度高，但在产出方面时效性较差。经过工作组的审慎和科学评估，该项目支出绩效总得分85.04分，评价等级结果为良，指标分析详见第四部分。</w:t>
      </w:r>
    </w:p>
    <w:p w14:paraId="4C5E986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三、存在的问题及原因分析</w:t>
      </w:r>
    </w:p>
    <w:p w14:paraId="27E6E562">
      <w:pPr>
        <w:pStyle w:val="6"/>
        <w:spacing w:line="360" w:lineRule="auto"/>
        <w:ind w:firstLine="482" w:firstLineChars="200"/>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（一）绩效指标设置不规范</w:t>
      </w:r>
    </w:p>
    <w:p w14:paraId="0E99E2CE">
      <w:pPr>
        <w:pStyle w:val="6"/>
        <w:spacing w:line="360" w:lineRule="auto"/>
        <w:ind w:firstLine="480" w:firstLineChars="200"/>
        <w:outlineLvl w:val="9"/>
        <w:rPr>
          <w:rFonts w:hint="eastAsia" w:ascii="宋体" w:hAnsi="宋体" w:cs="宋体"/>
          <w:sz w:val="24"/>
          <w:szCs w:val="24"/>
          <w:highlight w:val="none"/>
          <w:lang w:val="en-US" w:eastAsia="zh-CN"/>
        </w:rPr>
      </w:pP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狮市锦尚东店一级渔港工程项目2024年</w:t>
      </w:r>
      <w:r>
        <w:rPr>
          <w:rFonts w:hint="eastAsia" w:hAnsi="宋体" w:cs="宋体"/>
          <w:sz w:val="24"/>
          <w:szCs w:val="24"/>
          <w:highlight w:val="none"/>
          <w:lang w:val="en-US" w:eastAsia="zh-CN"/>
        </w:rPr>
        <w:t>申报的绩效目标表</w:t>
      </w:r>
      <w:r>
        <w:rPr>
          <w:rFonts w:hint="eastAsia" w:ascii="仿宋_GB2312" w:hAnsi="Times New Roman" w:cs="Times New Roman"/>
          <w:kern w:val="2"/>
          <w:sz w:val="24"/>
          <w:szCs w:val="24"/>
          <w:highlight w:val="none"/>
          <w:lang w:val="en-US" w:eastAsia="zh-CN" w:bidi="ar-SA"/>
        </w:rPr>
        <w:t>（如表2）</w:t>
      </w:r>
      <w:r>
        <w:rPr>
          <w:rFonts w:hint="eastAsia" w:hAnsi="宋体" w:cs="宋体"/>
          <w:sz w:val="24"/>
          <w:szCs w:val="24"/>
          <w:highlight w:val="none"/>
          <w:lang w:val="en-US" w:eastAsia="zh-CN"/>
        </w:rPr>
        <w:t>，“产出指标—数量指标”使用“整体工程投资额”作为三级指标，系将投入指标设置为产出指标；“效益指标—经济效益指标”使用“工程建设完成率”作为三级指标，系将产出指标设置为效益指标。</w:t>
      </w:r>
      <w:r>
        <w:rPr>
          <w:rFonts w:hint="eastAsia" w:ascii="仿宋_GB2312" w:hAnsi="Times New Roman" w:eastAsia="仿宋_GB2312" w:cs="Times New Roman"/>
          <w:sz w:val="24"/>
          <w:szCs w:val="24"/>
          <w:highlight w:val="none"/>
          <w:lang w:val="zh-CN" w:eastAsia="zh-CN"/>
        </w:rPr>
        <w:t>未严格遵循《项目支出绩效评价管理办法》要求，缺乏科学的指标设计方法。</w:t>
      </w:r>
    </w:p>
    <w:p w14:paraId="534B5AEF">
      <w:pPr>
        <w:pStyle w:val="6"/>
        <w:spacing w:line="360" w:lineRule="auto"/>
        <w:ind w:firstLine="482" w:firstLineChars="200"/>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（二）项目可行性研究不够深入，致使项目延期</w:t>
      </w:r>
    </w:p>
    <w:p w14:paraId="2E84B052">
      <w:pPr>
        <w:pStyle w:val="6"/>
        <w:spacing w:line="360" w:lineRule="auto"/>
        <w:ind w:firstLine="480" w:firstLineChars="200"/>
        <w:outlineLvl w:val="9"/>
        <w:rPr>
          <w:rFonts w:hint="eastAsia" w:hAnsi="宋体" w:cs="宋体"/>
          <w:sz w:val="24"/>
          <w:szCs w:val="24"/>
          <w:lang w:val="en-US" w:eastAsia="zh-CN"/>
        </w:rPr>
      </w:pPr>
      <w:r>
        <w:rPr>
          <w:rFonts w:hint="eastAsia" w:hAnsi="宋体" w:cs="宋体"/>
          <w:sz w:val="24"/>
          <w:szCs w:val="24"/>
          <w:lang w:val="en-US" w:eastAsia="zh-CN"/>
        </w:rPr>
        <w:t>在项目立项阶段，对海域使用权证审批政策、流程及前置条件的调研不够全面，未充分预判海域使用证办理所需的材料准备、部门协同等关键环节，导致前期规划对手续办理的复杂性</w:t>
      </w:r>
      <w:r>
        <w:rPr>
          <w:rFonts w:hint="eastAsia" w:hAnsi="宋体" w:cs="宋体"/>
          <w:sz w:val="24"/>
          <w:szCs w:val="24"/>
          <w:highlight w:val="none"/>
          <w:lang w:val="en-US" w:eastAsia="zh-CN"/>
        </w:rPr>
        <w:t>评估不足，为后续审批滞后埋下隐患。海域使用权证未及时办理，直接造成项目延期，监理单位分别于2022年12月14日、12月20日下发本工程南北引堤停工令,至</w:t>
      </w:r>
      <w:r>
        <w:rPr>
          <w:rFonts w:hint="eastAsia" w:hAnsi="宋体" w:cs="宋体"/>
          <w:sz w:val="24"/>
          <w:szCs w:val="24"/>
          <w:lang w:val="en-US" w:eastAsia="zh-CN"/>
        </w:rPr>
        <w:t>2024年1月3日海域使用权证下发后才重新准备施工工作。2023年8月31日福建省自然资源厅印发《福建省自然资源厅关于印发福建省规范和完善砂石开采管理暂行规定的通知》（闽自然资发</w:t>
      </w:r>
      <w:r>
        <w:rPr>
          <w:rFonts w:hint="eastAsia" w:ascii="仿宋_GB2312" w:cs="Times New Roman"/>
          <w:kern w:val="2"/>
          <w:sz w:val="24"/>
          <w:szCs w:val="24"/>
          <w:lang w:val="en-US" w:eastAsia="zh-CN" w:bidi="ar-SA"/>
        </w:rPr>
        <w:t>〔2023〕</w:t>
      </w:r>
      <w:r>
        <w:rPr>
          <w:rFonts w:hint="eastAsia" w:hAnsi="宋体" w:cs="宋体"/>
          <w:sz w:val="24"/>
          <w:szCs w:val="24"/>
          <w:lang w:val="en-US" w:eastAsia="zh-CN"/>
        </w:rPr>
        <w:t>51号）根据通知内容,本项目工程水下清淤物约 33万立方米须执行海砂采矿权和海域使用权“两权合一”招标拍卖挂牌出让制度，相关手续由业主单位牵头办理。2024年3月25日，由石狮市锦尚东店渔港建设服务有限公司和锦尚镇人民政府完成挂牌招投标工作，致使整体工期较原计划出现明显滞后。</w:t>
      </w:r>
    </w:p>
    <w:p w14:paraId="3A45DDB5">
      <w:pPr>
        <w:pStyle w:val="6"/>
        <w:spacing w:line="360" w:lineRule="auto"/>
        <w:ind w:firstLine="482" w:firstLineChars="200"/>
        <w:outlineLvl w:val="9"/>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（三）未取得相关审批期间，违规占用海域摆放物资</w:t>
      </w:r>
    </w:p>
    <w:p w14:paraId="23F388FF">
      <w:pPr>
        <w:pStyle w:val="6"/>
        <w:spacing w:line="360" w:lineRule="auto"/>
        <w:ind w:firstLine="480" w:firstLineChars="200"/>
        <w:outlineLvl w:val="9"/>
        <w:rPr>
          <w:rFonts w:hint="eastAsia" w:hAnsi="宋体" w:cs="宋体"/>
          <w:sz w:val="24"/>
          <w:szCs w:val="24"/>
          <w:highlight w:val="yellow"/>
          <w:lang w:val="en-US" w:eastAsia="zh-CN"/>
        </w:rPr>
      </w:pPr>
      <w:r>
        <w:rPr>
          <w:rFonts w:hint="eastAsia" w:hAnsi="宋体" w:cs="宋体"/>
          <w:sz w:val="24"/>
          <w:szCs w:val="24"/>
          <w:lang w:val="en-US" w:eastAsia="zh-CN"/>
        </w:rPr>
        <w:t>2022年10月至12月，</w:t>
      </w:r>
      <w:r>
        <w:rPr>
          <w:rFonts w:hint="eastAsia" w:hAnsi="宋体" w:cs="宋体"/>
          <w:sz w:val="24"/>
          <w:szCs w:val="24"/>
          <w:highlight w:val="none"/>
          <w:lang w:val="en-US" w:eastAsia="zh-CN"/>
        </w:rPr>
        <w:t>锦尚东店渔港建设服务有限公司</w:t>
      </w:r>
      <w:r>
        <w:rPr>
          <w:rFonts w:hint="eastAsia" w:hAnsi="宋体" w:cs="宋体"/>
          <w:sz w:val="24"/>
          <w:szCs w:val="24"/>
          <w:lang w:val="en-US" w:eastAsia="zh-CN"/>
        </w:rPr>
        <w:t>在未取得海域使用权证的情况下，占用石狮市锦尚湾1.1735公顷海域建设福建省石狮市锦尚东店一级渔港工程非透水构筑物，收到石狮市自然资源局行政处罚决定书；</w:t>
      </w:r>
      <w:r>
        <w:rPr>
          <w:rFonts w:hint="eastAsia" w:hAnsi="宋体" w:cs="宋体"/>
          <w:sz w:val="24"/>
          <w:szCs w:val="24"/>
          <w:highlight w:val="none"/>
          <w:lang w:val="en-US" w:eastAsia="zh-CN"/>
        </w:rPr>
        <w:t>2024年11月11日经石狮市海洋发展局及相关人员确认，锦尚东店渔港建设服务有限公司在未取得海域使用证的情况下，于2023年1月开始在原土质老海堤上硬化、预制并放置沉箱，未经批准建设非透水构筑物，锦尚东店渔港建设服务有限公司作为业主单位收到石狮市海洋发展局的行政处罚</w:t>
      </w:r>
      <w:r>
        <w:rPr>
          <w:rFonts w:hint="eastAsia" w:hAnsi="宋体" w:cs="宋体"/>
          <w:sz w:val="24"/>
          <w:szCs w:val="24"/>
          <w:lang w:val="en-US" w:eastAsia="zh-CN"/>
        </w:rPr>
        <w:t>决定书</w:t>
      </w:r>
      <w:r>
        <w:rPr>
          <w:rFonts w:hint="eastAsia" w:hAnsi="宋体" w:cs="宋体"/>
          <w:sz w:val="24"/>
          <w:szCs w:val="24"/>
          <w:highlight w:val="none"/>
          <w:lang w:val="en-US" w:eastAsia="zh-CN"/>
        </w:rPr>
        <w:t>。上述两次处罚均因</w:t>
      </w:r>
      <w:r>
        <w:rPr>
          <w:rFonts w:hint="eastAsia" w:hAnsi="宋体" w:cs="宋体"/>
          <w:sz w:val="24"/>
          <w:szCs w:val="24"/>
          <w:lang w:val="en-US" w:eastAsia="zh-CN"/>
        </w:rPr>
        <w:t>在未取得海域使用权证的情况下占用海域建设非透水构筑物而收到相关部门处罚，</w:t>
      </w:r>
      <w:r>
        <w:rPr>
          <w:rFonts w:hint="eastAsia" w:hAnsi="宋体" w:cs="宋体"/>
          <w:sz w:val="24"/>
          <w:szCs w:val="24"/>
          <w:highlight w:val="none"/>
          <w:lang w:val="en-US" w:eastAsia="zh-CN"/>
        </w:rPr>
        <w:t>不仅影响了项目的合规性推进，还对项目整体形象及后续审批衔接造成了不利影响。</w:t>
      </w:r>
    </w:p>
    <w:p w14:paraId="5629885B">
      <w:pPr>
        <w:pStyle w:val="6"/>
        <w:spacing w:line="360" w:lineRule="auto"/>
        <w:ind w:firstLine="482" w:firstLineChars="200"/>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（四）业务管理制度不健全、内容不完整</w:t>
      </w:r>
    </w:p>
    <w:p w14:paraId="710AF0A3">
      <w:pPr>
        <w:pStyle w:val="6"/>
        <w:numPr>
          <w:ilvl w:val="0"/>
          <w:numId w:val="0"/>
        </w:numPr>
        <w:spacing w:line="360" w:lineRule="auto"/>
        <w:ind w:firstLine="480" w:firstLineChars="200"/>
        <w:outlineLvl w:val="9"/>
        <w:rPr>
          <w:rFonts w:hint="eastAsia" w:hAnsi="宋体" w:cs="宋体"/>
          <w:sz w:val="24"/>
          <w:szCs w:val="24"/>
          <w:highlight w:val="none"/>
          <w:lang w:val="en-US" w:eastAsia="zh-CN"/>
        </w:rPr>
      </w:pPr>
      <w:r>
        <w:rPr>
          <w:rFonts w:hint="eastAsia" w:hAnsi="宋体" w:cs="宋体"/>
          <w:sz w:val="24"/>
          <w:szCs w:val="24"/>
          <w:highlight w:val="none"/>
          <w:lang w:val="en-US" w:eastAsia="zh-CN"/>
        </w:rPr>
        <w:t>石狮市锦尚东店渔港建设服务有限公司提供的《公司内部管理制度》中“五、内控制度管理内容”，仅笼统概括包含的类型，未明确相关节点流程，缺乏实操性和细节支撑，同时还缺失业务拓展与风险评估机制、客户与合同执行管理、业务数据与权责追溯机制等业务全生命周期的核心管理模块，无法为业务活动提供明确规范和指引。</w:t>
      </w:r>
    </w:p>
    <w:p w14:paraId="3D58E0CE">
      <w:pPr>
        <w:pStyle w:val="6"/>
        <w:spacing w:line="360" w:lineRule="auto"/>
        <w:ind w:firstLine="482" w:firstLineChars="200"/>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（五）自筹资金情况不理想，可能影响工程进度</w:t>
      </w:r>
    </w:p>
    <w:p w14:paraId="1D370863">
      <w:pPr>
        <w:pStyle w:val="6"/>
        <w:numPr>
          <w:ilvl w:val="0"/>
          <w:numId w:val="0"/>
        </w:numPr>
        <w:spacing w:line="360" w:lineRule="auto"/>
        <w:ind w:firstLine="480" w:firstLineChars="200"/>
        <w:outlineLvl w:val="9"/>
        <w:rPr>
          <w:rFonts w:hint="eastAsia" w:ascii="仿宋" w:hAnsi="仿宋" w:eastAsia="仿宋" w:cs="仿宋"/>
          <w:b/>
          <w:bCs/>
          <w:sz w:val="28"/>
          <w:szCs w:val="28"/>
        </w:rPr>
      </w:pPr>
      <w:r>
        <w:rPr>
          <w:rFonts w:hint="eastAsia" w:ascii="仿宋_GB2312" w:cs="Times New Roman"/>
          <w:kern w:val="2"/>
          <w:sz w:val="24"/>
          <w:szCs w:val="24"/>
          <w:lang w:val="en-US" w:eastAsia="zh-CN" w:bidi="ar-SA"/>
        </w:rPr>
        <w:t>根据《关于福建省石狮市锦尚东店一级渔港工程初步设计及概算的批复》（闽海渔〔2022〕37号）及《福建省渔港项目补助资金实施方案》（闽海渔〔2024〕13 号）文件，项目概算总投资16041.79万元,资金除省级补助外，其余部分由业主单位多方筹措解决，省级补助为项目核定总投资的65%，自筹资金为35%。目前，石狮市锦尚东店一级渔港工程项目共收到补助款6360.31万元，其中，第一批省财政补助资金4287万元，第二批省级财政补助资金1987万元，正向激励补助资金86.31万元。目前，根据</w:t>
      </w:r>
      <w:r>
        <w:rPr>
          <w:rFonts w:hint="eastAsia" w:hAnsi="宋体" w:cs="宋体"/>
          <w:sz w:val="24"/>
          <w:szCs w:val="24"/>
          <w:lang w:val="en-US" w:eastAsia="zh-CN"/>
        </w:rPr>
        <w:t>石狮市锦尚东店渔港建设服务有限公司提供的</w:t>
      </w:r>
      <w:r>
        <w:rPr>
          <w:rFonts w:hint="eastAsia" w:ascii="仿宋_GB2312" w:cs="Times New Roman"/>
          <w:kern w:val="2"/>
          <w:sz w:val="24"/>
          <w:szCs w:val="24"/>
          <w:lang w:val="en-US" w:eastAsia="zh-CN" w:bidi="ar-SA"/>
        </w:rPr>
        <w:t>《建设项目支出情况表》该项目已支付7270.61万元。在支付比例中，补助款占比87.48%,已到位自筹资金与计划投入资金相差较大，项目施工进度按计划进行，将可能出现资金跟不上工程的风险，影响后续施工进度。</w:t>
      </w:r>
    </w:p>
    <w:p w14:paraId="06D2722C">
      <w:pPr>
        <w:pStyle w:val="6"/>
        <w:numPr>
          <w:ilvl w:val="0"/>
          <w:numId w:val="0"/>
        </w:numPr>
        <w:spacing w:line="360" w:lineRule="auto"/>
        <w:ind w:firstLine="562" w:firstLineChars="200"/>
        <w:outlineLvl w:val="9"/>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、有关建议</w:t>
      </w:r>
    </w:p>
    <w:p w14:paraId="0D641A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cs="Times New Roman"/>
          <w:b/>
          <w:bCs/>
          <w:sz w:val="24"/>
          <w:szCs w:val="24"/>
          <w:lang w:val="en-US" w:eastAsia="zh-CN"/>
        </w:rPr>
      </w:pPr>
      <w:r>
        <w:rPr>
          <w:rFonts w:hint="eastAsia" w:ascii="仿宋_GB2312" w:cs="Times New Roman"/>
          <w:b/>
          <w:bCs/>
          <w:sz w:val="24"/>
          <w:szCs w:val="24"/>
          <w:lang w:val="en-US" w:eastAsia="zh-CN"/>
        </w:rPr>
        <w:t>（</w:t>
      </w:r>
      <w:r>
        <w:rPr>
          <w:rFonts w:hint="eastAsia" w:ascii="仿宋_GB2312" w:hAnsi="Times New Roman" w:cs="Times New Roman"/>
          <w:b/>
          <w:bCs/>
          <w:sz w:val="24"/>
          <w:szCs w:val="24"/>
          <w:lang w:val="en-US" w:eastAsia="zh-CN"/>
        </w:rPr>
        <w:t>一）</w:t>
      </w:r>
      <w:r>
        <w:rPr>
          <w:rFonts w:hint="eastAsia" w:ascii="仿宋_GB2312" w:cs="Times New Roman"/>
          <w:b/>
          <w:bCs/>
          <w:sz w:val="24"/>
          <w:szCs w:val="24"/>
          <w:lang w:val="en-US" w:eastAsia="zh-CN"/>
        </w:rPr>
        <w:t>规范</w:t>
      </w:r>
      <w:r>
        <w:rPr>
          <w:rFonts w:hint="eastAsia" w:ascii="仿宋_GB2312" w:hAnsi="Times New Roman" w:cs="Times New Roman"/>
          <w:b/>
          <w:bCs/>
          <w:sz w:val="24"/>
          <w:szCs w:val="24"/>
          <w:lang w:val="en-US" w:eastAsia="zh-CN"/>
        </w:rPr>
        <w:t>绩效指标设置</w:t>
      </w:r>
    </w:p>
    <w:p w14:paraId="022175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hAnsi="宋体"/>
          <w:sz w:val="24"/>
          <w:lang w:val="en-US" w:eastAsia="zh-CN"/>
        </w:rPr>
      </w:pPr>
      <w:r>
        <w:rPr>
          <w:rFonts w:hint="eastAsia" w:hAnsi="宋体" w:cs="宋体"/>
          <w:sz w:val="24"/>
          <w:szCs w:val="24"/>
          <w:lang w:val="en-US" w:eastAsia="zh-CN"/>
        </w:rPr>
        <w:t>绩效指标的设置应遵循财政部</w:t>
      </w:r>
      <w:r>
        <w:rPr>
          <w:rFonts w:hint="eastAsia" w:hAnsi="宋体"/>
          <w:sz w:val="24"/>
        </w:rPr>
        <w:t>《项目支出绩效评价管理办法》</w:t>
      </w:r>
      <w:r>
        <w:rPr>
          <w:rFonts w:hint="eastAsia" w:hAnsi="宋体"/>
          <w:sz w:val="24"/>
          <w:lang w:val="en-US" w:eastAsia="zh-CN"/>
        </w:rPr>
        <w:t>的要求，参照《</w:t>
      </w:r>
      <w:r>
        <w:rPr>
          <w:rFonts w:hint="eastAsia" w:hAnsi="宋体"/>
          <w:sz w:val="24"/>
        </w:rPr>
        <w:t>项目支出绩效自评表</w:t>
      </w:r>
      <w:r>
        <w:rPr>
          <w:rFonts w:hint="eastAsia" w:hAnsi="宋体"/>
          <w:sz w:val="24"/>
          <w:lang w:val="en-US" w:eastAsia="zh-CN"/>
        </w:rPr>
        <w:t>》规范设置指标，三级个性化指标设置应能体现项目自身的特点，对项目产出和效益进行较为精准地</w:t>
      </w:r>
      <w:bookmarkStart w:id="25" w:name="_GoBack"/>
      <w:bookmarkEnd w:id="25"/>
      <w:r>
        <w:rPr>
          <w:rFonts w:hint="eastAsia" w:hAnsi="宋体"/>
          <w:sz w:val="24"/>
          <w:lang w:val="en-US" w:eastAsia="zh-CN"/>
        </w:rPr>
        <w:t>把握。组织相关人员系统学习《项目支出绩效评价管理办法》，明确各类指标的定义、层级及设置要求，统一指标设计标准。</w:t>
      </w:r>
    </w:p>
    <w:p w14:paraId="4DB0D63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cs="Times New Roman"/>
          <w:b/>
          <w:bCs/>
          <w:sz w:val="24"/>
          <w:szCs w:val="24"/>
          <w:lang w:val="en-US" w:eastAsia="zh-CN"/>
        </w:rPr>
      </w:pPr>
      <w:r>
        <w:rPr>
          <w:rFonts w:hint="eastAsia" w:ascii="仿宋_GB2312" w:cs="Times New Roman"/>
          <w:b/>
          <w:bCs/>
          <w:sz w:val="24"/>
          <w:szCs w:val="24"/>
          <w:lang w:val="en-US" w:eastAsia="zh-CN"/>
        </w:rPr>
        <w:t>（二</w:t>
      </w:r>
      <w:r>
        <w:rPr>
          <w:rFonts w:hint="eastAsia" w:ascii="仿宋_GB2312" w:hAnsi="Times New Roman" w:cs="Times New Roman"/>
          <w:b/>
          <w:bCs/>
          <w:sz w:val="24"/>
          <w:szCs w:val="24"/>
          <w:lang w:val="en-US" w:eastAsia="zh-CN"/>
        </w:rPr>
        <w:t>）强化前期调研深度</w:t>
      </w:r>
      <w:r>
        <w:rPr>
          <w:rFonts w:hint="eastAsia" w:ascii="仿宋_GB2312" w:cs="Times New Roman"/>
          <w:b/>
          <w:bCs/>
          <w:sz w:val="24"/>
          <w:szCs w:val="24"/>
          <w:lang w:val="en-US" w:eastAsia="zh-CN"/>
        </w:rPr>
        <w:t>，扎实做好可行性报告研究</w:t>
      </w:r>
    </w:p>
    <w:p w14:paraId="53EA6B04">
      <w:pPr>
        <w:pStyle w:val="19"/>
        <w:spacing w:line="360" w:lineRule="auto"/>
        <w:outlineLvl w:val="9"/>
        <w:rPr>
          <w:rFonts w:hint="default" w:hAnsi="宋体" w:cs="宋体"/>
          <w:sz w:val="24"/>
          <w:szCs w:val="24"/>
          <w:lang w:val="en-US" w:eastAsia="zh-CN"/>
        </w:rPr>
      </w:pPr>
      <w:r>
        <w:rPr>
          <w:rFonts w:hint="eastAsia" w:hAnsi="宋体" w:cs="Times New Roman"/>
          <w:kern w:val="2"/>
          <w:sz w:val="24"/>
          <w:szCs w:val="24"/>
          <w:lang w:val="en-US" w:eastAsia="zh-CN" w:bidi="ar-SA"/>
        </w:rPr>
        <w:t>该项目作为渔港基建设施，涉海相关权证本应</w:t>
      </w:r>
      <w:r>
        <w:rPr>
          <w:rFonts w:hint="eastAsia" w:hAnsi="宋体" w:cs="宋体"/>
          <w:kern w:val="2"/>
          <w:sz w:val="24"/>
          <w:szCs w:val="24"/>
          <w:lang w:val="en-US" w:eastAsia="zh-CN" w:bidi="ar-SA"/>
        </w:rPr>
        <w:t>属于该类项目必须充分考虑的影响因素，</w:t>
      </w:r>
      <w:r>
        <w:rPr>
          <w:rFonts w:hint="eastAsia" w:hAnsi="宋体" w:cs="宋体"/>
          <w:sz w:val="24"/>
          <w:szCs w:val="24"/>
          <w:lang w:val="en-US" w:eastAsia="zh-CN"/>
        </w:rPr>
        <w:t>在项目进行前期可行性研究分析时，应</w:t>
      </w:r>
      <w:r>
        <w:rPr>
          <w:rFonts w:hint="eastAsia" w:ascii="Times New Roman" w:hAnsi="宋体" w:eastAsia="仿宋_GB2312" w:cs="Times New Roman"/>
          <w:kern w:val="2"/>
          <w:sz w:val="24"/>
          <w:szCs w:val="24"/>
          <w:lang w:val="en-US" w:eastAsia="zh-CN" w:bidi="ar-SA"/>
        </w:rPr>
        <w:t>组建专项调研小组，全面梳理</w:t>
      </w:r>
      <w:r>
        <w:rPr>
          <w:rFonts w:hint="eastAsia" w:hAnsi="宋体" w:cs="Times New Roman"/>
          <w:kern w:val="2"/>
          <w:sz w:val="24"/>
          <w:szCs w:val="24"/>
          <w:lang w:val="en-US" w:eastAsia="zh-CN" w:bidi="ar-SA"/>
        </w:rPr>
        <w:t>相关权证清单及</w:t>
      </w:r>
      <w:r>
        <w:rPr>
          <w:rFonts w:hint="eastAsia" w:ascii="Times New Roman" w:hAnsi="宋体" w:eastAsia="仿宋_GB2312" w:cs="Times New Roman"/>
          <w:kern w:val="2"/>
          <w:sz w:val="24"/>
          <w:szCs w:val="24"/>
          <w:lang w:val="en-US" w:eastAsia="zh-CN" w:bidi="ar-SA"/>
        </w:rPr>
        <w:t>审批的政策要求、流程节点、所需材料及部门协同机制，形成详细调研报告。</w:t>
      </w:r>
      <w:r>
        <w:rPr>
          <w:rFonts w:hint="eastAsia" w:hAnsi="宋体" w:cs="Times New Roman"/>
          <w:kern w:val="2"/>
          <w:sz w:val="24"/>
          <w:szCs w:val="24"/>
          <w:lang w:val="en-US" w:eastAsia="zh-CN" w:bidi="ar-SA"/>
        </w:rPr>
        <w:t>同时，应</w:t>
      </w:r>
      <w:r>
        <w:rPr>
          <w:rFonts w:hint="eastAsia" w:ascii="Times New Roman" w:hAnsi="宋体" w:eastAsia="仿宋_GB2312" w:cs="Times New Roman"/>
          <w:kern w:val="2"/>
          <w:sz w:val="24"/>
          <w:szCs w:val="24"/>
          <w:lang w:val="en-US" w:eastAsia="zh-CN" w:bidi="ar-SA"/>
        </w:rPr>
        <w:t>建立政策跟踪与预警机制</w:t>
      </w:r>
      <w:r>
        <w:rPr>
          <w:rFonts w:hint="eastAsia" w:hAnsi="宋体" w:cs="Times New Roman"/>
          <w:kern w:val="2"/>
          <w:sz w:val="24"/>
          <w:szCs w:val="24"/>
          <w:lang w:val="en-US" w:eastAsia="zh-CN" w:bidi="ar-SA"/>
        </w:rPr>
        <w:t>，</w:t>
      </w:r>
      <w:r>
        <w:rPr>
          <w:rFonts w:hint="eastAsia" w:ascii="Times New Roman" w:hAnsi="宋体" w:eastAsia="仿宋_GB2312" w:cs="Times New Roman"/>
          <w:kern w:val="2"/>
          <w:sz w:val="24"/>
          <w:szCs w:val="24"/>
          <w:lang w:val="en-US" w:eastAsia="zh-CN" w:bidi="ar-SA"/>
        </w:rPr>
        <w:t>安排专</w:t>
      </w:r>
      <w:r>
        <w:rPr>
          <w:rFonts w:hint="eastAsia" w:hAnsi="宋体" w:cs="Times New Roman"/>
          <w:kern w:val="2"/>
          <w:sz w:val="24"/>
          <w:szCs w:val="24"/>
          <w:lang w:val="en-US" w:eastAsia="zh-CN" w:bidi="ar-SA"/>
        </w:rPr>
        <w:t>人</w:t>
      </w:r>
      <w:r>
        <w:rPr>
          <w:rFonts w:hint="eastAsia" w:ascii="Times New Roman" w:hAnsi="宋体" w:eastAsia="仿宋_GB2312" w:cs="Times New Roman"/>
          <w:kern w:val="2"/>
          <w:sz w:val="24"/>
          <w:szCs w:val="24"/>
          <w:lang w:val="en-US" w:eastAsia="zh-CN" w:bidi="ar-SA"/>
        </w:rPr>
        <w:t>实时跟踪相关</w:t>
      </w:r>
      <w:r>
        <w:rPr>
          <w:rFonts w:hint="eastAsia" w:hAnsi="宋体" w:cs="Times New Roman"/>
          <w:kern w:val="2"/>
          <w:sz w:val="24"/>
          <w:szCs w:val="24"/>
          <w:lang w:val="en-US" w:eastAsia="zh-CN" w:bidi="ar-SA"/>
        </w:rPr>
        <w:t>权证的</w:t>
      </w:r>
      <w:r>
        <w:rPr>
          <w:rFonts w:hint="eastAsia" w:ascii="Times New Roman" w:hAnsi="宋体" w:eastAsia="仿宋_GB2312" w:cs="Times New Roman"/>
          <w:kern w:val="2"/>
          <w:sz w:val="24"/>
          <w:szCs w:val="24"/>
          <w:lang w:val="en-US" w:eastAsia="zh-CN" w:bidi="ar-SA"/>
        </w:rPr>
        <w:t>政策变化，提前预判对项目的影响并制定调整方案。</w:t>
      </w:r>
      <w:r>
        <w:rPr>
          <w:rFonts w:hint="eastAsia" w:hAnsi="宋体" w:cs="Times New Roman"/>
          <w:kern w:val="2"/>
          <w:sz w:val="24"/>
          <w:szCs w:val="24"/>
          <w:lang w:val="en-US" w:eastAsia="zh-CN" w:bidi="ar-SA"/>
        </w:rPr>
        <w:t>减少后期施工阶段因相关权证的缺漏致使停工问题的发生</w:t>
      </w:r>
      <w:r>
        <w:rPr>
          <w:rFonts w:hint="eastAsia" w:hAnsi="宋体" w:cs="宋体"/>
          <w:sz w:val="24"/>
          <w:szCs w:val="24"/>
          <w:lang w:val="en-US" w:eastAsia="zh-CN"/>
        </w:rPr>
        <w:t>，保障工程的顺利推进、按时完工。以后凡涉及工程建设项目，均应严格把关事前绩效评价，对项目可行性研究报告进行深入分析，扎实做好前期准备工作。</w:t>
      </w:r>
    </w:p>
    <w:p w14:paraId="0C923A9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cs="Times New Roman"/>
          <w:b/>
          <w:bCs/>
          <w:sz w:val="24"/>
          <w:szCs w:val="24"/>
          <w:lang w:val="en-US" w:eastAsia="zh-CN"/>
        </w:rPr>
      </w:pPr>
      <w:r>
        <w:rPr>
          <w:rFonts w:hint="eastAsia" w:ascii="仿宋_GB2312" w:hAnsi="Times New Roman" w:cs="Times New Roman"/>
          <w:b/>
          <w:bCs/>
          <w:sz w:val="24"/>
          <w:szCs w:val="24"/>
          <w:lang w:val="en-US" w:eastAsia="zh-CN"/>
        </w:rPr>
        <w:t>（三）</w:t>
      </w:r>
      <w:r>
        <w:rPr>
          <w:rFonts w:hint="default" w:ascii="仿宋_GB2312" w:hAnsi="Times New Roman" w:cs="Times New Roman"/>
          <w:b/>
          <w:bCs/>
          <w:sz w:val="24"/>
          <w:szCs w:val="24"/>
          <w:lang w:val="en-US" w:eastAsia="zh-CN"/>
        </w:rPr>
        <w:t>强化合规意识</w:t>
      </w:r>
      <w:r>
        <w:rPr>
          <w:rFonts w:hint="eastAsia" w:ascii="仿宋_GB2312" w:cs="Times New Roman"/>
          <w:b/>
          <w:bCs/>
          <w:sz w:val="24"/>
          <w:szCs w:val="24"/>
          <w:lang w:val="en-US" w:eastAsia="zh-CN"/>
        </w:rPr>
        <w:t>及</w:t>
      </w:r>
      <w:r>
        <w:rPr>
          <w:rFonts w:hint="default" w:hAnsi="宋体" w:cs="宋体"/>
          <w:b/>
          <w:bCs/>
          <w:sz w:val="24"/>
          <w:szCs w:val="24"/>
          <w:lang w:val="en-US" w:eastAsia="zh-CN"/>
        </w:rPr>
        <w:t>协同机制</w:t>
      </w:r>
      <w:r>
        <w:rPr>
          <w:rFonts w:hint="eastAsia" w:hAnsi="宋体" w:cs="宋体"/>
          <w:b/>
          <w:bCs/>
          <w:sz w:val="24"/>
          <w:szCs w:val="24"/>
          <w:lang w:val="en-US" w:eastAsia="zh-CN"/>
        </w:rPr>
        <w:t>，</w:t>
      </w:r>
      <w:r>
        <w:rPr>
          <w:rFonts w:hint="default" w:hAnsi="宋体" w:cs="宋体"/>
          <w:b/>
          <w:bCs/>
          <w:sz w:val="24"/>
          <w:szCs w:val="24"/>
          <w:lang w:val="en-US" w:eastAsia="zh-CN"/>
        </w:rPr>
        <w:t>完善内部监督与问责</w:t>
      </w:r>
    </w:p>
    <w:p w14:paraId="174F33AD">
      <w:pPr>
        <w:pStyle w:val="19"/>
        <w:spacing w:line="360" w:lineRule="auto"/>
        <w:outlineLvl w:val="9"/>
        <w:rPr>
          <w:rFonts w:hint="default" w:hAnsi="宋体" w:cs="宋体"/>
          <w:sz w:val="24"/>
          <w:szCs w:val="24"/>
          <w:lang w:val="en-US" w:eastAsia="zh-CN"/>
        </w:rPr>
      </w:pPr>
      <w:r>
        <w:rPr>
          <w:rFonts w:hint="default" w:hAnsi="宋体" w:cs="宋体"/>
          <w:sz w:val="24"/>
          <w:szCs w:val="24"/>
          <w:lang w:val="en-US" w:eastAsia="zh-CN"/>
        </w:rPr>
        <w:t>在海域使用权证尚未办理期间，</w:t>
      </w:r>
      <w:r>
        <w:rPr>
          <w:rFonts w:hint="eastAsia" w:hAnsi="宋体" w:cs="宋体"/>
          <w:sz w:val="24"/>
          <w:szCs w:val="24"/>
          <w:lang w:val="en-US" w:eastAsia="zh-CN"/>
        </w:rPr>
        <w:t>在未取得海域使用权证的情况下占用海域建设非透水构筑物</w:t>
      </w:r>
      <w:r>
        <w:rPr>
          <w:rFonts w:hint="default" w:hAnsi="宋体" w:cs="宋体"/>
          <w:sz w:val="24"/>
          <w:szCs w:val="24"/>
          <w:lang w:val="en-US" w:eastAsia="zh-CN"/>
        </w:rPr>
        <w:t>的行为，属于主观因素导致的情形。</w:t>
      </w:r>
      <w:r>
        <w:rPr>
          <w:rFonts w:hint="eastAsia" w:hAnsi="宋体" w:cs="宋体"/>
          <w:sz w:val="24"/>
          <w:szCs w:val="24"/>
          <w:lang w:val="en-US" w:eastAsia="zh-CN"/>
        </w:rPr>
        <w:t>工作组建议</w:t>
      </w:r>
      <w:r>
        <w:rPr>
          <w:rFonts w:hint="default" w:hAnsi="宋体" w:cs="宋体"/>
          <w:sz w:val="24"/>
          <w:szCs w:val="24"/>
          <w:lang w:val="en-US" w:eastAsia="zh-CN"/>
        </w:rPr>
        <w:t>组织</w:t>
      </w:r>
      <w:r>
        <w:rPr>
          <w:rFonts w:hint="eastAsia" w:hAnsi="宋体" w:cs="宋体"/>
          <w:sz w:val="24"/>
          <w:szCs w:val="24"/>
          <w:lang w:val="en-US" w:eastAsia="zh-CN"/>
        </w:rPr>
        <w:t>该</w:t>
      </w:r>
      <w:r>
        <w:rPr>
          <w:rFonts w:hint="default" w:hAnsi="宋体" w:cs="宋体"/>
          <w:sz w:val="24"/>
          <w:szCs w:val="24"/>
          <w:lang w:val="en-US" w:eastAsia="zh-CN"/>
        </w:rPr>
        <w:t>项目</w:t>
      </w:r>
      <w:r>
        <w:rPr>
          <w:rFonts w:hint="eastAsia" w:hAnsi="宋体" w:cs="宋体"/>
          <w:sz w:val="24"/>
          <w:szCs w:val="24"/>
          <w:lang w:val="en-US" w:eastAsia="zh-CN"/>
        </w:rPr>
        <w:t>成员</w:t>
      </w:r>
      <w:r>
        <w:rPr>
          <w:rFonts w:hint="default" w:hAnsi="宋体" w:cs="宋体"/>
          <w:sz w:val="24"/>
          <w:szCs w:val="24"/>
          <w:lang w:val="en-US" w:eastAsia="zh-CN"/>
        </w:rPr>
        <w:t>学习《中华人民共和国海域使用管理法》等法规，明确无证施工的法律后果及对项目的影响。由项目管理部门牵头，每周同步审批进度与施工计划，确保所有涉海施工环节均在取得合法审批后开展</w:t>
      </w:r>
      <w:r>
        <w:rPr>
          <w:rFonts w:hint="eastAsia" w:hAnsi="宋体" w:cs="宋体"/>
          <w:sz w:val="24"/>
          <w:szCs w:val="24"/>
          <w:lang w:val="en-US" w:eastAsia="zh-CN"/>
        </w:rPr>
        <w:t>，</w:t>
      </w:r>
      <w:r>
        <w:rPr>
          <w:rFonts w:hint="default" w:hAnsi="宋体" w:cs="宋体"/>
          <w:sz w:val="24"/>
          <w:szCs w:val="24"/>
          <w:lang w:val="en-US" w:eastAsia="zh-CN"/>
        </w:rPr>
        <w:t>对需提前准备的物资，规划合规存放区域。</w:t>
      </w:r>
      <w:r>
        <w:rPr>
          <w:rFonts w:hint="eastAsia" w:hAnsi="宋体" w:cs="宋体"/>
          <w:sz w:val="24"/>
          <w:szCs w:val="24"/>
          <w:lang w:val="en-US" w:eastAsia="zh-CN"/>
        </w:rPr>
        <w:t>同时，</w:t>
      </w:r>
      <w:r>
        <w:rPr>
          <w:rFonts w:hint="default" w:hAnsi="宋体" w:cs="宋体"/>
          <w:sz w:val="24"/>
          <w:szCs w:val="24"/>
          <w:lang w:val="en-US" w:eastAsia="zh-CN"/>
        </w:rPr>
        <w:t>设立合规监督岗，定期核查施工环节的审批合规性，对违规行为及时制止并追溯责任，避免类似问题重复发生。</w:t>
      </w:r>
    </w:p>
    <w:p w14:paraId="1AF03A8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cs="Times New Roman"/>
          <w:b/>
          <w:bCs/>
          <w:sz w:val="24"/>
          <w:szCs w:val="24"/>
          <w:highlight w:val="none"/>
          <w:lang w:val="en-US" w:eastAsia="zh-CN"/>
        </w:rPr>
      </w:pPr>
      <w:r>
        <w:rPr>
          <w:rFonts w:hint="eastAsia" w:ascii="仿宋_GB2312" w:hAnsi="Times New Roman" w:cs="Times New Roman"/>
          <w:b/>
          <w:bCs/>
          <w:sz w:val="24"/>
          <w:szCs w:val="24"/>
          <w:highlight w:val="none"/>
          <w:lang w:val="en-US" w:eastAsia="zh-CN"/>
        </w:rPr>
        <w:t>（</w:t>
      </w:r>
      <w:r>
        <w:rPr>
          <w:rFonts w:hint="eastAsia" w:ascii="仿宋_GB2312" w:cs="Times New Roman"/>
          <w:b/>
          <w:bCs/>
          <w:sz w:val="24"/>
          <w:szCs w:val="24"/>
          <w:highlight w:val="none"/>
          <w:lang w:val="en-US" w:eastAsia="zh-CN"/>
        </w:rPr>
        <w:t>四</w:t>
      </w:r>
      <w:r>
        <w:rPr>
          <w:rFonts w:hint="eastAsia" w:ascii="仿宋_GB2312" w:hAnsi="Times New Roman" w:cs="Times New Roman"/>
          <w:b/>
          <w:bCs/>
          <w:sz w:val="24"/>
          <w:szCs w:val="24"/>
          <w:highlight w:val="none"/>
          <w:lang w:val="en-US" w:eastAsia="zh-CN"/>
        </w:rPr>
        <w:t>）</w:t>
      </w:r>
      <w:r>
        <w:rPr>
          <w:rFonts w:hint="eastAsia" w:hAnsi="宋体" w:cs="宋体"/>
          <w:b/>
          <w:bCs/>
          <w:sz w:val="24"/>
          <w:szCs w:val="24"/>
          <w:highlight w:val="none"/>
          <w:lang w:val="en-US" w:eastAsia="zh-CN"/>
        </w:rPr>
        <w:t>修订完善管理制度，动态优化制度内容</w:t>
      </w:r>
    </w:p>
    <w:p w14:paraId="5B078EF5">
      <w:pPr>
        <w:pStyle w:val="19"/>
        <w:spacing w:line="360" w:lineRule="auto"/>
        <w:outlineLvl w:val="9"/>
        <w:rPr>
          <w:rFonts w:hint="eastAsia" w:hAnsi="宋体" w:cs="宋体"/>
          <w:sz w:val="24"/>
          <w:szCs w:val="24"/>
          <w:highlight w:val="none"/>
          <w:lang w:val="en-US" w:eastAsia="zh-CN"/>
        </w:rPr>
      </w:pPr>
      <w:r>
        <w:rPr>
          <w:rFonts w:hint="eastAsia" w:hAnsi="宋体" w:cs="宋体"/>
          <w:sz w:val="24"/>
          <w:szCs w:val="24"/>
          <w:highlight w:val="none"/>
          <w:lang w:val="en-US" w:eastAsia="zh-CN"/>
        </w:rPr>
        <w:t>业务管理制度的制定应避免条款模糊，易引发执行偏差，应组织业务、财务、风控等部门联合修订《内部管理制度》，细化审批步骤、责任部门、时限要求等节点流程，增强实操性。每季度组织制度执行情况评估，根据项目进展动态优化制度内容，确保制度与业务同步。</w:t>
      </w:r>
    </w:p>
    <w:p w14:paraId="67A5E10C">
      <w:pPr>
        <w:pStyle w:val="19"/>
        <w:spacing w:line="360" w:lineRule="auto"/>
        <w:outlineLvl w:val="9"/>
        <w:rPr>
          <w:rFonts w:hint="default" w:hAnsi="宋体" w:cs="宋体"/>
          <w:b/>
          <w:bCs/>
          <w:sz w:val="24"/>
          <w:szCs w:val="24"/>
          <w:highlight w:val="none"/>
          <w:lang w:val="en-US" w:eastAsia="zh-CN"/>
        </w:rPr>
      </w:pPr>
      <w:r>
        <w:rPr>
          <w:rFonts w:hint="eastAsia" w:hAnsi="宋体" w:cs="宋体"/>
          <w:b/>
          <w:bCs/>
          <w:sz w:val="24"/>
          <w:szCs w:val="24"/>
          <w:highlight w:val="none"/>
          <w:lang w:val="en-US" w:eastAsia="zh-CN"/>
        </w:rPr>
        <w:t>（五）制定资金筹措实施方案，积极争取外部支持</w:t>
      </w:r>
    </w:p>
    <w:p w14:paraId="4FBA39DA">
      <w:pPr>
        <w:pStyle w:val="19"/>
        <w:spacing w:line="360" w:lineRule="auto"/>
        <w:outlineLvl w:val="9"/>
        <w:rPr>
          <w:rFonts w:hint="eastAsia" w:hAnsi="宋体" w:cs="宋体"/>
          <w:sz w:val="24"/>
          <w:szCs w:val="24"/>
          <w:highlight w:val="none"/>
          <w:lang w:val="en-US" w:eastAsia="zh-CN"/>
        </w:rPr>
      </w:pPr>
      <w:r>
        <w:rPr>
          <w:rFonts w:hint="eastAsia" w:hAnsi="宋体" w:cs="宋体"/>
          <w:sz w:val="24"/>
          <w:szCs w:val="24"/>
          <w:highlight w:val="none"/>
          <w:lang w:val="en-US" w:eastAsia="zh-CN"/>
        </w:rPr>
        <w:t>工作组建议由主管部门牵头，明确该项目自筹资金的具体来源，各渠道的到账时间表及责任部门，尽快形成可执行的筹措计划。每月由财务部门与施工部门根据实际施工进度联合测算资金需求，对比已到位资金与缺口，及时调整施工计划或加速筹措。建议业主单位加大协调力度，统筹调度各方资源，主动对接地方政府及金融机构，申请渔港建设专项扶持资金或低息贷款，补充自筹资金缺口，同时探索社会资本参与模式，拓宽筹资渠道。</w:t>
      </w:r>
    </w:p>
    <w:p w14:paraId="3F491E6F">
      <w:pPr>
        <w:pStyle w:val="6"/>
        <w:spacing w:line="360" w:lineRule="auto"/>
        <w:ind w:firstLine="480" w:firstLineChars="200"/>
        <w:rPr>
          <w:rFonts w:hint="eastAsia" w:hAnsi="宋体"/>
          <w:sz w:val="24"/>
          <w:highlight w:val="none"/>
          <w:lang w:val="en-US" w:eastAsia="zh-CN"/>
        </w:rPr>
      </w:pPr>
    </w:p>
    <w:p w14:paraId="2EF5F0BC">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textAlignment w:val="auto"/>
        <w:rPr>
          <w:rFonts w:hint="eastAsia" w:ascii="仿宋_GB2312" w:cs="Times New Roman"/>
          <w:kern w:val="2"/>
          <w:sz w:val="24"/>
          <w:szCs w:val="24"/>
          <w:lang w:val="en-US" w:eastAsia="zh-CN" w:bidi="ar-SA"/>
        </w:rPr>
      </w:pPr>
    </w:p>
    <w:p w14:paraId="6605F949">
      <w:pPr>
        <w:jc w:val="left"/>
        <w:rPr>
          <w:sz w:val="30"/>
          <w:szCs w:val="30"/>
        </w:rPr>
      </w:pPr>
    </w:p>
    <w:p w14:paraId="0CB76E9D">
      <w:pPr>
        <w:jc w:val="left"/>
        <w:rPr>
          <w:sz w:val="30"/>
          <w:szCs w:val="30"/>
        </w:rPr>
      </w:pPr>
    </w:p>
    <w:p w14:paraId="1666F2A3">
      <w:pPr>
        <w:jc w:val="left"/>
        <w:rPr>
          <w:sz w:val="30"/>
          <w:szCs w:val="30"/>
        </w:rPr>
      </w:pPr>
    </w:p>
    <w:p w14:paraId="098BCF60">
      <w:pPr>
        <w:jc w:val="left"/>
        <w:rPr>
          <w:sz w:val="30"/>
          <w:szCs w:val="30"/>
        </w:rPr>
      </w:pPr>
    </w:p>
    <w:p w14:paraId="5A648F9A">
      <w:pPr>
        <w:jc w:val="left"/>
        <w:rPr>
          <w:sz w:val="30"/>
          <w:szCs w:val="30"/>
        </w:rPr>
      </w:pPr>
    </w:p>
    <w:p w14:paraId="78F82CB1">
      <w:pPr>
        <w:jc w:val="left"/>
        <w:rPr>
          <w:sz w:val="30"/>
          <w:szCs w:val="30"/>
        </w:rPr>
      </w:pPr>
    </w:p>
    <w:p w14:paraId="0561BC0D">
      <w:pPr>
        <w:jc w:val="left"/>
        <w:rPr>
          <w:sz w:val="30"/>
          <w:szCs w:val="30"/>
        </w:rPr>
      </w:pPr>
    </w:p>
    <w:p w14:paraId="25FCAE50">
      <w:pPr>
        <w:jc w:val="left"/>
        <w:rPr>
          <w:sz w:val="30"/>
          <w:szCs w:val="30"/>
        </w:rPr>
      </w:pPr>
    </w:p>
    <w:sdt>
      <w:sdtPr>
        <w:rPr>
          <w:rFonts w:ascii="宋体" w:hAnsi="宋体" w:eastAsia="宋体" w:cs="Times New Roman"/>
          <w:kern w:val="2"/>
          <w:sz w:val="22"/>
          <w:szCs w:val="28"/>
          <w:lang w:val="en-US" w:eastAsia="zh-CN" w:bidi="ar-SA"/>
        </w:rPr>
        <w:id w:val="147482849"/>
        <w15:color w:val="DBDBDB"/>
        <w:docPartObj>
          <w:docPartGallery w:val="Table of Contents"/>
          <w:docPartUnique/>
        </w:docPartObj>
      </w:sdtPr>
      <w:sdtEndPr>
        <w:rPr>
          <w:rFonts w:hint="default" w:ascii="Times New Roman" w:hAnsi="Times New Roman" w:eastAsia="仿宋_GB2312" w:cs="Times New Roman"/>
          <w:b/>
          <w:kern w:val="2"/>
          <w:sz w:val="30"/>
          <w:szCs w:val="24"/>
          <w:lang w:val="en-US" w:eastAsia="zh-CN" w:bidi="ar-SA"/>
        </w:rPr>
      </w:sdtEndPr>
      <w:sdtContent>
        <w:p w14:paraId="1E50B506">
          <w:pPr>
            <w:spacing w:before="0" w:beforeLines="0" w:after="0" w:afterLines="0" w:line="240" w:lineRule="auto"/>
            <w:ind w:left="0" w:leftChars="0" w:right="0" w:rightChars="0" w:firstLine="0" w:firstLineChars="0"/>
            <w:jc w:val="center"/>
            <w:rPr>
              <w:rFonts w:ascii="宋体" w:hAnsi="宋体" w:eastAsia="宋体"/>
              <w:sz w:val="22"/>
              <w:szCs w:val="28"/>
              <w:highlight w:val="none"/>
            </w:rPr>
          </w:pPr>
          <w:r>
            <w:rPr>
              <w:rFonts w:hint="eastAsia" w:ascii="仿宋" w:hAnsi="仿宋" w:eastAsia="仿宋" w:cs="仿宋"/>
              <w:b/>
              <w:bCs/>
              <w:sz w:val="32"/>
              <w:szCs w:val="32"/>
              <w:highlight w:val="none"/>
            </w:rPr>
            <w:t>目</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录</w:t>
          </w:r>
        </w:p>
        <w:p w14:paraId="13748305">
          <w:pPr>
            <w:pStyle w:val="3"/>
          </w:pPr>
        </w:p>
        <w:p w14:paraId="78D7FA96">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4"/>
              <w:lang w:val="en-US" w:eastAsia="zh-CN"/>
            </w:rPr>
            <w:fldChar w:fldCharType="begin"/>
          </w:r>
          <w:r>
            <w:rPr>
              <w:rFonts w:hint="eastAsia" w:ascii="仿宋" w:hAnsi="仿宋" w:eastAsia="仿宋" w:cs="仿宋"/>
              <w:sz w:val="24"/>
              <w:szCs w:val="24"/>
              <w:lang w:val="en-US" w:eastAsia="zh-CN"/>
            </w:rPr>
            <w:instrText xml:space="preserve">TOC \o "1-2" \h \u </w:instrText>
          </w:r>
          <w:r>
            <w:rPr>
              <w:rFonts w:hint="eastAsia" w:ascii="仿宋" w:hAnsi="仿宋" w:eastAsia="仿宋" w:cs="仿宋"/>
              <w:sz w:val="24"/>
              <w:szCs w:val="24"/>
              <w:lang w:val="en-US" w:eastAsia="zh-CN"/>
            </w:rPr>
            <w:fldChar w:fldCharType="separate"/>
          </w: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_Toc6042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rPr>
            <w:t>一、基本情况</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_Toc6042 \h </w:instrText>
          </w:r>
          <w:r>
            <w:rPr>
              <w:rFonts w:hint="eastAsia" w:ascii="仿宋" w:hAnsi="仿宋" w:eastAsia="仿宋" w:cs="仿宋"/>
              <w:sz w:val="24"/>
              <w:szCs w:val="21"/>
            </w:rPr>
            <w:fldChar w:fldCharType="separate"/>
          </w:r>
          <w:r>
            <w:rPr>
              <w:rFonts w:hint="eastAsia" w:ascii="仿宋" w:hAnsi="仿宋" w:eastAsia="仿宋" w:cs="仿宋"/>
              <w:sz w:val="24"/>
              <w:szCs w:val="21"/>
            </w:rPr>
            <w:t>1</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187B8DD6">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_Toc14146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rPr>
            <w:t>（一）项目概况</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_Toc14146 \h </w:instrText>
          </w:r>
          <w:r>
            <w:rPr>
              <w:rFonts w:hint="eastAsia" w:ascii="仿宋" w:hAnsi="仿宋" w:eastAsia="仿宋" w:cs="仿宋"/>
              <w:sz w:val="24"/>
              <w:szCs w:val="21"/>
            </w:rPr>
            <w:fldChar w:fldCharType="separate"/>
          </w:r>
          <w:r>
            <w:rPr>
              <w:rFonts w:hint="eastAsia" w:ascii="仿宋" w:hAnsi="仿宋" w:eastAsia="仿宋" w:cs="仿宋"/>
              <w:sz w:val="24"/>
              <w:szCs w:val="21"/>
            </w:rPr>
            <w:t>1</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73D4B510">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_Toc26081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rPr>
            <w:t>（二）项目绩效目标</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_Toc26081 \h </w:instrText>
          </w:r>
          <w:r>
            <w:rPr>
              <w:rFonts w:hint="eastAsia" w:ascii="仿宋" w:hAnsi="仿宋" w:eastAsia="仿宋" w:cs="仿宋"/>
              <w:sz w:val="24"/>
              <w:szCs w:val="21"/>
            </w:rPr>
            <w:fldChar w:fldCharType="separate"/>
          </w:r>
          <w:r>
            <w:rPr>
              <w:rFonts w:hint="eastAsia" w:ascii="仿宋" w:hAnsi="仿宋" w:eastAsia="仿宋" w:cs="仿宋"/>
              <w:sz w:val="24"/>
              <w:szCs w:val="21"/>
            </w:rPr>
            <w:t>3</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47D88D6B">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_Toc16432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rPr>
            <w:t>二、绩效评价工作开展情况</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_Toc16432 \h </w:instrText>
          </w:r>
          <w:r>
            <w:rPr>
              <w:rFonts w:hint="eastAsia" w:ascii="仿宋" w:hAnsi="仿宋" w:eastAsia="仿宋" w:cs="仿宋"/>
              <w:sz w:val="24"/>
              <w:szCs w:val="21"/>
            </w:rPr>
            <w:fldChar w:fldCharType="separate"/>
          </w:r>
          <w:r>
            <w:rPr>
              <w:rFonts w:hint="eastAsia" w:ascii="仿宋" w:hAnsi="仿宋" w:eastAsia="仿宋" w:cs="仿宋"/>
              <w:sz w:val="24"/>
              <w:szCs w:val="21"/>
            </w:rPr>
            <w:t>3</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34217968">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_Toc4593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rPr>
            <w:t>（一）绩效评价目的、对象和范围</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_Toc4593 \h </w:instrText>
          </w:r>
          <w:r>
            <w:rPr>
              <w:rFonts w:hint="eastAsia" w:ascii="仿宋" w:hAnsi="仿宋" w:eastAsia="仿宋" w:cs="仿宋"/>
              <w:sz w:val="24"/>
              <w:szCs w:val="21"/>
            </w:rPr>
            <w:fldChar w:fldCharType="separate"/>
          </w:r>
          <w:r>
            <w:rPr>
              <w:rFonts w:hint="eastAsia" w:ascii="仿宋" w:hAnsi="仿宋" w:eastAsia="仿宋" w:cs="仿宋"/>
              <w:sz w:val="24"/>
              <w:szCs w:val="21"/>
            </w:rPr>
            <w:t>4</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5D2BFA50">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_Toc273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rPr>
            <w:t>（二）绩效评价原则</w:t>
          </w:r>
          <w:r>
            <w:rPr>
              <w:rFonts w:hint="eastAsia" w:ascii="仿宋" w:hAnsi="仿宋" w:eastAsia="仿宋" w:cs="仿宋"/>
              <w:sz w:val="24"/>
              <w:szCs w:val="21"/>
            </w:rPr>
            <w:t>、</w:t>
          </w:r>
          <w:r>
            <w:rPr>
              <w:rFonts w:hint="eastAsia" w:ascii="仿宋" w:hAnsi="仿宋" w:eastAsia="仿宋" w:cs="仿宋"/>
              <w:bCs/>
              <w:sz w:val="24"/>
              <w:szCs w:val="21"/>
            </w:rPr>
            <w:t>评价指标体系、评价方法、评价标准</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_Toc273 \h </w:instrText>
          </w:r>
          <w:r>
            <w:rPr>
              <w:rFonts w:hint="eastAsia" w:ascii="仿宋" w:hAnsi="仿宋" w:eastAsia="仿宋" w:cs="仿宋"/>
              <w:sz w:val="24"/>
              <w:szCs w:val="21"/>
            </w:rPr>
            <w:fldChar w:fldCharType="separate"/>
          </w:r>
          <w:r>
            <w:rPr>
              <w:rFonts w:hint="eastAsia" w:ascii="仿宋" w:hAnsi="仿宋" w:eastAsia="仿宋" w:cs="仿宋"/>
              <w:sz w:val="24"/>
              <w:szCs w:val="21"/>
            </w:rPr>
            <w:t>4</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7A8EC012">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_Toc13110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rPr>
            <w:t>（三）绩效评价工作过程</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_Toc13110 \h </w:instrText>
          </w:r>
          <w:r>
            <w:rPr>
              <w:rFonts w:hint="eastAsia" w:ascii="仿宋" w:hAnsi="仿宋" w:eastAsia="仿宋" w:cs="仿宋"/>
              <w:sz w:val="24"/>
              <w:szCs w:val="21"/>
            </w:rPr>
            <w:fldChar w:fldCharType="separate"/>
          </w:r>
          <w:r>
            <w:rPr>
              <w:rFonts w:hint="eastAsia" w:ascii="仿宋" w:hAnsi="仿宋" w:eastAsia="仿宋" w:cs="仿宋"/>
              <w:sz w:val="24"/>
              <w:szCs w:val="21"/>
            </w:rPr>
            <w:t>7</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19036CF7">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_Toc22566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rPr>
            <w:t>三、综合评价情况及评价结论</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_Toc22566 \h </w:instrText>
          </w:r>
          <w:r>
            <w:rPr>
              <w:rFonts w:hint="eastAsia" w:ascii="仿宋" w:hAnsi="仿宋" w:eastAsia="仿宋" w:cs="仿宋"/>
              <w:sz w:val="24"/>
              <w:szCs w:val="21"/>
            </w:rPr>
            <w:fldChar w:fldCharType="separate"/>
          </w:r>
          <w:r>
            <w:rPr>
              <w:rFonts w:hint="eastAsia" w:ascii="仿宋" w:hAnsi="仿宋" w:eastAsia="仿宋" w:cs="仿宋"/>
              <w:sz w:val="24"/>
              <w:szCs w:val="21"/>
            </w:rPr>
            <w:t>7</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606B6C03">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_Toc18793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rPr>
            <w:t>四、绩效评价指标分析</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_Toc18793 \h </w:instrText>
          </w:r>
          <w:r>
            <w:rPr>
              <w:rFonts w:hint="eastAsia" w:ascii="仿宋" w:hAnsi="仿宋" w:eastAsia="仿宋" w:cs="仿宋"/>
              <w:sz w:val="24"/>
              <w:szCs w:val="21"/>
            </w:rPr>
            <w:fldChar w:fldCharType="separate"/>
          </w:r>
          <w:r>
            <w:rPr>
              <w:rFonts w:hint="eastAsia" w:ascii="仿宋" w:hAnsi="仿宋" w:eastAsia="仿宋" w:cs="仿宋"/>
              <w:sz w:val="24"/>
              <w:szCs w:val="21"/>
            </w:rPr>
            <w:t>8</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2E19582B">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_Toc24279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rPr>
            <w:t>（一）项目决策情况</w:t>
          </w:r>
          <w:r>
            <w:rPr>
              <w:rFonts w:hint="eastAsia" w:ascii="仿宋" w:hAnsi="仿宋" w:eastAsia="仿宋" w:cs="仿宋"/>
              <w:bCs/>
              <w:sz w:val="24"/>
              <w:szCs w:val="21"/>
              <w:lang w:val="en-US" w:eastAsia="zh-CN"/>
            </w:rPr>
            <w:t>（分值20分</w:t>
          </w:r>
          <w:r>
            <w:rPr>
              <w:rFonts w:hint="eastAsia" w:ascii="仿宋" w:hAnsi="仿宋" w:eastAsia="仿宋" w:cs="仿宋"/>
              <w:bCs/>
              <w:sz w:val="24"/>
              <w:szCs w:val="21"/>
              <w:highlight w:val="none"/>
              <w:lang w:val="en-US" w:eastAsia="zh-CN"/>
            </w:rPr>
            <w:t>，得18分）</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_Toc24279 \h </w:instrText>
          </w:r>
          <w:r>
            <w:rPr>
              <w:rFonts w:hint="eastAsia" w:ascii="仿宋" w:hAnsi="仿宋" w:eastAsia="仿宋" w:cs="仿宋"/>
              <w:sz w:val="24"/>
              <w:szCs w:val="21"/>
            </w:rPr>
            <w:fldChar w:fldCharType="separate"/>
          </w:r>
          <w:r>
            <w:rPr>
              <w:rFonts w:hint="eastAsia" w:ascii="仿宋" w:hAnsi="仿宋" w:eastAsia="仿宋" w:cs="仿宋"/>
              <w:sz w:val="24"/>
              <w:szCs w:val="21"/>
            </w:rPr>
            <w:t>8</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6B75DD42">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_Toc1695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highlight w:val="none"/>
            </w:rPr>
            <w:t>（二）项目过程情况</w:t>
          </w:r>
          <w:r>
            <w:rPr>
              <w:rFonts w:hint="eastAsia" w:ascii="仿宋" w:hAnsi="仿宋" w:eastAsia="仿宋" w:cs="仿宋"/>
              <w:bCs/>
              <w:sz w:val="24"/>
              <w:szCs w:val="21"/>
              <w:highlight w:val="none"/>
              <w:lang w:val="en-US" w:eastAsia="zh-CN"/>
            </w:rPr>
            <w:t>（分值20分，得17.27分）</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_Toc1695 \h </w:instrText>
          </w:r>
          <w:r>
            <w:rPr>
              <w:rFonts w:hint="eastAsia" w:ascii="仿宋" w:hAnsi="仿宋" w:eastAsia="仿宋" w:cs="仿宋"/>
              <w:sz w:val="24"/>
              <w:szCs w:val="21"/>
            </w:rPr>
            <w:fldChar w:fldCharType="separate"/>
          </w:r>
          <w:r>
            <w:rPr>
              <w:rFonts w:hint="eastAsia" w:ascii="仿宋" w:hAnsi="仿宋" w:eastAsia="仿宋" w:cs="仿宋"/>
              <w:sz w:val="24"/>
              <w:szCs w:val="21"/>
            </w:rPr>
            <w:t>11</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768EDD6B">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_Toc11269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highlight w:val="none"/>
            </w:rPr>
            <w:t>（三）项目产出情况</w:t>
          </w:r>
          <w:r>
            <w:rPr>
              <w:rFonts w:hint="eastAsia" w:ascii="仿宋" w:hAnsi="仿宋" w:eastAsia="仿宋" w:cs="仿宋"/>
              <w:bCs/>
              <w:sz w:val="24"/>
              <w:szCs w:val="21"/>
              <w:highlight w:val="none"/>
              <w:lang w:val="en-US" w:eastAsia="zh-CN"/>
            </w:rPr>
            <w:t>（分值30分，得20.77分）</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_Toc11269 \h </w:instrText>
          </w:r>
          <w:r>
            <w:rPr>
              <w:rFonts w:hint="eastAsia" w:ascii="仿宋" w:hAnsi="仿宋" w:eastAsia="仿宋" w:cs="仿宋"/>
              <w:sz w:val="24"/>
              <w:szCs w:val="21"/>
            </w:rPr>
            <w:fldChar w:fldCharType="separate"/>
          </w:r>
          <w:r>
            <w:rPr>
              <w:rFonts w:hint="eastAsia" w:ascii="仿宋" w:hAnsi="仿宋" w:eastAsia="仿宋" w:cs="仿宋"/>
              <w:sz w:val="24"/>
              <w:szCs w:val="21"/>
            </w:rPr>
            <w:t>12</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7AFA65E2">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_Toc9927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highlight w:val="none"/>
            </w:rPr>
            <w:t>（四）项目效益情况</w:t>
          </w:r>
          <w:r>
            <w:rPr>
              <w:rFonts w:hint="eastAsia" w:ascii="仿宋" w:hAnsi="仿宋" w:eastAsia="仿宋" w:cs="仿宋"/>
              <w:bCs/>
              <w:sz w:val="24"/>
              <w:szCs w:val="21"/>
              <w:highlight w:val="none"/>
              <w:lang w:val="en-US" w:eastAsia="zh-CN"/>
            </w:rPr>
            <w:t>（分值30分，得29分）</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_Toc9927 \h </w:instrText>
          </w:r>
          <w:r>
            <w:rPr>
              <w:rFonts w:hint="eastAsia" w:ascii="仿宋" w:hAnsi="仿宋" w:eastAsia="仿宋" w:cs="仿宋"/>
              <w:sz w:val="24"/>
              <w:szCs w:val="21"/>
            </w:rPr>
            <w:fldChar w:fldCharType="separate"/>
          </w:r>
          <w:r>
            <w:rPr>
              <w:rFonts w:hint="eastAsia" w:ascii="仿宋" w:hAnsi="仿宋" w:eastAsia="仿宋" w:cs="仿宋"/>
              <w:sz w:val="24"/>
              <w:szCs w:val="21"/>
            </w:rPr>
            <w:t>13</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0AAD6E58">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_Toc29204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rPr>
            <w:t>五、</w:t>
          </w:r>
          <w:r>
            <w:rPr>
              <w:rFonts w:hint="eastAsia" w:ascii="仿宋" w:hAnsi="仿宋" w:eastAsia="仿宋" w:cs="仿宋"/>
              <w:bCs/>
              <w:sz w:val="24"/>
              <w:szCs w:val="22"/>
              <w:lang w:val="en-US" w:eastAsia="zh-CN"/>
            </w:rPr>
            <w:t>主要经验及做法、</w:t>
          </w:r>
          <w:r>
            <w:rPr>
              <w:rFonts w:hint="eastAsia" w:ascii="仿宋" w:hAnsi="仿宋" w:eastAsia="仿宋" w:cs="仿宋"/>
              <w:bCs/>
              <w:sz w:val="24"/>
              <w:szCs w:val="22"/>
            </w:rPr>
            <w:t>存在的问题及原因分析</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_Toc29204 \h </w:instrText>
          </w:r>
          <w:r>
            <w:rPr>
              <w:rFonts w:hint="eastAsia" w:ascii="仿宋" w:hAnsi="仿宋" w:eastAsia="仿宋" w:cs="仿宋"/>
              <w:sz w:val="24"/>
              <w:szCs w:val="21"/>
            </w:rPr>
            <w:fldChar w:fldCharType="separate"/>
          </w:r>
          <w:r>
            <w:rPr>
              <w:rFonts w:hint="eastAsia" w:ascii="仿宋" w:hAnsi="仿宋" w:eastAsia="仿宋" w:cs="仿宋"/>
              <w:sz w:val="24"/>
              <w:szCs w:val="21"/>
            </w:rPr>
            <w:t>15</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5B1DE166">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_Toc10277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lang w:val="en-US" w:eastAsia="zh-CN"/>
            </w:rPr>
            <w:t>（一）主要经验及做法</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_Toc10277 \h </w:instrText>
          </w:r>
          <w:r>
            <w:rPr>
              <w:rFonts w:hint="eastAsia" w:ascii="仿宋" w:hAnsi="仿宋" w:eastAsia="仿宋" w:cs="仿宋"/>
              <w:sz w:val="24"/>
              <w:szCs w:val="21"/>
            </w:rPr>
            <w:fldChar w:fldCharType="separate"/>
          </w:r>
          <w:r>
            <w:rPr>
              <w:rFonts w:hint="eastAsia" w:ascii="仿宋" w:hAnsi="仿宋" w:eastAsia="仿宋" w:cs="仿宋"/>
              <w:sz w:val="24"/>
              <w:szCs w:val="21"/>
            </w:rPr>
            <w:t>15</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5254EF09">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_Toc7676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lang w:val="en-US" w:eastAsia="zh-CN"/>
            </w:rPr>
            <w:t>（二）存在的问题及原因分析</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_Toc7676 \h </w:instrText>
          </w:r>
          <w:r>
            <w:rPr>
              <w:rFonts w:hint="eastAsia" w:ascii="仿宋" w:hAnsi="仿宋" w:eastAsia="仿宋" w:cs="仿宋"/>
              <w:sz w:val="24"/>
              <w:szCs w:val="21"/>
            </w:rPr>
            <w:fldChar w:fldCharType="separate"/>
          </w:r>
          <w:r>
            <w:rPr>
              <w:rFonts w:hint="eastAsia" w:ascii="仿宋" w:hAnsi="仿宋" w:eastAsia="仿宋" w:cs="仿宋"/>
              <w:sz w:val="24"/>
              <w:szCs w:val="21"/>
            </w:rPr>
            <w:t>16</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35F96FD0">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_Toc5255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rPr>
            <w:t>六、有关建议</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_Toc5255 \h </w:instrText>
          </w:r>
          <w:r>
            <w:rPr>
              <w:rFonts w:hint="eastAsia" w:ascii="仿宋" w:hAnsi="仿宋" w:eastAsia="仿宋" w:cs="仿宋"/>
              <w:sz w:val="24"/>
              <w:szCs w:val="21"/>
            </w:rPr>
            <w:fldChar w:fldCharType="separate"/>
          </w:r>
          <w:r>
            <w:rPr>
              <w:rFonts w:hint="eastAsia" w:ascii="仿宋" w:hAnsi="仿宋" w:eastAsia="仿宋" w:cs="仿宋"/>
              <w:sz w:val="24"/>
              <w:szCs w:val="21"/>
            </w:rPr>
            <w:t>18</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114C30DF">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_Toc2082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lang w:val="en-US" w:eastAsia="zh-CN"/>
            </w:rPr>
            <w:t>（一）规范绩效指标设置</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_Toc2082 \h </w:instrText>
          </w:r>
          <w:r>
            <w:rPr>
              <w:rFonts w:hint="eastAsia" w:ascii="仿宋" w:hAnsi="仿宋" w:eastAsia="仿宋" w:cs="仿宋"/>
              <w:sz w:val="24"/>
              <w:szCs w:val="21"/>
            </w:rPr>
            <w:fldChar w:fldCharType="separate"/>
          </w:r>
          <w:r>
            <w:rPr>
              <w:rFonts w:hint="eastAsia" w:ascii="仿宋" w:hAnsi="仿宋" w:eastAsia="仿宋" w:cs="仿宋"/>
              <w:sz w:val="24"/>
              <w:szCs w:val="21"/>
            </w:rPr>
            <w:t>18</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14D653FB">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_Toc18764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lang w:val="en-US" w:eastAsia="zh-CN"/>
            </w:rPr>
            <w:t>（二）强化前期调研深度，扎实做好可行性报告研究</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_Toc18764 \h </w:instrText>
          </w:r>
          <w:r>
            <w:rPr>
              <w:rFonts w:hint="eastAsia" w:ascii="仿宋" w:hAnsi="仿宋" w:eastAsia="仿宋" w:cs="仿宋"/>
              <w:sz w:val="24"/>
              <w:szCs w:val="21"/>
            </w:rPr>
            <w:fldChar w:fldCharType="separate"/>
          </w:r>
          <w:r>
            <w:rPr>
              <w:rFonts w:hint="eastAsia" w:ascii="仿宋" w:hAnsi="仿宋" w:eastAsia="仿宋" w:cs="仿宋"/>
              <w:sz w:val="24"/>
              <w:szCs w:val="21"/>
            </w:rPr>
            <w:t>18</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2F1C07E1">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_Toc3278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lang w:val="en-US" w:eastAsia="zh-CN"/>
            </w:rPr>
            <w:t>（三）强化合规意识及协同机制，完善内部监督与问责</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_Toc3278 \h </w:instrText>
          </w:r>
          <w:r>
            <w:rPr>
              <w:rFonts w:hint="eastAsia" w:ascii="仿宋" w:hAnsi="仿宋" w:eastAsia="仿宋" w:cs="仿宋"/>
              <w:sz w:val="24"/>
              <w:szCs w:val="21"/>
            </w:rPr>
            <w:fldChar w:fldCharType="separate"/>
          </w:r>
          <w:r>
            <w:rPr>
              <w:rFonts w:hint="eastAsia" w:ascii="仿宋" w:hAnsi="仿宋" w:eastAsia="仿宋" w:cs="仿宋"/>
              <w:sz w:val="24"/>
              <w:szCs w:val="21"/>
            </w:rPr>
            <w:t>19</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0FD17096">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_Toc23668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highlight w:val="none"/>
              <w:lang w:val="en-US" w:eastAsia="zh-CN"/>
            </w:rPr>
            <w:t>（四）修订完善管理制度，动态优化制度内容</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_Toc23668 \h </w:instrText>
          </w:r>
          <w:r>
            <w:rPr>
              <w:rFonts w:hint="eastAsia" w:ascii="仿宋" w:hAnsi="仿宋" w:eastAsia="仿宋" w:cs="仿宋"/>
              <w:sz w:val="24"/>
              <w:szCs w:val="21"/>
            </w:rPr>
            <w:fldChar w:fldCharType="separate"/>
          </w:r>
          <w:r>
            <w:rPr>
              <w:rFonts w:hint="eastAsia" w:ascii="仿宋" w:hAnsi="仿宋" w:eastAsia="仿宋" w:cs="仿宋"/>
              <w:sz w:val="24"/>
              <w:szCs w:val="21"/>
            </w:rPr>
            <w:t>19</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64D401EC">
          <w:pPr>
            <w:pStyle w:val="11"/>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_Toc20853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1"/>
              <w:highlight w:val="none"/>
              <w:lang w:val="en-US" w:eastAsia="zh-CN"/>
            </w:rPr>
            <w:t>（五）制定资金筹措实施方案，积极争取外部支持</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_Toc20853 \h </w:instrText>
          </w:r>
          <w:r>
            <w:rPr>
              <w:rFonts w:hint="eastAsia" w:ascii="仿宋" w:hAnsi="仿宋" w:eastAsia="仿宋" w:cs="仿宋"/>
              <w:sz w:val="24"/>
              <w:szCs w:val="21"/>
            </w:rPr>
            <w:fldChar w:fldCharType="separate"/>
          </w:r>
          <w:r>
            <w:rPr>
              <w:rFonts w:hint="eastAsia" w:ascii="仿宋" w:hAnsi="仿宋" w:eastAsia="仿宋" w:cs="仿宋"/>
              <w:sz w:val="24"/>
              <w:szCs w:val="21"/>
            </w:rPr>
            <w:t>19</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2F3E8B84">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_Toc28489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rPr>
            <w:t>七、其他需要说明的问题</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_Toc28489 \h </w:instrText>
          </w:r>
          <w:r>
            <w:rPr>
              <w:rFonts w:hint="eastAsia" w:ascii="仿宋" w:hAnsi="仿宋" w:eastAsia="仿宋" w:cs="仿宋"/>
              <w:sz w:val="24"/>
              <w:szCs w:val="21"/>
            </w:rPr>
            <w:fldChar w:fldCharType="separate"/>
          </w:r>
          <w:r>
            <w:rPr>
              <w:rFonts w:hint="eastAsia" w:ascii="仿宋" w:hAnsi="仿宋" w:eastAsia="仿宋" w:cs="仿宋"/>
              <w:sz w:val="24"/>
              <w:szCs w:val="21"/>
            </w:rPr>
            <w:t>19</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5F060C0C">
          <w:pPr>
            <w:pStyle w:val="9"/>
            <w:tabs>
              <w:tab w:val="right" w:leader="dot" w:pos="9072"/>
            </w:tabs>
            <w:rPr>
              <w:rFonts w:hint="eastAsia" w:ascii="仿宋" w:hAnsi="仿宋" w:eastAsia="仿宋" w:cs="仿宋"/>
              <w:sz w:val="24"/>
              <w:szCs w:val="21"/>
            </w:rPr>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_Toc25907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lang w:val="en-US" w:eastAsia="zh-CN"/>
            </w:rPr>
            <w:t>附表  石狮市渔港建设项目资金(东店一级渔港)支出绩效评价指标表</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_Toc25907 \h </w:instrText>
          </w:r>
          <w:r>
            <w:rPr>
              <w:rFonts w:hint="eastAsia" w:ascii="仿宋" w:hAnsi="仿宋" w:eastAsia="仿宋" w:cs="仿宋"/>
              <w:sz w:val="24"/>
              <w:szCs w:val="21"/>
            </w:rPr>
            <w:fldChar w:fldCharType="separate"/>
          </w:r>
          <w:r>
            <w:rPr>
              <w:rFonts w:hint="eastAsia" w:ascii="仿宋" w:hAnsi="仿宋" w:eastAsia="仿宋" w:cs="仿宋"/>
              <w:sz w:val="24"/>
              <w:szCs w:val="21"/>
            </w:rPr>
            <w:t>21</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1170B7C8">
          <w:pPr>
            <w:pStyle w:val="9"/>
            <w:tabs>
              <w:tab w:val="right" w:leader="dot" w:pos="9072"/>
            </w:tabs>
          </w:pPr>
          <w:r>
            <w:rPr>
              <w:rFonts w:hint="eastAsia" w:ascii="仿宋" w:hAnsi="仿宋" w:eastAsia="仿宋" w:cs="仿宋"/>
              <w:sz w:val="24"/>
              <w:szCs w:val="21"/>
              <w:lang w:val="en-US" w:eastAsia="zh-CN"/>
            </w:rPr>
            <w:fldChar w:fldCharType="begin"/>
          </w:r>
          <w:r>
            <w:rPr>
              <w:rFonts w:hint="eastAsia" w:ascii="仿宋" w:hAnsi="仿宋" w:eastAsia="仿宋" w:cs="仿宋"/>
              <w:sz w:val="24"/>
              <w:szCs w:val="21"/>
              <w:lang w:val="en-US" w:eastAsia="zh-CN"/>
            </w:rPr>
            <w:instrText xml:space="preserve"> HYPERLINK \l _Toc885 </w:instrText>
          </w:r>
          <w:r>
            <w:rPr>
              <w:rFonts w:hint="eastAsia" w:ascii="仿宋" w:hAnsi="仿宋" w:eastAsia="仿宋" w:cs="仿宋"/>
              <w:sz w:val="24"/>
              <w:szCs w:val="21"/>
              <w:lang w:val="en-US" w:eastAsia="zh-CN"/>
            </w:rPr>
            <w:fldChar w:fldCharType="separate"/>
          </w:r>
          <w:r>
            <w:rPr>
              <w:rFonts w:hint="eastAsia" w:ascii="仿宋" w:hAnsi="仿宋" w:eastAsia="仿宋" w:cs="仿宋"/>
              <w:bCs/>
              <w:sz w:val="24"/>
              <w:szCs w:val="22"/>
              <w:lang w:val="en-US" w:eastAsia="zh-CN"/>
            </w:rPr>
            <w:t>附录  石狮市锦尚东店一级渔港工程项目满意度问卷调查分析</w:t>
          </w:r>
          <w:r>
            <w:rPr>
              <w:rFonts w:hint="eastAsia" w:ascii="仿宋" w:hAnsi="仿宋" w:eastAsia="仿宋" w:cs="仿宋"/>
              <w:sz w:val="24"/>
              <w:szCs w:val="21"/>
            </w:rPr>
            <w:tab/>
          </w:r>
          <w:r>
            <w:rPr>
              <w:rFonts w:hint="eastAsia" w:ascii="仿宋" w:hAnsi="仿宋" w:eastAsia="仿宋" w:cs="仿宋"/>
              <w:sz w:val="24"/>
              <w:szCs w:val="21"/>
            </w:rPr>
            <w:fldChar w:fldCharType="begin"/>
          </w:r>
          <w:r>
            <w:rPr>
              <w:rFonts w:hint="eastAsia" w:ascii="仿宋" w:hAnsi="仿宋" w:eastAsia="仿宋" w:cs="仿宋"/>
              <w:sz w:val="24"/>
              <w:szCs w:val="21"/>
            </w:rPr>
            <w:instrText xml:space="preserve"> PAGEREF _Toc885 \h </w:instrText>
          </w:r>
          <w:r>
            <w:rPr>
              <w:rFonts w:hint="eastAsia" w:ascii="仿宋" w:hAnsi="仿宋" w:eastAsia="仿宋" w:cs="仿宋"/>
              <w:sz w:val="24"/>
              <w:szCs w:val="21"/>
            </w:rPr>
            <w:fldChar w:fldCharType="separate"/>
          </w:r>
          <w:r>
            <w:rPr>
              <w:rFonts w:hint="eastAsia" w:ascii="仿宋" w:hAnsi="仿宋" w:eastAsia="仿宋" w:cs="仿宋"/>
              <w:sz w:val="24"/>
              <w:szCs w:val="21"/>
            </w:rPr>
            <w:t>25</w:t>
          </w:r>
          <w:r>
            <w:rPr>
              <w:rFonts w:hint="eastAsia" w:ascii="仿宋" w:hAnsi="仿宋" w:eastAsia="仿宋" w:cs="仿宋"/>
              <w:sz w:val="24"/>
              <w:szCs w:val="21"/>
            </w:rPr>
            <w:fldChar w:fldCharType="end"/>
          </w:r>
          <w:r>
            <w:rPr>
              <w:rFonts w:hint="eastAsia" w:ascii="仿宋" w:hAnsi="仿宋" w:eastAsia="仿宋" w:cs="仿宋"/>
              <w:sz w:val="24"/>
              <w:szCs w:val="21"/>
              <w:lang w:val="en-US" w:eastAsia="zh-CN"/>
            </w:rPr>
            <w:fldChar w:fldCharType="end"/>
          </w:r>
        </w:p>
        <w:p w14:paraId="4E4C3901">
          <w:pPr>
            <w:pStyle w:val="4"/>
            <w:numPr>
              <w:ilvl w:val="0"/>
              <w:numId w:val="0"/>
            </w:numPr>
            <w:tabs>
              <w:tab w:val="clear" w:pos="2040"/>
            </w:tabs>
            <w:ind w:left="2040" w:leftChars="0" w:hanging="360" w:firstLineChars="0"/>
            <w:rPr>
              <w:rFonts w:hint="default"/>
              <w:lang w:val="en-US" w:eastAsia="zh-CN"/>
            </w:rPr>
          </w:pPr>
          <w:r>
            <w:rPr>
              <w:rFonts w:hint="eastAsia" w:ascii="仿宋" w:hAnsi="仿宋" w:eastAsia="仿宋" w:cs="仿宋"/>
              <w:szCs w:val="24"/>
              <w:lang w:val="en-US" w:eastAsia="zh-CN"/>
            </w:rPr>
            <w:fldChar w:fldCharType="end"/>
          </w:r>
        </w:p>
      </w:sdtContent>
    </w:sdt>
    <w:p w14:paraId="55835900">
      <w:pPr>
        <w:pStyle w:val="4"/>
        <w:numPr>
          <w:ilvl w:val="0"/>
          <w:numId w:val="0"/>
        </w:numPr>
        <w:ind w:left="1680" w:leftChars="0"/>
        <w:rPr>
          <w:rFonts w:hint="default"/>
          <w:lang w:val="en-US" w:eastAsia="zh-CN"/>
        </w:rPr>
        <w:sectPr>
          <w:headerReference r:id="rId3" w:type="default"/>
          <w:pgSz w:w="11906" w:h="16838"/>
          <w:pgMar w:top="1701" w:right="1417" w:bottom="1417" w:left="1417" w:header="737" w:footer="851" w:gutter="0"/>
          <w:pgNumType w:start="1"/>
          <w:cols w:space="720" w:num="1"/>
          <w:titlePg/>
          <w:docGrid w:type="lines" w:linePitch="408" w:charSpace="0"/>
        </w:sectPr>
      </w:pPr>
    </w:p>
    <w:p w14:paraId="4CF547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cs="Times New Roman"/>
          <w:sz w:val="24"/>
          <w:szCs w:val="24"/>
        </w:rPr>
      </w:pPr>
      <w:r>
        <w:rPr>
          <w:rFonts w:hint="eastAsia" w:ascii="仿宋_GB2312" w:hAnsi="Times New Roman" w:cs="Times New Roman"/>
          <w:sz w:val="24"/>
          <w:szCs w:val="24"/>
          <w:lang w:val="en-US" w:eastAsia="zh-CN"/>
        </w:rPr>
        <w:t>为加强财政资金管理，强化支出责任，提高财政资金的使用效益，建立科学、合理的财政支出绩效评价管理体系，集大财经咨询（福州）有限公司接受</w:t>
      </w:r>
      <w:r>
        <w:rPr>
          <w:rFonts w:hint="eastAsia" w:ascii="仿宋_GB2312" w:cs="Times New Roman"/>
          <w:sz w:val="24"/>
          <w:szCs w:val="24"/>
          <w:lang w:val="en-US" w:eastAsia="zh-CN"/>
        </w:rPr>
        <w:t>石狮市</w:t>
      </w:r>
      <w:r>
        <w:rPr>
          <w:rFonts w:hint="eastAsia" w:ascii="仿宋_GB2312" w:hAnsi="Times New Roman" w:cs="Times New Roman"/>
          <w:sz w:val="24"/>
          <w:szCs w:val="24"/>
          <w:lang w:val="en-US" w:eastAsia="zh-CN"/>
        </w:rPr>
        <w:t>财政局委托，组织专业人员成立评价工作组，根据中共中央、国务院《关于全面实施预算绩效管理的意见》（中发〔2018〕34 号）、福建省委、省政府《关于全面实施预算绩效管理的实施意见》（闽委发〔2019〕5 号）、福建省财政厅《关于全面实施预算绩效管理若干措施的通知》（闽财绩〔2019〕2 号）、财政部《项目支出绩效评价管理办法》（财预〔2020〕10 号）、《财政部关于委托第三方机构参与预算绩效管理的指导意见》（财预〔2021〕6 号）等文件精神和要求，对</w:t>
      </w:r>
      <w:r>
        <w:rPr>
          <w:rFonts w:hint="eastAsia" w:ascii="仿宋_GB2312" w:cs="Times New Roman"/>
          <w:sz w:val="24"/>
          <w:szCs w:val="24"/>
          <w:lang w:val="en-US" w:eastAsia="zh-CN"/>
        </w:rPr>
        <w:t>石狮市港建设项目资金(东店一级渔港)闽财农指 (2024)081号</w:t>
      </w:r>
      <w:r>
        <w:rPr>
          <w:rFonts w:hint="eastAsia" w:ascii="仿宋_GB2312" w:hAnsi="Times New Roman" w:cs="Times New Roman"/>
          <w:sz w:val="24"/>
          <w:szCs w:val="24"/>
          <w:lang w:val="en-US" w:eastAsia="zh-CN"/>
        </w:rPr>
        <w:t>支出开展绩效评价，以第三方身份出具报告。评价报告主要是供</w:t>
      </w:r>
      <w:r>
        <w:rPr>
          <w:rFonts w:hint="eastAsia" w:ascii="仿宋_GB2312" w:cs="Times New Roman"/>
          <w:sz w:val="24"/>
          <w:szCs w:val="24"/>
          <w:lang w:val="en-US" w:eastAsia="zh-CN"/>
        </w:rPr>
        <w:t>石狮市</w:t>
      </w:r>
      <w:r>
        <w:rPr>
          <w:rFonts w:hint="eastAsia" w:ascii="仿宋_GB2312" w:hAnsi="Times New Roman" w:cs="Times New Roman"/>
          <w:sz w:val="24"/>
          <w:szCs w:val="24"/>
          <w:lang w:val="en-US" w:eastAsia="zh-CN"/>
        </w:rPr>
        <w:t>财政局了解该项目支出的绩效情况。</w:t>
      </w:r>
    </w:p>
    <w:p w14:paraId="47B08AEC">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sz w:val="28"/>
          <w:szCs w:val="28"/>
        </w:rPr>
      </w:pPr>
    </w:p>
    <w:p w14:paraId="0E94E62C">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bookmarkStart w:id="0" w:name="_Toc6042"/>
      <w:r>
        <w:rPr>
          <w:rFonts w:hint="eastAsia" w:ascii="仿宋" w:hAnsi="仿宋" w:eastAsia="仿宋" w:cs="仿宋"/>
          <w:b/>
          <w:bCs/>
          <w:sz w:val="28"/>
          <w:szCs w:val="28"/>
        </w:rPr>
        <w:t>一、基本情况</w:t>
      </w:r>
      <w:bookmarkEnd w:id="0"/>
    </w:p>
    <w:p w14:paraId="4E56741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rPr>
      </w:pPr>
      <w:bookmarkStart w:id="1" w:name="_Toc14146"/>
      <w:r>
        <w:rPr>
          <w:rFonts w:hint="eastAsia" w:ascii="仿宋_GB2312"/>
          <w:b/>
          <w:bCs/>
          <w:sz w:val="24"/>
          <w:szCs w:val="24"/>
        </w:rPr>
        <w:t>（一）项目概况</w:t>
      </w:r>
      <w:bookmarkEnd w:id="1"/>
    </w:p>
    <w:p w14:paraId="2D6DDF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Times New Roman" w:eastAsia="仿宋_GB2312" w:cs="Times New Roman"/>
          <w:sz w:val="24"/>
          <w:szCs w:val="24"/>
          <w:lang w:val="en-US" w:eastAsia="zh-CN"/>
        </w:rPr>
      </w:pPr>
      <w:r>
        <w:rPr>
          <w:rFonts w:hint="eastAsia" w:ascii="仿宋_GB2312"/>
          <w:sz w:val="24"/>
          <w:szCs w:val="24"/>
          <w:lang w:val="en-US" w:eastAsia="zh-CN"/>
        </w:rPr>
        <w:t>1.</w:t>
      </w:r>
      <w:r>
        <w:rPr>
          <w:rFonts w:hint="eastAsia" w:ascii="仿宋_GB2312" w:hAnsi="Times New Roman" w:eastAsia="仿宋_GB2312" w:cs="Times New Roman"/>
          <w:sz w:val="24"/>
          <w:szCs w:val="24"/>
          <w:lang w:val="en-US" w:eastAsia="zh-CN"/>
        </w:rPr>
        <w:t>项目背景</w:t>
      </w:r>
    </w:p>
    <w:p w14:paraId="366E88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Times New Roman" w:eastAsia="仿宋_GB2312" w:cs="Times New Roman"/>
          <w:sz w:val="24"/>
          <w:szCs w:val="24"/>
          <w:lang w:val="en-US" w:eastAsia="zh-CN"/>
        </w:rPr>
      </w:pPr>
      <w:r>
        <w:rPr>
          <w:rFonts w:hint="eastAsia" w:ascii="宋体" w:hAnsi="宋体" w:eastAsia="仿宋_GB2312" w:cs="宋体"/>
          <w:kern w:val="2"/>
          <w:sz w:val="24"/>
          <w:szCs w:val="24"/>
          <w:highlight w:val="none"/>
          <w:lang w:val="en-US" w:eastAsia="zh-CN" w:bidi="ar-SA"/>
        </w:rPr>
        <w:t>2013年，</w:t>
      </w:r>
      <w:r>
        <w:rPr>
          <w:rFonts w:hint="default" w:ascii="宋体" w:hAnsi="宋体" w:eastAsia="仿宋_GB2312" w:cs="宋体"/>
          <w:kern w:val="2"/>
          <w:sz w:val="24"/>
          <w:szCs w:val="24"/>
          <w:highlight w:val="none"/>
          <w:lang w:val="en-US" w:eastAsia="zh-CN" w:bidi="ar-SA"/>
        </w:rPr>
        <w:t>国务院</w:t>
      </w:r>
      <w:r>
        <w:rPr>
          <w:rFonts w:hint="eastAsia" w:ascii="宋体" w:hAnsi="宋体" w:cs="宋体"/>
          <w:kern w:val="2"/>
          <w:sz w:val="24"/>
          <w:szCs w:val="24"/>
          <w:highlight w:val="none"/>
          <w:lang w:val="en-US" w:eastAsia="zh-CN" w:bidi="ar-SA"/>
        </w:rPr>
        <w:t>印发</w:t>
      </w:r>
      <w:r>
        <w:rPr>
          <w:rFonts w:hint="eastAsia" w:ascii="宋体" w:hAnsi="宋体" w:eastAsia="仿宋_GB2312" w:cs="宋体"/>
          <w:kern w:val="2"/>
          <w:sz w:val="24"/>
          <w:szCs w:val="24"/>
          <w:highlight w:val="none"/>
          <w:lang w:val="en-US" w:eastAsia="zh-CN" w:bidi="ar-SA"/>
        </w:rPr>
        <w:t>《</w:t>
      </w:r>
      <w:r>
        <w:rPr>
          <w:rFonts w:hint="default" w:ascii="宋体" w:hAnsi="宋体" w:eastAsia="仿宋_GB2312" w:cs="宋体"/>
          <w:kern w:val="2"/>
          <w:sz w:val="24"/>
          <w:szCs w:val="24"/>
          <w:highlight w:val="none"/>
          <w:lang w:val="en-US" w:eastAsia="zh-CN" w:bidi="ar-SA"/>
        </w:rPr>
        <w:t>国务院关于促进海洋渔业持续健康发展的若干意见</w:t>
      </w:r>
      <w:r>
        <w:rPr>
          <w:rFonts w:hint="eastAsia" w:ascii="宋体" w:hAnsi="宋体" w:eastAsia="仿宋_GB2312" w:cs="宋体"/>
          <w:kern w:val="2"/>
          <w:sz w:val="24"/>
          <w:szCs w:val="24"/>
          <w:highlight w:val="none"/>
          <w:lang w:val="en-US" w:eastAsia="zh-CN" w:bidi="ar-SA"/>
        </w:rPr>
        <w:t>》（</w:t>
      </w:r>
      <w:r>
        <w:rPr>
          <w:rFonts w:hint="default" w:ascii="宋体" w:hAnsi="宋体" w:eastAsia="仿宋_GB2312" w:cs="宋体"/>
          <w:kern w:val="2"/>
          <w:sz w:val="24"/>
          <w:szCs w:val="24"/>
          <w:highlight w:val="none"/>
          <w:lang w:val="en-US" w:eastAsia="zh-CN" w:bidi="ar-SA"/>
        </w:rPr>
        <w:t>国发〔2013〕11号</w:t>
      </w:r>
      <w:r>
        <w:rPr>
          <w:rFonts w:hint="eastAsia" w:ascii="宋体" w:hAnsi="宋体" w:eastAsia="仿宋_GB2312" w:cs="宋体"/>
          <w:kern w:val="2"/>
          <w:sz w:val="24"/>
          <w:szCs w:val="24"/>
          <w:highlight w:val="none"/>
          <w:lang w:val="en-US" w:eastAsia="zh-CN" w:bidi="ar-SA"/>
        </w:rPr>
        <w:t>），要求</w:t>
      </w:r>
      <w:r>
        <w:rPr>
          <w:rFonts w:hint="default" w:ascii="宋体" w:hAnsi="宋体" w:eastAsia="仿宋_GB2312" w:cs="宋体"/>
          <w:kern w:val="2"/>
          <w:sz w:val="24"/>
          <w:szCs w:val="24"/>
          <w:highlight w:val="none"/>
          <w:lang w:val="en-US" w:eastAsia="zh-CN" w:bidi="ar-SA"/>
        </w:rPr>
        <w:t>加强渔港建设和管理。科学规划、合理利用岸线资源，完善渔港布局，加快建设进度，尽快形成以中心渔港、一级渔港为龙头，以二、三级渔港和避风锚地为支撑的渔港防灾减灾体系。2016</w:t>
      </w:r>
      <w:r>
        <w:rPr>
          <w:rFonts w:hint="eastAsia" w:ascii="宋体" w:hAnsi="宋体" w:eastAsia="仿宋_GB2312" w:cs="宋体"/>
          <w:kern w:val="2"/>
          <w:sz w:val="24"/>
          <w:szCs w:val="24"/>
          <w:highlight w:val="none"/>
          <w:lang w:val="en-US" w:eastAsia="zh-CN" w:bidi="ar-SA"/>
        </w:rPr>
        <w:t>年，</w:t>
      </w:r>
      <w:r>
        <w:rPr>
          <w:rFonts w:hint="default" w:ascii="宋体" w:hAnsi="宋体" w:eastAsia="仿宋_GB2312" w:cs="宋体"/>
          <w:kern w:val="2"/>
          <w:sz w:val="24"/>
          <w:szCs w:val="24"/>
          <w:highlight w:val="none"/>
          <w:lang w:val="en-US" w:eastAsia="zh-CN" w:bidi="ar-SA"/>
        </w:rPr>
        <w:t>国务院</w:t>
      </w:r>
      <w:r>
        <w:rPr>
          <w:rFonts w:hint="eastAsia" w:ascii="宋体" w:hAnsi="宋体" w:eastAsia="仿宋_GB2312" w:cs="宋体"/>
          <w:kern w:val="2"/>
          <w:sz w:val="24"/>
          <w:szCs w:val="24"/>
          <w:highlight w:val="none"/>
          <w:lang w:val="en-US" w:eastAsia="zh-CN" w:bidi="ar-SA"/>
        </w:rPr>
        <w:t>印发《国务院关于印发全国农业现代化规划（2016—2020年）的通知》（国发〔2016〕58号），</w:t>
      </w:r>
      <w:r>
        <w:rPr>
          <w:rFonts w:hint="default" w:ascii="宋体" w:hAnsi="宋体" w:eastAsia="仿宋_GB2312" w:cs="宋体"/>
          <w:kern w:val="2"/>
          <w:sz w:val="24"/>
          <w:szCs w:val="24"/>
          <w:highlight w:val="none"/>
          <w:lang w:val="en-US" w:eastAsia="zh-CN" w:bidi="ar-SA"/>
        </w:rPr>
        <w:t>推进渔业转型升级</w:t>
      </w:r>
      <w:r>
        <w:rPr>
          <w:rFonts w:hint="eastAsia" w:ascii="宋体" w:hAnsi="宋体" w:eastAsia="仿宋_GB2312" w:cs="宋体"/>
          <w:kern w:val="2"/>
          <w:sz w:val="24"/>
          <w:szCs w:val="24"/>
          <w:highlight w:val="none"/>
          <w:lang w:val="en-US" w:eastAsia="zh-CN" w:bidi="ar-SA"/>
        </w:rPr>
        <w:t>，</w:t>
      </w:r>
      <w:r>
        <w:rPr>
          <w:rFonts w:hint="default" w:ascii="宋体" w:hAnsi="宋体" w:eastAsia="仿宋_GB2312" w:cs="宋体"/>
          <w:kern w:val="2"/>
          <w:sz w:val="24"/>
          <w:szCs w:val="24"/>
          <w:highlight w:val="none"/>
          <w:lang w:val="en-US" w:eastAsia="zh-CN" w:bidi="ar-SA"/>
        </w:rPr>
        <w:t>加快渔政渔港等基础设施建设，完善全国渔政执法监管指挥调度平台。2018</w:t>
      </w:r>
      <w:r>
        <w:rPr>
          <w:rFonts w:hint="eastAsia" w:ascii="宋体" w:hAnsi="宋体" w:eastAsia="仿宋_GB2312" w:cs="宋体"/>
          <w:kern w:val="2"/>
          <w:sz w:val="24"/>
          <w:szCs w:val="24"/>
          <w:highlight w:val="none"/>
          <w:lang w:val="en-US" w:eastAsia="zh-CN" w:bidi="ar-SA"/>
        </w:rPr>
        <w:t>年，国家发展改革委 农业农村部</w:t>
      </w:r>
      <w:r>
        <w:rPr>
          <w:rFonts w:hint="eastAsia" w:ascii="宋体" w:hAnsi="宋体" w:cs="宋体"/>
          <w:kern w:val="2"/>
          <w:sz w:val="24"/>
          <w:szCs w:val="24"/>
          <w:highlight w:val="none"/>
          <w:lang w:val="en-US" w:eastAsia="zh-CN" w:bidi="ar-SA"/>
        </w:rPr>
        <w:t>印发</w:t>
      </w:r>
      <w:r>
        <w:rPr>
          <w:rFonts w:hint="eastAsia" w:ascii="宋体" w:hAnsi="宋体" w:eastAsia="仿宋_GB2312" w:cs="宋体"/>
          <w:kern w:val="2"/>
          <w:sz w:val="24"/>
          <w:szCs w:val="24"/>
          <w:highlight w:val="none"/>
          <w:lang w:val="en-US" w:eastAsia="zh-CN" w:bidi="ar-SA"/>
        </w:rPr>
        <w:t>《国家发展改革委 农业农村部关于印发全国沿海渔港建设规划（2018-2025年）的通知》（发改农经〔2018〕597号），重点支持扩建石狮祥芝中心渔港、新建石狮东店一级渔港，推动形成集冷链加工物流、远洋渔业配套、海洋生物制药、旅游观光、海鲜美食等为特色的渔港经济区。2020年3月，福建省海洋与渔业局、福建省发展和改革委员会、福建省财政厅联合印发《福建省渔港布局与建设规划（2020-2025年）》，规划中将石狮东店一级渔港列于其中，作为规划期内的重要建设项目。</w:t>
      </w:r>
    </w:p>
    <w:p w14:paraId="57C2CD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_GB2312"/>
          <w:sz w:val="24"/>
          <w:szCs w:val="24"/>
          <w:lang w:val="en-US" w:eastAsia="zh-CN"/>
        </w:rPr>
      </w:pPr>
      <w:r>
        <w:rPr>
          <w:rFonts w:hint="eastAsia" w:ascii="仿宋_GB2312"/>
          <w:sz w:val="24"/>
          <w:szCs w:val="24"/>
          <w:lang w:val="en-US" w:eastAsia="zh-CN"/>
        </w:rPr>
        <w:t>2.项目主要内容及实施情况</w:t>
      </w:r>
    </w:p>
    <w:p w14:paraId="3B231D80">
      <w:pPr>
        <w:pStyle w:val="3"/>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_GB2312" w:cs="Times New Roman"/>
          <w:kern w:val="2"/>
          <w:sz w:val="24"/>
          <w:szCs w:val="24"/>
          <w:highlight w:val="lightGray"/>
          <w:lang w:val="en-US" w:eastAsia="zh-CN" w:bidi="ar-SA"/>
        </w:rPr>
      </w:pPr>
      <w:r>
        <w:rPr>
          <w:rFonts w:hint="eastAsia" w:ascii="仿宋_GB2312" w:cs="Times New Roman"/>
          <w:kern w:val="2"/>
          <w:sz w:val="24"/>
          <w:szCs w:val="24"/>
          <w:lang w:val="en-US" w:eastAsia="zh-CN" w:bidi="ar-SA"/>
        </w:rPr>
        <w:t>石狮市</w:t>
      </w:r>
      <w:r>
        <w:rPr>
          <w:rFonts w:hint="eastAsia" w:ascii="仿宋_GB2312" w:cs="Times New Roman"/>
          <w:sz w:val="24"/>
          <w:szCs w:val="24"/>
          <w:lang w:val="en-US" w:eastAsia="zh-CN"/>
        </w:rPr>
        <w:t>港</w:t>
      </w:r>
      <w:r>
        <w:rPr>
          <w:rFonts w:hint="eastAsia" w:ascii="仿宋_GB2312" w:cs="Times New Roman"/>
          <w:sz w:val="24"/>
          <w:szCs w:val="24"/>
          <w:highlight w:val="none"/>
          <w:lang w:val="en-US" w:eastAsia="zh-CN"/>
        </w:rPr>
        <w:t>建设项目资金（东店一级渔港）闽财农指</w:t>
      </w:r>
      <w:r>
        <w:rPr>
          <w:rFonts w:hint="eastAsia" w:ascii="仿宋_GB2312" w:cs="Times New Roman"/>
          <w:kern w:val="2"/>
          <w:sz w:val="24"/>
          <w:szCs w:val="24"/>
          <w:lang w:val="en-US" w:eastAsia="zh-CN" w:bidi="ar-SA"/>
        </w:rPr>
        <w:t>〔</w:t>
      </w:r>
      <w:r>
        <w:rPr>
          <w:rFonts w:hint="eastAsia" w:ascii="仿宋_GB2312" w:cs="Times New Roman"/>
          <w:sz w:val="24"/>
          <w:szCs w:val="24"/>
          <w:highlight w:val="none"/>
          <w:lang w:val="en-US" w:eastAsia="zh-CN"/>
        </w:rPr>
        <w:t>2024</w:t>
      </w:r>
      <w:r>
        <w:rPr>
          <w:rFonts w:hint="eastAsia" w:ascii="仿宋_GB2312" w:cs="Times New Roman"/>
          <w:kern w:val="2"/>
          <w:sz w:val="24"/>
          <w:szCs w:val="24"/>
          <w:lang w:val="en-US" w:eastAsia="zh-CN" w:bidi="ar-SA"/>
        </w:rPr>
        <w:t>〕</w:t>
      </w:r>
      <w:r>
        <w:rPr>
          <w:rFonts w:hint="eastAsia" w:ascii="仿宋_GB2312" w:cs="Times New Roman"/>
          <w:sz w:val="24"/>
          <w:szCs w:val="24"/>
          <w:highlight w:val="none"/>
          <w:lang w:val="en-US" w:eastAsia="zh-CN"/>
        </w:rPr>
        <w:t>081号</w:t>
      </w:r>
      <w:r>
        <w:rPr>
          <w:rFonts w:hint="eastAsia" w:ascii="仿宋_GB2312" w:cs="Times New Roman"/>
          <w:kern w:val="2"/>
          <w:sz w:val="24"/>
          <w:szCs w:val="24"/>
          <w:highlight w:val="none"/>
          <w:lang w:val="en-US" w:eastAsia="zh-CN" w:bidi="ar-SA"/>
        </w:rPr>
        <w:t>项目是由石狮市锦尚东店渔港建设服务有限公司负责的福建省石狮市锦尚东店一级渔港工程，项目位于石狮市锦尚镇东店村，建设的主要内容包括建设北防波堤兼码头315米（其中内侧256米兼做码头）、南码头200米、南引堤196米，改造北引堤353米（由6.5米拓宽至20米）；港内炸礁7.83万立方米，港池开挖28.73万立方米，拆除原防波堤7.49万立方米；形成港内水域面积73万平方米，建设渔港管理房1200平方米，配套建设水电设施、智慧渔港等项目。建设工期：30个月。石狮市锦尚东店渔港建设服务有限公司作为业主单位，负责招标、施工管理、重要设备采购及验收管理的具体工作。</w:t>
      </w:r>
    </w:p>
    <w:p w14:paraId="387BC7E8">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textAlignment w:val="auto"/>
        <w:rPr>
          <w:rFonts w:hint="eastAsia" w:ascii="仿宋_GB2312" w:cs="Times New Roman"/>
          <w:kern w:val="2"/>
          <w:sz w:val="24"/>
          <w:szCs w:val="24"/>
          <w:highlight w:val="none"/>
          <w:lang w:val="en-US" w:eastAsia="zh-CN" w:bidi="ar-SA"/>
        </w:rPr>
      </w:pPr>
      <w:r>
        <w:rPr>
          <w:rFonts w:hint="eastAsia" w:ascii="仿宋_GB2312" w:cs="Times New Roman"/>
          <w:kern w:val="2"/>
          <w:sz w:val="24"/>
          <w:szCs w:val="24"/>
          <w:highlight w:val="none"/>
          <w:lang w:val="en-US" w:eastAsia="zh-CN" w:bidi="ar-SA"/>
        </w:rPr>
        <w:t xml:space="preserve">   </w:t>
      </w:r>
      <w:r>
        <w:rPr>
          <w:rFonts w:hint="eastAsia" w:ascii="仿宋_GB2312" w:hAnsi="Times New Roman" w:eastAsia="仿宋_GB2312" w:cs="Times New Roman"/>
          <w:kern w:val="2"/>
          <w:sz w:val="24"/>
          <w:szCs w:val="24"/>
          <w:highlight w:val="none"/>
          <w:lang w:val="en-US" w:eastAsia="zh-CN" w:bidi="ar-SA"/>
        </w:rPr>
        <w:t xml:space="preserve"> </w:t>
      </w:r>
      <w:r>
        <w:rPr>
          <w:rFonts w:hint="eastAsia" w:ascii="仿宋_GB2312" w:cs="Times New Roman"/>
          <w:kern w:val="2"/>
          <w:sz w:val="24"/>
          <w:szCs w:val="24"/>
          <w:highlight w:val="none"/>
          <w:lang w:val="en-US" w:eastAsia="zh-CN" w:bidi="ar-SA"/>
        </w:rPr>
        <w:t>3</w:t>
      </w:r>
      <w:r>
        <w:rPr>
          <w:rFonts w:hint="eastAsia" w:ascii="仿宋_GB2312" w:hAnsi="Times New Roman" w:eastAsia="仿宋_GB2312" w:cs="Times New Roman"/>
          <w:kern w:val="2"/>
          <w:sz w:val="24"/>
          <w:szCs w:val="24"/>
          <w:highlight w:val="none"/>
          <w:lang w:val="en-US" w:eastAsia="zh-CN" w:bidi="ar-SA"/>
        </w:rPr>
        <w:t>.资金收支情况</w:t>
      </w:r>
    </w:p>
    <w:p w14:paraId="562F92AC">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textAlignment w:val="auto"/>
        <w:rPr>
          <w:rFonts w:hint="eastAsia" w:ascii="仿宋_GB2312" w:cs="Times New Roman"/>
          <w:kern w:val="2"/>
          <w:sz w:val="24"/>
          <w:szCs w:val="24"/>
          <w:lang w:val="en-US" w:eastAsia="zh-CN" w:bidi="ar-SA"/>
        </w:rPr>
      </w:pPr>
      <w:r>
        <w:rPr>
          <w:rFonts w:hint="eastAsia" w:ascii="仿宋_GB2312" w:cs="Times New Roman"/>
          <w:kern w:val="2"/>
          <w:sz w:val="24"/>
          <w:szCs w:val="24"/>
          <w:lang w:val="en-US" w:eastAsia="zh-CN" w:bidi="ar-SA"/>
        </w:rPr>
        <w:t>根据《关于福建省石狮市锦尚东店一级渔港工程初步设计及概算的批复》（闽海渔〔2022〕37号</w:t>
      </w:r>
      <w:r>
        <w:rPr>
          <w:rFonts w:hint="eastAsia" w:ascii="仿宋_GB2312" w:cs="Times New Roman"/>
          <w:sz w:val="24"/>
          <w:szCs w:val="24"/>
          <w:lang w:val="en-US" w:eastAsia="zh-CN"/>
        </w:rPr>
        <w:t>）文件</w:t>
      </w:r>
      <w:r>
        <w:rPr>
          <w:rFonts w:hint="eastAsia" w:ascii="仿宋_GB2312" w:cs="Times New Roman"/>
          <w:kern w:val="2"/>
          <w:sz w:val="24"/>
          <w:szCs w:val="24"/>
          <w:lang w:val="en-US" w:eastAsia="zh-CN" w:bidi="ar-SA"/>
        </w:rPr>
        <w:t>，项目概算总投资16041.79万元,其中:工程费用13735.00万元，其他费用1839.55万元，预备费467.24万元。资金除省级补助外，其余部分由业主单位多方筹措解决。截至本次评价期间（2025年7月23日），根据</w:t>
      </w:r>
      <w:r>
        <w:rPr>
          <w:rFonts w:hint="eastAsia" w:hAnsi="宋体" w:cs="宋体"/>
          <w:sz w:val="24"/>
          <w:szCs w:val="24"/>
          <w:lang w:val="en-US" w:eastAsia="zh-CN"/>
        </w:rPr>
        <w:t>石狮市锦尚东店渔港建设服务有限公司提供的</w:t>
      </w:r>
      <w:r>
        <w:rPr>
          <w:rFonts w:hint="eastAsia" w:ascii="仿宋_GB2312" w:cs="Times New Roman"/>
          <w:kern w:val="2"/>
          <w:sz w:val="24"/>
          <w:szCs w:val="24"/>
          <w:lang w:val="en-US" w:eastAsia="zh-CN" w:bidi="ar-SA"/>
        </w:rPr>
        <w:t>《建设项目支出情况表》该项目已支付7270.61万元。</w:t>
      </w:r>
    </w:p>
    <w:p w14:paraId="24D3CF05">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textAlignment w:val="auto"/>
        <w:rPr>
          <w:rFonts w:hint="eastAsia" w:ascii="仿宋_GB2312" w:cs="Times New Roman"/>
          <w:kern w:val="2"/>
          <w:sz w:val="24"/>
          <w:szCs w:val="24"/>
          <w:highlight w:val="yellow"/>
          <w:lang w:val="en-US" w:eastAsia="zh-CN" w:bidi="ar-SA"/>
        </w:rPr>
      </w:pPr>
      <w:r>
        <w:rPr>
          <w:rFonts w:hint="eastAsia" w:ascii="仿宋_GB2312" w:cs="Times New Roman"/>
          <w:kern w:val="2"/>
          <w:sz w:val="24"/>
          <w:szCs w:val="24"/>
          <w:lang w:val="en-US" w:eastAsia="zh-CN" w:bidi="ar-SA"/>
        </w:rPr>
        <w:t>目前，石狮市锦尚东店一级渔港工程项目共收到补助款6360.31万元，其中，第一批省财政补助资金4287万元，根据《福建省财政厅福建省海与渔业局关于下达2024年渔业发展补助资金(第三批)的通知》（闽财农指〔2024〕81号）下达渔业发展补助资金2073.31万元，其中包含第二批省级财政补助资金1987万元，正向激励补助资金86.31万元，实际拨付和已使用补助资金2073.31万元，</w:t>
      </w:r>
      <w:r>
        <w:rPr>
          <w:rFonts w:hint="eastAsia" w:ascii="仿宋_GB2312" w:cs="Times New Roman"/>
          <w:kern w:val="2"/>
          <w:sz w:val="24"/>
          <w:szCs w:val="24"/>
          <w:highlight w:val="none"/>
          <w:lang w:val="en-US" w:eastAsia="zh-CN" w:bidi="ar-SA"/>
        </w:rPr>
        <w:t>具体使用方向见表1：</w:t>
      </w:r>
    </w:p>
    <w:p w14:paraId="53850F9B">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textAlignment w:val="auto"/>
        <w:rPr>
          <w:rFonts w:hint="eastAsia" w:ascii="仿宋_GB2312" w:cs="Times New Roman"/>
          <w:b/>
          <w:bCs/>
          <w:kern w:val="2"/>
          <w:sz w:val="24"/>
          <w:szCs w:val="24"/>
          <w:lang w:val="en-US" w:eastAsia="zh-CN" w:bidi="ar-SA"/>
        </w:rPr>
      </w:pPr>
      <w:r>
        <w:rPr>
          <w:rFonts w:hint="eastAsia" w:ascii="仿宋_GB2312" w:cs="Times New Roman"/>
          <w:b/>
          <w:bCs/>
          <w:kern w:val="2"/>
          <w:sz w:val="24"/>
          <w:szCs w:val="24"/>
          <w:lang w:val="en-US" w:eastAsia="zh-CN" w:bidi="ar-SA"/>
        </w:rPr>
        <w:t>表1  石狮市锦尚东店一级渔港工程项目2024年补助资金收支情况表</w:t>
      </w:r>
    </w:p>
    <w:p w14:paraId="02F238B4">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jc w:val="right"/>
        <w:textAlignment w:val="auto"/>
        <w:rPr>
          <w:rFonts w:hint="eastAsia" w:ascii="仿宋_GB2312" w:cs="Times New Roman"/>
          <w:kern w:val="2"/>
          <w:sz w:val="24"/>
          <w:szCs w:val="24"/>
          <w:highlight w:val="yellow"/>
          <w:lang w:val="en-US" w:eastAsia="zh-CN" w:bidi="ar-SA"/>
        </w:rPr>
      </w:pPr>
      <w:r>
        <w:rPr>
          <w:rFonts w:hint="eastAsia" w:ascii="仿宋_GB2312" w:cs="Times New Roman"/>
          <w:b/>
          <w:bCs/>
          <w:kern w:val="2"/>
          <w:sz w:val="24"/>
          <w:szCs w:val="24"/>
          <w:lang w:val="en-US" w:eastAsia="zh-CN" w:bidi="ar-SA"/>
        </w:rPr>
        <w:t xml:space="preserve"> </w:t>
      </w:r>
      <w:r>
        <w:rPr>
          <w:rFonts w:hint="eastAsia" w:ascii="仿宋_GB2312" w:cs="Times New Roman"/>
          <w:kern w:val="2"/>
          <w:sz w:val="24"/>
          <w:szCs w:val="24"/>
          <w:lang w:val="en-US" w:eastAsia="zh-CN" w:bidi="ar-SA"/>
        </w:rPr>
        <w:t>单位：万元</w:t>
      </w:r>
    </w:p>
    <w:tbl>
      <w:tblPr>
        <w:tblStyle w:val="12"/>
        <w:tblW w:w="925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3"/>
        <w:gridCol w:w="1300"/>
        <w:gridCol w:w="4590"/>
        <w:gridCol w:w="1260"/>
        <w:gridCol w:w="1314"/>
      </w:tblGrid>
      <w:tr w14:paraId="2B47A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8179B">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240" w:lineRule="auto"/>
              <w:jc w:val="center"/>
              <w:textAlignment w:val="auto"/>
              <w:rPr>
                <w:rFonts w:hint="eastAsia" w:ascii="仿宋_GB2312" w:cs="Times New Roman"/>
                <w:b/>
                <w:bCs/>
                <w:kern w:val="2"/>
                <w:sz w:val="21"/>
                <w:szCs w:val="21"/>
                <w:vertAlign w:val="baseline"/>
                <w:lang w:val="en-US" w:eastAsia="zh-CN" w:bidi="ar-SA"/>
              </w:rPr>
            </w:pPr>
            <w:r>
              <w:rPr>
                <w:rFonts w:hint="eastAsia" w:ascii="仿宋_GB2312" w:cs="Times New Roman"/>
                <w:b/>
                <w:bCs/>
                <w:kern w:val="2"/>
                <w:sz w:val="21"/>
                <w:szCs w:val="21"/>
                <w:vertAlign w:val="baseline"/>
                <w:lang w:val="en-US" w:eastAsia="zh-CN" w:bidi="ar-SA"/>
              </w:rPr>
              <w:t>年份</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DD20">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240" w:lineRule="auto"/>
              <w:jc w:val="center"/>
              <w:textAlignment w:val="auto"/>
              <w:rPr>
                <w:rFonts w:hint="eastAsia" w:ascii="仿宋_GB2312" w:cs="Times New Roman"/>
                <w:b/>
                <w:bCs/>
                <w:kern w:val="2"/>
                <w:sz w:val="21"/>
                <w:szCs w:val="21"/>
                <w:vertAlign w:val="baseline"/>
                <w:lang w:val="en-US" w:eastAsia="zh-CN" w:bidi="ar-SA"/>
              </w:rPr>
            </w:pPr>
            <w:r>
              <w:rPr>
                <w:rFonts w:hint="eastAsia" w:ascii="仿宋_GB2312" w:cs="Times New Roman"/>
                <w:b/>
                <w:bCs/>
                <w:kern w:val="2"/>
                <w:sz w:val="21"/>
                <w:szCs w:val="21"/>
                <w:vertAlign w:val="baseline"/>
                <w:lang w:val="en-US" w:eastAsia="zh-CN" w:bidi="ar-SA"/>
              </w:rPr>
              <w:t>日期</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A7EE">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240" w:lineRule="auto"/>
              <w:jc w:val="center"/>
              <w:textAlignment w:val="auto"/>
              <w:rPr>
                <w:rFonts w:hint="eastAsia" w:ascii="仿宋_GB2312" w:cs="Times New Roman"/>
                <w:b/>
                <w:bCs/>
                <w:kern w:val="2"/>
                <w:sz w:val="21"/>
                <w:szCs w:val="21"/>
                <w:vertAlign w:val="baseline"/>
                <w:lang w:val="en-US" w:eastAsia="zh-CN" w:bidi="ar-SA"/>
              </w:rPr>
            </w:pPr>
            <w:r>
              <w:rPr>
                <w:rFonts w:hint="eastAsia" w:ascii="仿宋_GB2312" w:cs="Times New Roman"/>
                <w:b/>
                <w:bCs/>
                <w:kern w:val="2"/>
                <w:sz w:val="21"/>
                <w:szCs w:val="21"/>
                <w:vertAlign w:val="baseline"/>
                <w:lang w:val="en-US" w:eastAsia="zh-CN" w:bidi="ar-SA"/>
              </w:rPr>
              <w:t>摘要</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CE85">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240" w:lineRule="auto"/>
              <w:jc w:val="center"/>
              <w:textAlignment w:val="auto"/>
              <w:rPr>
                <w:rFonts w:hint="eastAsia" w:ascii="仿宋_GB2312" w:cs="Times New Roman"/>
                <w:b/>
                <w:bCs/>
                <w:kern w:val="2"/>
                <w:sz w:val="21"/>
                <w:szCs w:val="21"/>
                <w:vertAlign w:val="baseline"/>
                <w:lang w:val="en-US" w:eastAsia="zh-CN" w:bidi="ar-SA"/>
              </w:rPr>
            </w:pPr>
            <w:r>
              <w:rPr>
                <w:rFonts w:hint="eastAsia" w:ascii="仿宋_GB2312" w:cs="Times New Roman"/>
                <w:b/>
                <w:bCs/>
                <w:kern w:val="2"/>
                <w:sz w:val="21"/>
                <w:szCs w:val="21"/>
                <w:vertAlign w:val="baseline"/>
                <w:lang w:val="en-US" w:eastAsia="zh-CN" w:bidi="ar-SA"/>
              </w:rPr>
              <w:t xml:space="preserve"> 收入金额 </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DE4C5">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240" w:lineRule="auto"/>
              <w:jc w:val="center"/>
              <w:textAlignment w:val="auto"/>
              <w:rPr>
                <w:rFonts w:hint="eastAsia" w:ascii="仿宋_GB2312" w:cs="Times New Roman"/>
                <w:b/>
                <w:bCs/>
                <w:kern w:val="2"/>
                <w:sz w:val="21"/>
                <w:szCs w:val="21"/>
                <w:vertAlign w:val="baseline"/>
                <w:lang w:val="en-US" w:eastAsia="zh-CN" w:bidi="ar-SA"/>
              </w:rPr>
            </w:pPr>
            <w:r>
              <w:rPr>
                <w:rFonts w:hint="eastAsia" w:ascii="仿宋_GB2312" w:cs="Times New Roman"/>
                <w:b/>
                <w:bCs/>
                <w:kern w:val="2"/>
                <w:sz w:val="21"/>
                <w:szCs w:val="21"/>
                <w:vertAlign w:val="baseline"/>
                <w:lang w:val="en-US" w:eastAsia="zh-CN" w:bidi="ar-SA"/>
              </w:rPr>
              <w:t xml:space="preserve"> 支出金额 </w:t>
            </w:r>
          </w:p>
        </w:tc>
      </w:tr>
      <w:tr w14:paraId="6AB78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32DA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98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1月27日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E7A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研发计术服务费-福建海峡建筑设计规划研究院</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09634">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826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111.00</w:t>
            </w:r>
          </w:p>
        </w:tc>
      </w:tr>
      <w:tr w14:paraId="6D278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4B5B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958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12月16日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67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工程进度款-石狮市财政局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D0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1178.37</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B4081">
            <w:pPr>
              <w:jc w:val="center"/>
              <w:rPr>
                <w:rFonts w:hint="eastAsia" w:ascii="仿宋" w:hAnsi="仿宋" w:eastAsia="仿宋" w:cs="仿宋"/>
                <w:i w:val="0"/>
                <w:iCs w:val="0"/>
                <w:color w:val="000000"/>
                <w:sz w:val="21"/>
                <w:szCs w:val="21"/>
                <w:u w:val="none"/>
              </w:rPr>
            </w:pPr>
          </w:p>
        </w:tc>
      </w:tr>
      <w:tr w14:paraId="725DD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0E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76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12月17日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328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工程监理服务费-长航监理有限公司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5FF02">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C8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18.37</w:t>
            </w:r>
          </w:p>
        </w:tc>
      </w:tr>
      <w:tr w14:paraId="71182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2469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BF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12月17日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055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工程款-长江宜昌航道工程局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EF4E6">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6AF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1160.0</w:t>
            </w:r>
          </w:p>
        </w:tc>
      </w:tr>
      <w:tr w14:paraId="73B03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B70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0A8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1月27日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185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工程进度款-石狮市财政局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FB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298.37</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207C">
            <w:pPr>
              <w:jc w:val="center"/>
              <w:rPr>
                <w:rFonts w:hint="eastAsia" w:ascii="仿宋" w:hAnsi="仿宋" w:eastAsia="仿宋" w:cs="仿宋"/>
                <w:i w:val="0"/>
                <w:iCs w:val="0"/>
                <w:color w:val="000000"/>
                <w:sz w:val="21"/>
                <w:szCs w:val="21"/>
                <w:u w:val="none"/>
              </w:rPr>
            </w:pPr>
          </w:p>
        </w:tc>
      </w:tr>
      <w:tr w14:paraId="25EFE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5F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22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1月27日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1D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工程进度款-石狮市财政局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CC0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250.00</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F533A">
            <w:pPr>
              <w:jc w:val="center"/>
              <w:rPr>
                <w:rFonts w:hint="eastAsia" w:ascii="仿宋" w:hAnsi="仿宋" w:eastAsia="仿宋" w:cs="仿宋"/>
                <w:i w:val="0"/>
                <w:iCs w:val="0"/>
                <w:color w:val="000000"/>
                <w:sz w:val="21"/>
                <w:szCs w:val="21"/>
                <w:u w:val="none"/>
              </w:rPr>
            </w:pPr>
          </w:p>
        </w:tc>
      </w:tr>
      <w:tr w14:paraId="450A8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0E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9ACD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1月27日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968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工程监理服务费-长航监理有限公司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7D93">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D30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18.37</w:t>
            </w:r>
          </w:p>
        </w:tc>
      </w:tr>
      <w:tr w14:paraId="5164F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7E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814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1月27日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5C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工程款-长江宜昌航道工程局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02D55">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E64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250.00</w:t>
            </w:r>
          </w:p>
        </w:tc>
      </w:tr>
      <w:tr w14:paraId="69343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F37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0DD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3月6日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41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工程款-长江宜昌航道工程局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78AF">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C8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280.00</w:t>
            </w:r>
          </w:p>
        </w:tc>
      </w:tr>
      <w:tr w14:paraId="72835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50C4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B59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5月9日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AA7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工程进度款-石狮市财政局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6A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346.57</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550E8">
            <w:pPr>
              <w:jc w:val="center"/>
              <w:rPr>
                <w:rFonts w:hint="eastAsia" w:ascii="仿宋" w:hAnsi="仿宋" w:eastAsia="仿宋" w:cs="仿宋"/>
                <w:i w:val="0"/>
                <w:iCs w:val="0"/>
                <w:color w:val="000000"/>
                <w:sz w:val="21"/>
                <w:szCs w:val="21"/>
                <w:u w:val="none"/>
              </w:rPr>
            </w:pPr>
          </w:p>
        </w:tc>
      </w:tr>
      <w:tr w14:paraId="4B82E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EC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5B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5月9日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471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工程监理服务费-长航监理有限公司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96A0F">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406C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18.37</w:t>
            </w:r>
          </w:p>
        </w:tc>
      </w:tr>
      <w:tr w14:paraId="22133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A1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CC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5月9日</w:t>
            </w:r>
          </w:p>
        </w:tc>
        <w:tc>
          <w:tcPr>
            <w:tcW w:w="4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BD2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工程款-长江宜昌航道工程局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C4598">
            <w:pPr>
              <w:jc w:val="center"/>
              <w:rPr>
                <w:rFonts w:hint="eastAsia" w:ascii="仿宋" w:hAnsi="仿宋" w:eastAsia="仿宋" w:cs="仿宋"/>
                <w:i w:val="0"/>
                <w:iCs w:val="0"/>
                <w:color w:val="000000"/>
                <w:sz w:val="21"/>
                <w:szCs w:val="21"/>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8E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218.20</w:t>
            </w:r>
          </w:p>
        </w:tc>
      </w:tr>
      <w:tr w14:paraId="11475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6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F87F37">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合计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C344">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2073.31</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4B00">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2074.31</w:t>
            </w:r>
          </w:p>
        </w:tc>
      </w:tr>
    </w:tbl>
    <w:p w14:paraId="4FE0E8F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sz w:val="24"/>
          <w:szCs w:val="24"/>
        </w:rPr>
      </w:pPr>
      <w:bookmarkStart w:id="2" w:name="_Toc26081"/>
      <w:r>
        <w:rPr>
          <w:rFonts w:hint="eastAsia" w:ascii="仿宋_GB2312"/>
          <w:b/>
          <w:bCs/>
          <w:sz w:val="24"/>
          <w:szCs w:val="24"/>
        </w:rPr>
        <w:t>（二）项目绩效目标</w:t>
      </w:r>
      <w:bookmarkEnd w:id="2"/>
    </w:p>
    <w:p w14:paraId="65A718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cs="Times New Roman"/>
          <w:kern w:val="2"/>
          <w:sz w:val="24"/>
          <w:szCs w:val="24"/>
          <w:lang w:val="en-US" w:eastAsia="zh-CN" w:bidi="ar-SA"/>
        </w:rPr>
      </w:pPr>
      <w:r>
        <w:rPr>
          <w:rFonts w:hint="eastAsia" w:ascii="仿宋_GB2312" w:cs="Times New Roman"/>
          <w:kern w:val="2"/>
          <w:sz w:val="24"/>
          <w:szCs w:val="24"/>
          <w:highlight w:val="none"/>
          <w:lang w:val="en-US" w:eastAsia="zh-CN" w:bidi="ar-SA"/>
        </w:rPr>
        <w:t>石狮市锦尚东店一级渔港工程项目</w:t>
      </w:r>
      <w:r>
        <w:rPr>
          <w:rFonts w:hint="eastAsia" w:ascii="仿宋_GB2312" w:cs="Times New Roman"/>
          <w:kern w:val="2"/>
          <w:sz w:val="24"/>
          <w:szCs w:val="24"/>
          <w:lang w:val="en-US" w:eastAsia="zh-CN" w:bidi="ar-SA"/>
        </w:rPr>
        <w:t>的绩效目标是建成设施完备、功能齐全的一级渔港，提升渔业生产安全性和便利性，促进渔业经济可持续发展，助力乡村振兴战略实施。2024年阶段性目标是在建设期限内，完成各阶段工程建设任务，确保工程质量达标，资金合理使用，项目如期投入运营。</w:t>
      </w:r>
    </w:p>
    <w:p w14:paraId="143F97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p>
    <w:p w14:paraId="397447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outlineLvl w:val="0"/>
        <w:rPr>
          <w:rFonts w:ascii="黑体" w:hAnsi="黑体" w:eastAsia="黑体"/>
        </w:rPr>
      </w:pPr>
      <w:bookmarkStart w:id="3" w:name="_Toc16432"/>
      <w:r>
        <w:rPr>
          <w:rFonts w:hint="eastAsia" w:ascii="仿宋" w:hAnsi="仿宋" w:eastAsia="仿宋" w:cs="仿宋"/>
          <w:b/>
          <w:bCs/>
          <w:sz w:val="28"/>
          <w:szCs w:val="28"/>
        </w:rPr>
        <w:t>二、绩效评价工作开展情况</w:t>
      </w:r>
      <w:bookmarkEnd w:id="3"/>
    </w:p>
    <w:p w14:paraId="517650E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cs="Times New Roman"/>
          <w:b/>
          <w:bCs/>
          <w:sz w:val="24"/>
          <w:szCs w:val="24"/>
        </w:rPr>
      </w:pPr>
      <w:bookmarkStart w:id="4" w:name="_Toc4593"/>
      <w:r>
        <w:rPr>
          <w:rFonts w:hint="eastAsia" w:ascii="仿宋_GB2312" w:hAnsi="Times New Roman" w:cs="Times New Roman"/>
          <w:b/>
          <w:bCs/>
          <w:sz w:val="24"/>
          <w:szCs w:val="24"/>
        </w:rPr>
        <w:t>（一）绩效评价目的、对象和范围</w:t>
      </w:r>
      <w:bookmarkEnd w:id="4"/>
    </w:p>
    <w:p w14:paraId="25E29F31">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firstLineChars="200"/>
        <w:textAlignment w:val="auto"/>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1.绩效评价目的</w:t>
      </w:r>
    </w:p>
    <w:p w14:paraId="2EF89566">
      <w:pPr>
        <w:spacing w:line="360" w:lineRule="auto"/>
        <w:ind w:firstLine="480" w:firstLineChars="200"/>
        <w:rPr>
          <w:rFonts w:ascii="宋体" w:hAnsi="宋体" w:cs="宋体"/>
          <w:sz w:val="24"/>
        </w:rPr>
      </w:pPr>
      <w:r>
        <w:rPr>
          <w:rFonts w:hint="eastAsia" w:ascii="宋体" w:hAnsi="宋体" w:cs="宋体"/>
          <w:sz w:val="24"/>
        </w:rPr>
        <w:t>工作组对</w:t>
      </w:r>
      <w:r>
        <w:rPr>
          <w:rFonts w:hint="eastAsia" w:ascii="仿宋_GB2312" w:cs="Times New Roman"/>
          <w:kern w:val="2"/>
          <w:sz w:val="24"/>
          <w:szCs w:val="24"/>
          <w:highlight w:val="none"/>
          <w:lang w:val="en-US" w:eastAsia="zh-CN" w:bidi="ar-SA"/>
        </w:rPr>
        <w:t>石狮市锦尚东店一级渔港工程项目</w:t>
      </w:r>
      <w:r>
        <w:rPr>
          <w:rFonts w:hint="eastAsia" w:ascii="宋体" w:hAnsi="宋体" w:cs="宋体"/>
          <w:sz w:val="24"/>
          <w:lang w:val="en-US" w:eastAsia="zh-CN"/>
        </w:rPr>
        <w:t>经</w:t>
      </w:r>
      <w:r>
        <w:rPr>
          <w:rFonts w:hint="eastAsia" w:hAnsi="宋体" w:cs="宋体"/>
          <w:sz w:val="24"/>
          <w:szCs w:val="24"/>
          <w:lang w:val="en-US" w:eastAsia="zh-CN"/>
        </w:rPr>
        <w:t>费</w:t>
      </w:r>
      <w:r>
        <w:rPr>
          <w:rFonts w:hint="eastAsia" w:ascii="宋体" w:hAnsi="宋体" w:cs="宋体"/>
          <w:sz w:val="24"/>
        </w:rPr>
        <w:t>进行评价，目的是从决策角度的项目立项、绩效目标设定和资金投入考察资金投入的合规合理性，从过程角度了解资金管理情况和组织实施情况，从产出角度分析资金使用的产出数量和质量是否符合预期，从效益角度分析资金使用是否实现应有的效果和满意度。最终目的是通过对决策、过程、产出和效益四个角度的分析总结经验，为改善政府管理、纠正目标与实际的偏差提供依据。</w:t>
      </w:r>
      <w:r>
        <w:rPr>
          <w:rFonts w:hint="eastAsia" w:ascii="宋体" w:hAnsi="宋体" w:cs="宋体"/>
          <w:sz w:val="24"/>
          <w:lang w:val="en-US" w:eastAsia="zh-CN"/>
        </w:rPr>
        <w:t>工作组</w:t>
      </w:r>
      <w:r>
        <w:rPr>
          <w:rFonts w:hint="eastAsia" w:ascii="宋体" w:hAnsi="宋体" w:cs="宋体"/>
          <w:sz w:val="24"/>
        </w:rPr>
        <w:t>通过对</w:t>
      </w:r>
      <w:r>
        <w:rPr>
          <w:rFonts w:hint="eastAsia" w:ascii="仿宋_GB2312" w:cs="Times New Roman"/>
          <w:kern w:val="2"/>
          <w:sz w:val="24"/>
          <w:szCs w:val="24"/>
          <w:highlight w:val="none"/>
          <w:lang w:val="en-US" w:eastAsia="zh-CN" w:bidi="ar-SA"/>
        </w:rPr>
        <w:t>石狮市锦尚东店一级渔港工程项目</w:t>
      </w:r>
      <w:r>
        <w:rPr>
          <w:rFonts w:hint="eastAsia" w:ascii="宋体" w:hAnsi="宋体" w:cs="宋体"/>
          <w:sz w:val="24"/>
          <w:lang w:val="en-US" w:eastAsia="zh-CN"/>
        </w:rPr>
        <w:t>经</w:t>
      </w:r>
      <w:r>
        <w:rPr>
          <w:rFonts w:hint="eastAsia" w:hAnsi="宋体" w:cs="宋体"/>
          <w:sz w:val="24"/>
          <w:szCs w:val="24"/>
          <w:lang w:val="en-US" w:eastAsia="zh-CN"/>
        </w:rPr>
        <w:t>费</w:t>
      </w:r>
      <w:r>
        <w:rPr>
          <w:rFonts w:hint="eastAsia" w:ascii="宋体" w:hAnsi="宋体"/>
          <w:sz w:val="24"/>
        </w:rPr>
        <w:t>拨付、使</w:t>
      </w:r>
      <w:r>
        <w:rPr>
          <w:rFonts w:hint="eastAsia" w:ascii="宋体" w:hAnsi="宋体"/>
          <w:sz w:val="24"/>
          <w:lang w:val="en-US" w:eastAsia="zh-CN"/>
        </w:rPr>
        <w:t>用和项目施工情况</w:t>
      </w:r>
      <w:r>
        <w:rPr>
          <w:rFonts w:hint="eastAsia" w:ascii="宋体" w:hAnsi="宋体"/>
          <w:sz w:val="24"/>
        </w:rPr>
        <w:t>的调研，拟定该项资金绩效评价指标体系，评价该项资金的绩效目标完成情况，剖析该项资金在决策、管理及项目实施过程中存在的问题，并探讨其可能的原因，最后提出相应的解决对策，为提高</w:t>
      </w:r>
      <w:r>
        <w:rPr>
          <w:rFonts w:hint="eastAsia" w:ascii="宋体" w:hAnsi="宋体"/>
          <w:sz w:val="24"/>
          <w:lang w:val="en-US" w:eastAsia="zh-CN"/>
        </w:rPr>
        <w:t>资金</w:t>
      </w:r>
      <w:r>
        <w:rPr>
          <w:rFonts w:hint="eastAsia" w:ascii="宋体" w:hAnsi="宋体"/>
          <w:sz w:val="24"/>
        </w:rPr>
        <w:t>的使用效率提供参考依据。</w:t>
      </w:r>
    </w:p>
    <w:p w14:paraId="2511695E">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firstLineChars="200"/>
        <w:textAlignment w:val="auto"/>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2.绩效评价对象和范围</w:t>
      </w:r>
    </w:p>
    <w:p w14:paraId="6C7EADC2">
      <w:pPr>
        <w:pStyle w:val="6"/>
        <w:spacing w:line="360" w:lineRule="auto"/>
        <w:ind w:firstLine="480" w:firstLineChars="200"/>
      </w:pPr>
      <w:r>
        <w:rPr>
          <w:rFonts w:hint="eastAsia" w:hAnsi="宋体" w:cs="宋体"/>
          <w:sz w:val="24"/>
          <w:szCs w:val="24"/>
        </w:rPr>
        <w:t>绩效评价对象为</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ascii="宋体" w:hAnsi="宋体" w:cs="宋体"/>
          <w:sz w:val="24"/>
          <w:lang w:val="en-US" w:eastAsia="zh-CN"/>
        </w:rPr>
        <w:t>经</w:t>
      </w:r>
      <w:r>
        <w:rPr>
          <w:rFonts w:hint="eastAsia" w:hAnsi="宋体" w:cs="宋体"/>
          <w:sz w:val="24"/>
          <w:szCs w:val="24"/>
          <w:lang w:val="en-US" w:eastAsia="zh-CN"/>
        </w:rPr>
        <w:t>费</w:t>
      </w:r>
      <w:r>
        <w:rPr>
          <w:rFonts w:hint="eastAsia" w:hAnsi="宋体" w:cs="宋体"/>
          <w:sz w:val="24"/>
          <w:szCs w:val="24"/>
        </w:rPr>
        <w:t>，本报告所评价资金</w:t>
      </w:r>
      <w:r>
        <w:rPr>
          <w:rFonts w:hint="eastAsia" w:hAnsi="宋体" w:cs="宋体"/>
          <w:sz w:val="24"/>
          <w:szCs w:val="24"/>
          <w:lang w:val="en-US" w:eastAsia="zh-CN"/>
        </w:rPr>
        <w:t>为</w:t>
      </w:r>
      <w:r>
        <w:rPr>
          <w:rFonts w:hint="eastAsia" w:ascii="仿宋_GB2312" w:cs="Times New Roman"/>
          <w:kern w:val="2"/>
          <w:sz w:val="24"/>
          <w:szCs w:val="24"/>
          <w:lang w:val="en-US" w:eastAsia="zh-CN" w:bidi="ar-SA"/>
        </w:rPr>
        <w:t>《福建省财政厅福建省海与渔业局关于下达2024年渔业发展补助资金（第三批）的通知》（闽财农指〔2024〕81号）渔业发展补助资金</w:t>
      </w:r>
      <w:r>
        <w:rPr>
          <w:rFonts w:hint="eastAsia" w:hAnsi="宋体" w:cs="宋体"/>
          <w:sz w:val="24"/>
          <w:szCs w:val="24"/>
          <w:lang w:val="en-US" w:eastAsia="zh-CN"/>
        </w:rPr>
        <w:t>。</w:t>
      </w:r>
      <w:r>
        <w:rPr>
          <w:rFonts w:hint="eastAsia" w:hAnsi="宋体" w:cs="宋体"/>
          <w:sz w:val="24"/>
          <w:szCs w:val="24"/>
        </w:rPr>
        <w:t>评价范围是项目决策：包括立项程序、绩效目标设定和资金投入情况；项目</w:t>
      </w:r>
      <w:r>
        <w:rPr>
          <w:rFonts w:hint="eastAsia" w:hAnsi="宋体" w:cs="宋体"/>
          <w:sz w:val="24"/>
          <w:szCs w:val="24"/>
          <w:lang w:val="en-US" w:eastAsia="zh-CN"/>
        </w:rPr>
        <w:t>过程</w:t>
      </w:r>
      <w:r>
        <w:rPr>
          <w:rFonts w:hint="eastAsia" w:hAnsi="宋体" w:cs="宋体"/>
          <w:sz w:val="24"/>
          <w:szCs w:val="24"/>
        </w:rPr>
        <w:t>：包括</w:t>
      </w:r>
      <w:r>
        <w:rPr>
          <w:rFonts w:hint="eastAsia" w:hAnsi="宋体" w:cs="宋体"/>
          <w:sz w:val="24"/>
          <w:szCs w:val="24"/>
          <w:lang w:val="en-US" w:eastAsia="zh-CN"/>
        </w:rPr>
        <w:t>管理、资金管理、</w:t>
      </w:r>
      <w:r>
        <w:rPr>
          <w:rFonts w:hint="eastAsia" w:hAnsi="宋体" w:cs="宋体"/>
          <w:sz w:val="24"/>
          <w:szCs w:val="24"/>
        </w:rPr>
        <w:t>组织实施情况</w:t>
      </w:r>
      <w:r>
        <w:rPr>
          <w:rFonts w:hint="eastAsia" w:hAnsi="宋体" w:cs="宋体"/>
          <w:sz w:val="24"/>
          <w:szCs w:val="24"/>
          <w:lang w:val="en-US" w:eastAsia="zh-CN"/>
        </w:rPr>
        <w:t>等</w:t>
      </w:r>
      <w:r>
        <w:rPr>
          <w:rFonts w:hint="eastAsia" w:hAnsi="宋体" w:cs="宋体"/>
          <w:sz w:val="24"/>
          <w:szCs w:val="24"/>
        </w:rPr>
        <w:t>；项目产出：包括产出数量、质量</w:t>
      </w:r>
      <w:r>
        <w:rPr>
          <w:rFonts w:hint="eastAsia" w:hAnsi="宋体" w:cs="宋体"/>
          <w:sz w:val="24"/>
          <w:szCs w:val="24"/>
          <w:lang w:eastAsia="zh-CN"/>
        </w:rPr>
        <w:t>、</w:t>
      </w:r>
      <w:r>
        <w:rPr>
          <w:rFonts w:hint="eastAsia" w:hAnsi="宋体" w:cs="宋体"/>
          <w:sz w:val="24"/>
          <w:szCs w:val="24"/>
          <w:lang w:val="en-US" w:eastAsia="zh-CN"/>
        </w:rPr>
        <w:t>时效、成本</w:t>
      </w:r>
      <w:r>
        <w:rPr>
          <w:rFonts w:hint="eastAsia" w:hAnsi="宋体" w:cs="宋体"/>
          <w:sz w:val="24"/>
          <w:szCs w:val="24"/>
          <w:lang w:eastAsia="zh-CN"/>
        </w:rPr>
        <w:t>；</w:t>
      </w:r>
      <w:r>
        <w:rPr>
          <w:rFonts w:hint="eastAsia" w:hAnsi="宋体" w:cs="宋体"/>
          <w:sz w:val="24"/>
          <w:szCs w:val="24"/>
        </w:rPr>
        <w:t>项目效益：包</w:t>
      </w:r>
      <w:r>
        <w:rPr>
          <w:rFonts w:hint="eastAsia" w:hAnsi="宋体" w:cs="宋体"/>
          <w:sz w:val="24"/>
          <w:szCs w:val="24"/>
          <w:lang w:val="en-US" w:eastAsia="zh-CN"/>
        </w:rPr>
        <w:t>括带来的社会效益、经济效益、生态效益、可持续影响和满意度。</w:t>
      </w:r>
    </w:p>
    <w:p w14:paraId="079A180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cs="Times New Roman"/>
          <w:b/>
          <w:bCs/>
          <w:sz w:val="24"/>
          <w:szCs w:val="24"/>
        </w:rPr>
      </w:pPr>
      <w:bookmarkStart w:id="5" w:name="_Toc273"/>
      <w:r>
        <w:rPr>
          <w:rFonts w:hint="eastAsia" w:ascii="仿宋_GB2312" w:hAnsi="Times New Roman" w:cs="Times New Roman"/>
          <w:b/>
          <w:bCs/>
          <w:sz w:val="24"/>
          <w:szCs w:val="24"/>
        </w:rPr>
        <w:t>（二）绩效评价原则</w:t>
      </w:r>
      <w:r>
        <w:rPr>
          <w:rFonts w:hint="eastAsia" w:ascii="仿宋_GB2312"/>
        </w:rPr>
        <w:t>、</w:t>
      </w:r>
      <w:r>
        <w:rPr>
          <w:rFonts w:hint="eastAsia" w:ascii="仿宋_GB2312" w:hAnsi="Times New Roman" w:cs="Times New Roman"/>
          <w:b/>
          <w:bCs/>
          <w:sz w:val="24"/>
          <w:szCs w:val="24"/>
        </w:rPr>
        <w:t>评价指标体系、评价方法、评价标准</w:t>
      </w:r>
      <w:bookmarkEnd w:id="5"/>
    </w:p>
    <w:p w14:paraId="22027EA6">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firstLineChars="200"/>
        <w:textAlignment w:val="auto"/>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1.绩效评价原则</w:t>
      </w:r>
    </w:p>
    <w:p w14:paraId="2A76F964">
      <w:pPr>
        <w:pStyle w:val="6"/>
        <w:spacing w:line="360" w:lineRule="auto"/>
        <w:ind w:firstLine="480" w:firstLineChars="200"/>
        <w:rPr>
          <w:rFonts w:hAnsi="宋体" w:cs="宋体"/>
          <w:sz w:val="24"/>
          <w:szCs w:val="24"/>
        </w:rPr>
      </w:pP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ascii="宋体" w:hAnsi="宋体" w:cs="宋体"/>
          <w:sz w:val="24"/>
          <w:lang w:val="en-US" w:eastAsia="zh-CN"/>
        </w:rPr>
        <w:t>经</w:t>
      </w:r>
      <w:r>
        <w:rPr>
          <w:rFonts w:hint="eastAsia" w:hAnsi="宋体" w:cs="宋体"/>
          <w:sz w:val="24"/>
          <w:szCs w:val="24"/>
          <w:lang w:val="en-US" w:eastAsia="zh-CN"/>
        </w:rPr>
        <w:t>费</w:t>
      </w:r>
      <w:r>
        <w:rPr>
          <w:rFonts w:hint="eastAsia" w:hAnsi="宋体" w:cs="宋体"/>
          <w:sz w:val="24"/>
          <w:szCs w:val="24"/>
        </w:rPr>
        <w:t>绩效评价应根据设定的绩效目标，运用科学、合理的绩效评价指标、评价标准和评价方法，按照</w:t>
      </w:r>
      <w:r>
        <w:rPr>
          <w:rFonts w:hAnsi="宋体" w:cs="宋体"/>
          <w:sz w:val="24"/>
          <w:szCs w:val="24"/>
        </w:rPr>
        <w:t>财政支出绩效考评</w:t>
      </w:r>
      <w:r>
        <w:rPr>
          <w:rFonts w:hint="eastAsia" w:hAnsi="宋体" w:cs="宋体"/>
          <w:sz w:val="24"/>
          <w:szCs w:val="24"/>
          <w:lang w:val="en-US" w:eastAsia="zh-CN"/>
        </w:rPr>
        <w:t>4</w:t>
      </w:r>
      <w:r>
        <w:rPr>
          <w:rFonts w:hint="eastAsia" w:hAnsi="宋体" w:cs="宋体"/>
          <w:sz w:val="24"/>
          <w:szCs w:val="24"/>
        </w:rPr>
        <w:t>E原则，对</w:t>
      </w:r>
      <w:r>
        <w:rPr>
          <w:rFonts w:hint="eastAsia" w:hAnsi="宋体" w:cs="宋体"/>
          <w:sz w:val="24"/>
          <w:szCs w:val="24"/>
          <w:lang w:val="en-US" w:eastAsia="zh-CN"/>
        </w:rPr>
        <w:t>项目经费</w:t>
      </w:r>
      <w:r>
        <w:rPr>
          <w:rFonts w:hint="eastAsia" w:hAnsi="宋体" w:cs="宋体"/>
          <w:sz w:val="24"/>
          <w:szCs w:val="24"/>
        </w:rPr>
        <w:t>的经济性、效率性</w:t>
      </w:r>
      <w:r>
        <w:rPr>
          <w:rFonts w:hint="eastAsia" w:hAnsi="宋体" w:cs="宋体"/>
          <w:sz w:val="24"/>
          <w:szCs w:val="24"/>
          <w:lang w:eastAsia="zh-CN"/>
        </w:rPr>
        <w:t>、</w:t>
      </w:r>
      <w:r>
        <w:rPr>
          <w:rFonts w:hint="eastAsia" w:hAnsi="宋体" w:cs="宋体"/>
          <w:sz w:val="24"/>
          <w:szCs w:val="24"/>
        </w:rPr>
        <w:t>效</w:t>
      </w:r>
      <w:r>
        <w:rPr>
          <w:rFonts w:hint="eastAsia" w:hAnsi="宋体" w:cs="宋体"/>
          <w:sz w:val="24"/>
          <w:szCs w:val="24"/>
          <w:lang w:val="en-US" w:eastAsia="zh-CN"/>
        </w:rPr>
        <w:t>果</w:t>
      </w:r>
      <w:r>
        <w:rPr>
          <w:rFonts w:hint="eastAsia" w:hAnsi="宋体" w:cs="宋体"/>
          <w:sz w:val="24"/>
          <w:szCs w:val="24"/>
        </w:rPr>
        <w:t>性</w:t>
      </w:r>
      <w:r>
        <w:rPr>
          <w:rFonts w:hint="eastAsia" w:hAnsi="宋体" w:cs="宋体"/>
          <w:sz w:val="24"/>
          <w:szCs w:val="24"/>
          <w:lang w:val="en-US" w:eastAsia="zh-CN"/>
        </w:rPr>
        <w:t>和公平性</w:t>
      </w:r>
      <w:r>
        <w:rPr>
          <w:rFonts w:hint="eastAsia" w:hAnsi="宋体" w:cs="宋体"/>
          <w:sz w:val="24"/>
          <w:szCs w:val="24"/>
        </w:rPr>
        <w:t>进行客观、公正的评价。根据《项目支出绩效评价管理办法》（财预〔2020〕10号），绩效评</w:t>
      </w:r>
      <w:r>
        <w:rPr>
          <w:rFonts w:hAnsi="宋体" w:cs="宋体"/>
          <w:sz w:val="24"/>
          <w:szCs w:val="24"/>
        </w:rPr>
        <w:t>价指标的确定应当遵循以下基本原则：</w:t>
      </w:r>
    </w:p>
    <w:p w14:paraId="4728463C">
      <w:pPr>
        <w:pStyle w:val="6"/>
        <w:spacing w:line="360" w:lineRule="auto"/>
        <w:ind w:firstLine="480" w:firstLineChars="200"/>
        <w:rPr>
          <w:rFonts w:hAnsi="宋体" w:cs="宋体"/>
          <w:sz w:val="24"/>
          <w:szCs w:val="24"/>
        </w:rPr>
      </w:pPr>
      <w:r>
        <w:rPr>
          <w:rFonts w:hint="eastAsia" w:hAnsi="宋体" w:cs="宋体"/>
          <w:sz w:val="24"/>
          <w:szCs w:val="24"/>
        </w:rPr>
        <w:t>（1）</w:t>
      </w:r>
      <w:r>
        <w:rPr>
          <w:rFonts w:hAnsi="宋体" w:cs="宋体"/>
          <w:sz w:val="24"/>
          <w:szCs w:val="24"/>
        </w:rPr>
        <w:t>相关性原则。确定的绩效评价指标应当与绩效目标有直接的联系，能够恰当反</w:t>
      </w:r>
      <w:r>
        <w:rPr>
          <w:rFonts w:hint="eastAsia" w:hAnsi="宋体" w:cs="宋体"/>
          <w:sz w:val="24"/>
          <w:szCs w:val="24"/>
        </w:rPr>
        <w:t>映目标的实现程度。</w:t>
      </w:r>
    </w:p>
    <w:p w14:paraId="5A76AE4C">
      <w:pPr>
        <w:pStyle w:val="6"/>
        <w:spacing w:line="360" w:lineRule="auto"/>
        <w:ind w:firstLine="480" w:firstLineChars="200"/>
        <w:rPr>
          <w:rFonts w:hAnsi="宋体" w:cs="宋体"/>
          <w:sz w:val="24"/>
          <w:szCs w:val="24"/>
        </w:rPr>
      </w:pPr>
      <w:r>
        <w:rPr>
          <w:rFonts w:hint="eastAsia" w:hAnsi="宋体" w:cs="宋体"/>
          <w:sz w:val="24"/>
          <w:szCs w:val="24"/>
        </w:rPr>
        <w:t>（2）</w:t>
      </w:r>
      <w:r>
        <w:rPr>
          <w:rFonts w:hAnsi="宋体" w:cs="宋体"/>
          <w:sz w:val="24"/>
          <w:szCs w:val="24"/>
        </w:rPr>
        <w:t>重要性原则。应当优先使用最具评价对象代表性、最能反映评价要求的核心指标。</w:t>
      </w:r>
    </w:p>
    <w:p w14:paraId="05128917">
      <w:pPr>
        <w:pStyle w:val="6"/>
        <w:spacing w:line="360" w:lineRule="auto"/>
        <w:ind w:firstLine="480" w:firstLineChars="200"/>
        <w:rPr>
          <w:rFonts w:hAnsi="宋体" w:cs="宋体"/>
          <w:sz w:val="24"/>
          <w:szCs w:val="24"/>
        </w:rPr>
      </w:pPr>
      <w:r>
        <w:rPr>
          <w:rFonts w:hint="eastAsia" w:hAnsi="宋体" w:cs="宋体"/>
          <w:sz w:val="24"/>
          <w:szCs w:val="24"/>
        </w:rPr>
        <w:t>（</w:t>
      </w:r>
      <w:r>
        <w:rPr>
          <w:rFonts w:hAnsi="宋体" w:cs="宋体"/>
          <w:sz w:val="24"/>
          <w:szCs w:val="24"/>
        </w:rPr>
        <w:t>3</w:t>
      </w:r>
      <w:r>
        <w:rPr>
          <w:rFonts w:hint="eastAsia" w:hAnsi="宋体" w:cs="宋体"/>
          <w:sz w:val="24"/>
          <w:szCs w:val="24"/>
        </w:rPr>
        <w:t>）</w:t>
      </w:r>
      <w:r>
        <w:rPr>
          <w:rFonts w:hAnsi="宋体" w:cs="宋体"/>
          <w:sz w:val="24"/>
          <w:szCs w:val="24"/>
        </w:rPr>
        <w:t>可比性原则。对同类评价对象要设定共性的绩效评价指标，以便于评价结果可以相互比较。</w:t>
      </w:r>
    </w:p>
    <w:p w14:paraId="32A30CF8">
      <w:pPr>
        <w:pStyle w:val="6"/>
        <w:spacing w:line="360" w:lineRule="auto"/>
        <w:ind w:firstLine="480" w:firstLineChars="200"/>
        <w:rPr>
          <w:rFonts w:hAnsi="宋体" w:cs="宋体"/>
          <w:sz w:val="24"/>
          <w:szCs w:val="24"/>
        </w:rPr>
      </w:pPr>
      <w:r>
        <w:rPr>
          <w:rFonts w:hint="eastAsia" w:hAnsi="宋体" w:cs="宋体"/>
          <w:sz w:val="24"/>
          <w:szCs w:val="24"/>
        </w:rPr>
        <w:t>（</w:t>
      </w:r>
      <w:r>
        <w:rPr>
          <w:rFonts w:hAnsi="宋体" w:cs="宋体"/>
          <w:sz w:val="24"/>
          <w:szCs w:val="24"/>
        </w:rPr>
        <w:t>4</w:t>
      </w:r>
      <w:r>
        <w:rPr>
          <w:rFonts w:hint="eastAsia" w:hAnsi="宋体" w:cs="宋体"/>
          <w:sz w:val="24"/>
          <w:szCs w:val="24"/>
        </w:rPr>
        <w:t>）</w:t>
      </w:r>
      <w:r>
        <w:rPr>
          <w:rFonts w:hAnsi="宋体" w:cs="宋体"/>
          <w:sz w:val="24"/>
          <w:szCs w:val="24"/>
        </w:rPr>
        <w:t>系统性原则。应当将定量指标与定性指标相结合，系统反映财政支出所产生的社会效益、经济效益、</w:t>
      </w:r>
      <w:r>
        <w:rPr>
          <w:rFonts w:hint="eastAsia" w:hAnsi="宋体" w:cs="宋体"/>
          <w:sz w:val="24"/>
          <w:szCs w:val="24"/>
        </w:rPr>
        <w:t>生态</w:t>
      </w:r>
      <w:r>
        <w:rPr>
          <w:rFonts w:hAnsi="宋体" w:cs="宋体"/>
          <w:sz w:val="24"/>
          <w:szCs w:val="24"/>
        </w:rPr>
        <w:t>效益和可持续影响等。</w:t>
      </w:r>
    </w:p>
    <w:p w14:paraId="3B74B330">
      <w:pPr>
        <w:pStyle w:val="6"/>
        <w:spacing w:line="360" w:lineRule="auto"/>
        <w:ind w:firstLine="480" w:firstLineChars="200"/>
        <w:rPr>
          <w:rFonts w:hAnsi="宋体" w:cs="宋体"/>
          <w:sz w:val="24"/>
          <w:szCs w:val="24"/>
        </w:rPr>
      </w:pPr>
      <w:r>
        <w:rPr>
          <w:rFonts w:hint="eastAsia" w:hAnsi="宋体" w:cs="宋体"/>
          <w:sz w:val="24"/>
          <w:szCs w:val="24"/>
        </w:rPr>
        <w:t>（</w:t>
      </w:r>
      <w:r>
        <w:rPr>
          <w:rFonts w:hAnsi="宋体" w:cs="宋体"/>
          <w:sz w:val="24"/>
          <w:szCs w:val="24"/>
        </w:rPr>
        <w:t>5</w:t>
      </w:r>
      <w:r>
        <w:rPr>
          <w:rFonts w:hint="eastAsia" w:hAnsi="宋体" w:cs="宋体"/>
          <w:sz w:val="24"/>
          <w:szCs w:val="24"/>
        </w:rPr>
        <w:t>）</w:t>
      </w:r>
      <w:r>
        <w:rPr>
          <w:rFonts w:hAnsi="宋体" w:cs="宋体"/>
          <w:sz w:val="24"/>
          <w:szCs w:val="24"/>
        </w:rPr>
        <w:t>经济性原则。绩效评价指标应当通俗易懂、简便易行，数据的获得应当考虑现实条件和可操作性，符合成本效益原则。</w:t>
      </w:r>
    </w:p>
    <w:p w14:paraId="073021FB">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firstLineChars="200"/>
        <w:textAlignment w:val="auto"/>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2.评价指标体系</w:t>
      </w:r>
    </w:p>
    <w:p w14:paraId="642BAF93">
      <w:pPr>
        <w:pStyle w:val="6"/>
        <w:spacing w:line="360" w:lineRule="auto"/>
        <w:ind w:firstLine="480" w:firstLineChars="200"/>
        <w:rPr>
          <w:rFonts w:hint="eastAsia" w:hAnsi="宋体"/>
          <w:sz w:val="24"/>
        </w:rPr>
      </w:pPr>
      <w:r>
        <w:rPr>
          <w:rFonts w:hint="eastAsia" w:hAnsi="宋体"/>
          <w:sz w:val="24"/>
        </w:rPr>
        <w:t>工作组根据财政部《项目支出绩效评价管理办法》（财预〔2020〕10号）文件的要求，依据上述原则，</w:t>
      </w:r>
      <w:r>
        <w:rPr>
          <w:rFonts w:hint="eastAsia" w:hAnsi="宋体"/>
          <w:sz w:val="24"/>
          <w:lang w:val="en-US" w:eastAsia="zh-CN"/>
        </w:rPr>
        <w:t>根据</w:t>
      </w:r>
      <w:r>
        <w:rPr>
          <w:rFonts w:hint="eastAsia" w:hAnsi="宋体"/>
          <w:sz w:val="24"/>
        </w:rPr>
        <w:t>项目</w:t>
      </w:r>
      <w:r>
        <w:rPr>
          <w:rFonts w:hint="eastAsia" w:hAnsi="宋体"/>
          <w:sz w:val="24"/>
          <w:lang w:val="en-US" w:eastAsia="zh-CN"/>
        </w:rPr>
        <w:t>立项文件</w:t>
      </w:r>
      <w:r>
        <w:rPr>
          <w:rFonts w:hint="eastAsia" w:hAnsi="宋体"/>
          <w:sz w:val="24"/>
        </w:rPr>
        <w:t>，围绕决策、过程、产出和效益四个方面设计绩效评价指标以及评分标准和分值</w:t>
      </w:r>
      <w:r>
        <w:rPr>
          <w:rFonts w:hint="eastAsia" w:hAnsi="宋体"/>
          <w:sz w:val="24"/>
          <w:highlight w:val="none"/>
        </w:rPr>
        <w:t>。指标体系共设置4个一级指标</w:t>
      </w:r>
      <w:r>
        <w:rPr>
          <w:rFonts w:hint="eastAsia" w:hAnsi="宋体"/>
          <w:sz w:val="24"/>
          <w:highlight w:val="none"/>
          <w:lang w:val="en-US" w:eastAsia="zh-CN"/>
        </w:rPr>
        <w:t>、13个二级指标、22个三级指标。</w:t>
      </w:r>
      <w:r>
        <w:rPr>
          <w:rFonts w:hint="eastAsia" w:hAnsi="宋体"/>
          <w:sz w:val="24"/>
          <w:highlight w:val="none"/>
        </w:rPr>
        <w:t>指标体系设定满分100分，其中：“决策”</w:t>
      </w:r>
      <w:r>
        <w:rPr>
          <w:rFonts w:hint="eastAsia" w:hAnsi="宋体"/>
          <w:sz w:val="24"/>
          <w:highlight w:val="none"/>
          <w:lang w:val="en-US" w:eastAsia="zh-CN"/>
        </w:rPr>
        <w:t>20</w:t>
      </w:r>
      <w:r>
        <w:rPr>
          <w:rFonts w:hint="eastAsia" w:hAnsi="宋体"/>
          <w:sz w:val="24"/>
          <w:highlight w:val="none"/>
        </w:rPr>
        <w:t>分，主要体现项目立项、绩效目标和资金投入情况；“过程”</w:t>
      </w:r>
      <w:r>
        <w:rPr>
          <w:rFonts w:hint="eastAsia" w:hAnsi="宋体"/>
          <w:sz w:val="24"/>
          <w:highlight w:val="none"/>
          <w:lang w:val="en-US" w:eastAsia="zh-CN"/>
        </w:rPr>
        <w:t>20</w:t>
      </w:r>
      <w:r>
        <w:rPr>
          <w:rFonts w:hint="eastAsia" w:hAnsi="宋体"/>
          <w:sz w:val="24"/>
          <w:highlight w:val="none"/>
        </w:rPr>
        <w:t>分，主要体现项目的资金管理</w:t>
      </w:r>
      <w:r>
        <w:rPr>
          <w:rFonts w:hint="eastAsia" w:hAnsi="宋体"/>
          <w:sz w:val="24"/>
          <w:highlight w:val="none"/>
          <w:lang w:eastAsia="zh-CN"/>
        </w:rPr>
        <w:t>、</w:t>
      </w:r>
      <w:r>
        <w:rPr>
          <w:rFonts w:hint="eastAsia" w:hAnsi="宋体"/>
          <w:sz w:val="24"/>
          <w:highlight w:val="none"/>
        </w:rPr>
        <w:t>组织实施</w:t>
      </w:r>
      <w:r>
        <w:rPr>
          <w:rFonts w:hint="eastAsia" w:hAnsi="宋体"/>
          <w:sz w:val="24"/>
          <w:highlight w:val="none"/>
          <w:lang w:val="en-US" w:eastAsia="zh-CN"/>
        </w:rPr>
        <w:t>和管理</w:t>
      </w:r>
      <w:r>
        <w:rPr>
          <w:rFonts w:hint="eastAsia" w:hAnsi="宋体"/>
          <w:sz w:val="24"/>
          <w:highlight w:val="none"/>
        </w:rPr>
        <w:t>方面的情况；“产出”</w:t>
      </w:r>
      <w:r>
        <w:rPr>
          <w:rFonts w:hint="eastAsia" w:hAnsi="宋体"/>
          <w:sz w:val="24"/>
          <w:highlight w:val="none"/>
          <w:lang w:val="en-US" w:eastAsia="zh-CN"/>
        </w:rPr>
        <w:t>30</w:t>
      </w:r>
      <w:r>
        <w:rPr>
          <w:rFonts w:hint="eastAsia" w:hAnsi="宋体"/>
          <w:sz w:val="24"/>
          <w:highlight w:val="none"/>
        </w:rPr>
        <w:t>分，主要体现项目产出数量</w:t>
      </w:r>
      <w:r>
        <w:rPr>
          <w:rFonts w:hint="eastAsia" w:hAnsi="宋体"/>
          <w:sz w:val="24"/>
          <w:highlight w:val="none"/>
          <w:lang w:eastAsia="zh-CN"/>
        </w:rPr>
        <w:t>、</w:t>
      </w:r>
      <w:r>
        <w:rPr>
          <w:rFonts w:hint="eastAsia" w:hAnsi="宋体"/>
          <w:sz w:val="24"/>
          <w:highlight w:val="none"/>
        </w:rPr>
        <w:t>产出质量</w:t>
      </w:r>
      <w:r>
        <w:rPr>
          <w:rFonts w:hint="eastAsia" w:hAnsi="宋体"/>
          <w:sz w:val="24"/>
          <w:highlight w:val="none"/>
          <w:lang w:val="en-US" w:eastAsia="zh-CN"/>
        </w:rPr>
        <w:t>、产出时效和产出成本</w:t>
      </w:r>
      <w:r>
        <w:rPr>
          <w:rFonts w:hint="eastAsia" w:hAnsi="宋体"/>
          <w:sz w:val="24"/>
          <w:highlight w:val="none"/>
        </w:rPr>
        <w:t>；“效益”</w:t>
      </w:r>
      <w:r>
        <w:rPr>
          <w:rFonts w:hint="eastAsia" w:hAnsi="宋体"/>
          <w:sz w:val="24"/>
          <w:highlight w:val="none"/>
          <w:lang w:val="en-US" w:eastAsia="zh-CN"/>
        </w:rPr>
        <w:t>30</w:t>
      </w:r>
      <w:r>
        <w:rPr>
          <w:rFonts w:hint="eastAsia" w:hAnsi="宋体"/>
          <w:sz w:val="24"/>
          <w:highlight w:val="none"/>
        </w:rPr>
        <w:t>分，主要体现项目社会效益、</w:t>
      </w:r>
      <w:r>
        <w:rPr>
          <w:rFonts w:hint="eastAsia" w:hAnsi="宋体"/>
          <w:sz w:val="24"/>
          <w:highlight w:val="none"/>
          <w:lang w:val="en-US" w:eastAsia="zh-CN"/>
        </w:rPr>
        <w:t>生态效益、</w:t>
      </w:r>
      <w:r>
        <w:rPr>
          <w:rFonts w:hint="eastAsia" w:hAnsi="宋体"/>
          <w:sz w:val="24"/>
          <w:highlight w:val="none"/>
        </w:rPr>
        <w:t>可持续影响和服务对象满意度等。</w:t>
      </w:r>
      <w:r>
        <w:rPr>
          <w:rFonts w:hint="eastAsia" w:hAnsi="宋体"/>
          <w:sz w:val="24"/>
        </w:rPr>
        <w:t>基于</w:t>
      </w:r>
      <w:r>
        <w:rPr>
          <w:rFonts w:hint="eastAsia" w:hAnsi="宋体"/>
          <w:sz w:val="24"/>
          <w:lang w:val="en-US" w:eastAsia="zh-CN"/>
        </w:rPr>
        <w:t>第三方</w:t>
      </w:r>
      <w:r>
        <w:rPr>
          <w:rFonts w:hint="eastAsia" w:hAnsi="宋体"/>
          <w:sz w:val="24"/>
        </w:rPr>
        <w:t>独立评价的特点和要求，指标设置和评分标准力求可行性、客观性、科学性与简明性。指标体系和评分标准</w:t>
      </w:r>
      <w:r>
        <w:rPr>
          <w:rFonts w:hint="eastAsia" w:hAnsi="宋体"/>
          <w:sz w:val="24"/>
          <w:lang w:val="en-US" w:eastAsia="zh-CN"/>
        </w:rPr>
        <w:t>详见附表</w:t>
      </w:r>
      <w:r>
        <w:rPr>
          <w:rFonts w:hint="eastAsia" w:hAnsi="宋体"/>
          <w:sz w:val="24"/>
        </w:rPr>
        <w:t>。</w:t>
      </w:r>
    </w:p>
    <w:p w14:paraId="31B8A89B">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firstLineChars="200"/>
        <w:textAlignment w:val="auto"/>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3.绩效评价方法的选用</w:t>
      </w:r>
    </w:p>
    <w:p w14:paraId="1509576E">
      <w:pPr>
        <w:pStyle w:val="6"/>
        <w:spacing w:line="360" w:lineRule="auto"/>
        <w:ind w:firstLine="480" w:firstLineChars="200"/>
        <w:rPr>
          <w:rFonts w:hAnsi="宋体" w:cs="宋体"/>
          <w:sz w:val="24"/>
          <w:szCs w:val="24"/>
        </w:rPr>
      </w:pPr>
      <w:r>
        <w:rPr>
          <w:rFonts w:hint="eastAsia" w:hAnsi="宋体" w:cs="宋体"/>
          <w:sz w:val="24"/>
          <w:szCs w:val="24"/>
        </w:rPr>
        <w:t>根据财政部</w:t>
      </w:r>
      <w:r>
        <w:rPr>
          <w:rFonts w:hint="eastAsia" w:hAnsi="宋体"/>
          <w:sz w:val="24"/>
        </w:rPr>
        <w:t>《项目支出绩效评价管理办法》</w:t>
      </w:r>
      <w:r>
        <w:rPr>
          <w:rFonts w:hint="eastAsia" w:hAnsi="宋体" w:cs="宋体"/>
          <w:sz w:val="24"/>
        </w:rPr>
        <w:t>（</w:t>
      </w:r>
      <w:r>
        <w:rPr>
          <w:rFonts w:hAnsi="宋体" w:cs="宋体"/>
          <w:sz w:val="24"/>
        </w:rPr>
        <w:t>财预〔2020〕10号</w:t>
      </w:r>
      <w:r>
        <w:rPr>
          <w:rFonts w:hint="eastAsia" w:hAnsi="宋体" w:cs="宋体"/>
          <w:sz w:val="24"/>
        </w:rPr>
        <w:t>）</w:t>
      </w:r>
      <w:r>
        <w:rPr>
          <w:rFonts w:hint="eastAsia" w:hAnsi="宋体" w:cs="宋体"/>
          <w:sz w:val="24"/>
          <w:szCs w:val="24"/>
        </w:rPr>
        <w:t>规定的绩效评价方法，</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sz w:val="24"/>
          <w:szCs w:val="24"/>
          <w:lang w:val="en-US" w:eastAsia="zh-CN"/>
        </w:rPr>
        <w:t>经费</w:t>
      </w:r>
      <w:r>
        <w:rPr>
          <w:rFonts w:hint="eastAsia" w:hAnsi="宋体" w:cs="宋体"/>
          <w:sz w:val="24"/>
          <w:szCs w:val="24"/>
        </w:rPr>
        <w:t>绩效评价主要采用</w:t>
      </w:r>
      <w:r>
        <w:rPr>
          <w:rFonts w:hint="eastAsia" w:hAnsi="宋体" w:cs="宋体"/>
          <w:sz w:val="24"/>
          <w:szCs w:val="24"/>
          <w:lang w:val="en-US" w:eastAsia="zh-CN"/>
        </w:rPr>
        <w:t>成本效益分析法、</w:t>
      </w:r>
      <w:r>
        <w:rPr>
          <w:rFonts w:hint="eastAsia" w:hAnsi="宋体" w:cs="宋体"/>
          <w:sz w:val="24"/>
          <w:szCs w:val="24"/>
        </w:rPr>
        <w:t>比较法</w:t>
      </w:r>
      <w:r>
        <w:rPr>
          <w:rFonts w:hint="eastAsia" w:hAnsi="宋体" w:cs="宋体"/>
          <w:sz w:val="24"/>
          <w:szCs w:val="24"/>
          <w:lang w:eastAsia="zh-CN"/>
        </w:rPr>
        <w:t>、</w:t>
      </w:r>
      <w:r>
        <w:rPr>
          <w:rFonts w:hint="eastAsia" w:hAnsi="宋体" w:cs="宋体"/>
          <w:sz w:val="24"/>
          <w:szCs w:val="24"/>
        </w:rPr>
        <w:t>目标评价法</w:t>
      </w:r>
      <w:r>
        <w:rPr>
          <w:rFonts w:hint="eastAsia" w:hAnsi="宋体" w:cs="宋体"/>
          <w:sz w:val="24"/>
          <w:szCs w:val="24"/>
          <w:lang w:val="en-US" w:eastAsia="zh-CN"/>
        </w:rPr>
        <w:t>等</w:t>
      </w:r>
      <w:r>
        <w:rPr>
          <w:rFonts w:hint="eastAsia" w:hAnsi="宋体" w:cs="宋体"/>
          <w:sz w:val="24"/>
          <w:szCs w:val="24"/>
        </w:rPr>
        <w:t>。</w:t>
      </w:r>
    </w:p>
    <w:p w14:paraId="36BB204E">
      <w:pPr>
        <w:pStyle w:val="6"/>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成本效益分析法。指将投入与产出、效益进行关联性分析的方法。工作组将通过对项目资金的预算执行情况、项目管理、审计等相关资料进行比较分析，对资金投入与产出、效益进行关联性分析，进而评价资金绩效目标的实现程度。</w:t>
      </w:r>
    </w:p>
    <w:p w14:paraId="47278AEE">
      <w:pPr>
        <w:pStyle w:val="6"/>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（2）比较法。指通过实际支出、实施效果等与绩效目标的比较，综合分析绩效目标实现程度。</w:t>
      </w:r>
      <w:r>
        <w:rPr>
          <w:rFonts w:hint="eastAsia" w:hAnsi="宋体" w:cs="宋体"/>
          <w:sz w:val="24"/>
          <w:szCs w:val="24"/>
          <w:lang w:val="en-US" w:eastAsia="zh-CN"/>
        </w:rPr>
        <w:t>资金绩效评价将财政审核预算和发改局备案的项目建设方案为标准，将项目执行单位实际支出、产出数量和质量等与之比较，综合分析绩效目标实现程度。</w:t>
      </w:r>
    </w:p>
    <w:p w14:paraId="32A33437">
      <w:pPr>
        <w:pStyle w:val="6"/>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（3）目标评价法。指将当期社会效益水平与其预先目标标准进行对比分析的方法。该方法主要用于社会效益的评价，评价项目是否实现</w:t>
      </w:r>
      <w:r>
        <w:rPr>
          <w:rFonts w:hint="eastAsia" w:hAnsi="宋体" w:cs="宋体"/>
          <w:sz w:val="24"/>
          <w:szCs w:val="24"/>
          <w:lang w:val="en-US" w:eastAsia="zh-CN"/>
        </w:rPr>
        <w:t>项目实施方案</w:t>
      </w:r>
      <w:r>
        <w:rPr>
          <w:rFonts w:hint="eastAsia" w:ascii="宋体" w:hAnsi="宋体" w:cs="宋体"/>
          <w:sz w:val="24"/>
          <w:szCs w:val="24"/>
          <w:lang w:val="en-US" w:eastAsia="zh-CN"/>
        </w:rPr>
        <w:t>预期。</w:t>
      </w:r>
    </w:p>
    <w:p w14:paraId="620FFEBC">
      <w:pPr>
        <w:pStyle w:val="4"/>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firstLineChars="200"/>
        <w:textAlignment w:val="auto"/>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4.评价标准</w:t>
      </w:r>
    </w:p>
    <w:p w14:paraId="37C3B12A">
      <w:pPr>
        <w:pStyle w:val="6"/>
        <w:spacing w:line="360" w:lineRule="auto"/>
        <w:ind w:firstLine="480" w:firstLineChars="200"/>
        <w:rPr>
          <w:rFonts w:hAnsi="宋体" w:cs="宋体"/>
          <w:sz w:val="24"/>
          <w:szCs w:val="24"/>
        </w:rPr>
      </w:pPr>
      <w:r>
        <w:rPr>
          <w:rFonts w:hint="eastAsia" w:hAnsi="宋体" w:cs="宋体"/>
          <w:sz w:val="24"/>
          <w:szCs w:val="24"/>
        </w:rPr>
        <w:t>专项资金绩效评价标准是衡量专项资金绩效目标完成程度的尺度。依据财政部制定的</w:t>
      </w:r>
      <w:r>
        <w:rPr>
          <w:rFonts w:hint="eastAsia" w:hAnsi="宋体"/>
          <w:sz w:val="24"/>
        </w:rPr>
        <w:t>《项目支出绩效评价管理办法》</w:t>
      </w:r>
      <w:r>
        <w:rPr>
          <w:rFonts w:hint="eastAsia" w:hAnsi="宋体" w:cs="宋体"/>
          <w:sz w:val="24"/>
        </w:rPr>
        <w:t>（</w:t>
      </w:r>
      <w:r>
        <w:rPr>
          <w:rFonts w:hAnsi="宋体" w:cs="宋体"/>
          <w:sz w:val="24"/>
        </w:rPr>
        <w:t>财预〔2020〕10号</w:t>
      </w:r>
      <w:r>
        <w:rPr>
          <w:rFonts w:hint="eastAsia" w:hAnsi="宋体" w:cs="宋体"/>
          <w:sz w:val="24"/>
        </w:rPr>
        <w:t>）</w:t>
      </w:r>
      <w:r>
        <w:rPr>
          <w:rFonts w:hint="eastAsia" w:hAnsi="宋体" w:cs="宋体"/>
          <w:sz w:val="24"/>
          <w:szCs w:val="24"/>
        </w:rPr>
        <w:t>、福建省财政厅制定的《福建省财政支出绩效评价管理办法》（闽财绩</w:t>
      </w:r>
      <w:r>
        <w:rPr>
          <w:rFonts w:hAnsi="宋体" w:cs="宋体"/>
          <w:sz w:val="24"/>
          <w:szCs w:val="24"/>
        </w:rPr>
        <w:t>〔201</w:t>
      </w:r>
      <w:r>
        <w:rPr>
          <w:rFonts w:hint="eastAsia" w:hAnsi="宋体" w:cs="宋体"/>
          <w:sz w:val="24"/>
          <w:szCs w:val="24"/>
        </w:rPr>
        <w:t>5</w:t>
      </w:r>
      <w:r>
        <w:rPr>
          <w:rFonts w:hAnsi="宋体" w:cs="宋体"/>
          <w:sz w:val="24"/>
          <w:szCs w:val="24"/>
        </w:rPr>
        <w:t>〕</w:t>
      </w:r>
      <w:r>
        <w:rPr>
          <w:rFonts w:hint="eastAsia" w:hAnsi="宋体" w:cs="宋体"/>
          <w:sz w:val="24"/>
          <w:szCs w:val="24"/>
        </w:rPr>
        <w:t>4号）文件精神，绩效评价标准有以下4种：</w:t>
      </w:r>
    </w:p>
    <w:p w14:paraId="38E9DF9F">
      <w:pPr>
        <w:pStyle w:val="6"/>
        <w:spacing w:line="360" w:lineRule="auto"/>
        <w:ind w:firstLine="480" w:firstLineChars="200"/>
        <w:rPr>
          <w:rFonts w:hAnsi="宋体" w:cs="宋体"/>
          <w:sz w:val="24"/>
          <w:szCs w:val="24"/>
        </w:rPr>
      </w:pPr>
      <w:r>
        <w:rPr>
          <w:rFonts w:hint="eastAsia" w:hAnsi="宋体" w:cs="宋体"/>
          <w:sz w:val="24"/>
          <w:szCs w:val="24"/>
        </w:rPr>
        <w:t>（1）计划标准。是指以预先制定的目标、计划、预算、定额等数据作为评价的标准。</w:t>
      </w:r>
    </w:p>
    <w:p w14:paraId="3A3707CD">
      <w:pPr>
        <w:pStyle w:val="6"/>
        <w:spacing w:line="360" w:lineRule="auto"/>
        <w:ind w:firstLine="480" w:firstLineChars="200"/>
        <w:rPr>
          <w:rFonts w:hAnsi="宋体" w:cs="宋体"/>
          <w:sz w:val="24"/>
          <w:szCs w:val="24"/>
        </w:rPr>
      </w:pPr>
      <w:r>
        <w:rPr>
          <w:rFonts w:hint="eastAsia" w:hAnsi="宋体" w:cs="宋体"/>
          <w:sz w:val="24"/>
          <w:szCs w:val="24"/>
        </w:rPr>
        <w:t>（2）行业标准。是指参照国家公布的行业指标数据制定的评价标准。</w:t>
      </w:r>
    </w:p>
    <w:p w14:paraId="783F5769">
      <w:pPr>
        <w:pStyle w:val="6"/>
        <w:spacing w:line="360" w:lineRule="auto"/>
        <w:ind w:firstLine="480" w:firstLineChars="200"/>
        <w:rPr>
          <w:rFonts w:hAnsi="宋体" w:cs="宋体"/>
          <w:sz w:val="24"/>
          <w:szCs w:val="24"/>
        </w:rPr>
      </w:pPr>
      <w:r>
        <w:rPr>
          <w:rFonts w:hint="eastAsia" w:hAnsi="宋体" w:cs="宋体"/>
          <w:sz w:val="24"/>
          <w:szCs w:val="24"/>
        </w:rPr>
        <w:t>（3）历史标准。是指参照同类指标的历史数据制定的评价标准。</w:t>
      </w:r>
    </w:p>
    <w:p w14:paraId="5062F628">
      <w:pPr>
        <w:pStyle w:val="6"/>
        <w:spacing w:line="360" w:lineRule="auto"/>
        <w:ind w:firstLine="480" w:firstLineChars="200"/>
        <w:rPr>
          <w:rFonts w:hAnsi="宋体" w:cs="宋体"/>
          <w:sz w:val="24"/>
          <w:szCs w:val="24"/>
        </w:rPr>
      </w:pPr>
      <w:r>
        <w:rPr>
          <w:rFonts w:hint="eastAsia" w:hAnsi="宋体" w:cs="宋体"/>
          <w:sz w:val="24"/>
          <w:szCs w:val="24"/>
        </w:rPr>
        <w:t>（4）其他经财政部门确认的标准。</w:t>
      </w:r>
    </w:p>
    <w:p w14:paraId="1B86F33A">
      <w:pPr>
        <w:pStyle w:val="6"/>
        <w:spacing w:line="360" w:lineRule="auto"/>
        <w:ind w:firstLine="480" w:firstLineChars="200"/>
        <w:rPr>
          <w:rFonts w:hint="eastAsia" w:hAnsi="宋体" w:cs="宋体"/>
          <w:sz w:val="24"/>
          <w:szCs w:val="24"/>
        </w:rPr>
      </w:pPr>
      <w:r>
        <w:rPr>
          <w:rFonts w:hint="eastAsia" w:hAnsi="宋体" w:cs="宋体"/>
          <w:sz w:val="24"/>
          <w:szCs w:val="24"/>
        </w:rPr>
        <w:t>工作组根据</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sz w:val="24"/>
          <w:szCs w:val="24"/>
        </w:rPr>
        <w:t>实施的实际情况，</w:t>
      </w:r>
      <w:r>
        <w:rPr>
          <w:rFonts w:hint="eastAsia" w:hAnsi="宋体" w:cs="宋体"/>
          <w:sz w:val="24"/>
          <w:szCs w:val="24"/>
          <w:lang w:val="en-US" w:eastAsia="zh-CN"/>
        </w:rPr>
        <w:t>主要是参照计划标准和行业标准，对于事先已制定了相应目标、计划、预算的指标，采用计划标准进行评价，将实际情况与计划情况相比较。</w:t>
      </w:r>
    </w:p>
    <w:p w14:paraId="4AE426F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ascii="仿宋_GB2312"/>
        </w:rPr>
      </w:pPr>
      <w:bookmarkStart w:id="6" w:name="_Toc13110"/>
      <w:r>
        <w:rPr>
          <w:rFonts w:hint="eastAsia" w:ascii="仿宋_GB2312" w:hAnsi="Times New Roman" w:cs="Times New Roman"/>
          <w:b/>
          <w:bCs/>
          <w:sz w:val="24"/>
          <w:szCs w:val="24"/>
        </w:rPr>
        <w:t>（三）绩效评价工作过程</w:t>
      </w:r>
      <w:bookmarkEnd w:id="6"/>
    </w:p>
    <w:p w14:paraId="6730193A">
      <w:pPr>
        <w:pStyle w:val="6"/>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sz w:val="24"/>
          <w:szCs w:val="24"/>
          <w:lang w:val="en-US" w:eastAsia="zh-CN"/>
        </w:rPr>
        <w:t>根据</w:t>
      </w:r>
      <w:r>
        <w:rPr>
          <w:rFonts w:hint="eastAsia" w:hAnsi="宋体"/>
          <w:sz w:val="24"/>
        </w:rPr>
        <w:t>《项目支出绩效评价管理办法》</w:t>
      </w:r>
      <w:r>
        <w:rPr>
          <w:rFonts w:hint="eastAsia" w:hAnsi="宋体" w:cs="宋体"/>
          <w:sz w:val="24"/>
        </w:rPr>
        <w:t>（</w:t>
      </w:r>
      <w:r>
        <w:rPr>
          <w:rFonts w:hAnsi="宋体" w:cs="宋体"/>
          <w:sz w:val="24"/>
        </w:rPr>
        <w:t>财预〔2020〕10号</w:t>
      </w:r>
      <w:r>
        <w:rPr>
          <w:rFonts w:hint="eastAsia" w:hAnsi="宋体" w:cs="宋体"/>
          <w:sz w:val="24"/>
        </w:rPr>
        <w:t>）</w:t>
      </w:r>
      <w:r>
        <w:rPr>
          <w:rFonts w:hint="eastAsia" w:hAnsi="宋体" w:cs="宋体"/>
          <w:sz w:val="24"/>
          <w:szCs w:val="24"/>
          <w:lang w:val="en-US" w:eastAsia="zh-CN"/>
        </w:rPr>
        <w:t>要求</w:t>
      </w:r>
      <w:r>
        <w:rPr>
          <w:rFonts w:hint="eastAsia" w:hAnsi="宋体" w:cs="宋体"/>
          <w:sz w:val="24"/>
          <w:szCs w:val="24"/>
        </w:rPr>
        <w:t>，</w:t>
      </w:r>
      <w:r>
        <w:rPr>
          <w:rFonts w:hint="eastAsia" w:hAnsi="宋体" w:cs="宋体"/>
          <w:sz w:val="24"/>
          <w:szCs w:val="24"/>
          <w:lang w:val="en-US" w:eastAsia="zh-CN"/>
        </w:rPr>
        <w:t>为开展</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color w:val="000000" w:themeColor="text1"/>
          <w:sz w:val="24"/>
          <w:szCs w:val="24"/>
          <w:lang w:val="en-US" w:eastAsia="zh-CN"/>
          <w14:textFill>
            <w14:solidFill>
              <w14:schemeClr w14:val="tx1"/>
            </w14:solidFill>
          </w14:textFill>
        </w:rPr>
        <w:t>经费</w:t>
      </w:r>
      <w:r>
        <w:rPr>
          <w:rFonts w:hint="eastAsia" w:hAnsi="宋体" w:cs="宋体"/>
          <w:color w:val="000000" w:themeColor="text1"/>
          <w:sz w:val="24"/>
          <w:szCs w:val="24"/>
          <w14:textFill>
            <w14:solidFill>
              <w14:schemeClr w14:val="tx1"/>
            </w14:solidFill>
          </w14:textFill>
        </w:rPr>
        <w:t>绩效</w:t>
      </w:r>
      <w:r>
        <w:rPr>
          <w:rFonts w:hint="eastAsia" w:hAnsi="宋体" w:cs="宋体"/>
          <w:color w:val="000000" w:themeColor="text1"/>
          <w:sz w:val="24"/>
          <w:szCs w:val="24"/>
          <w:lang w:val="en-US" w:eastAsia="zh-CN"/>
          <w14:textFill>
            <w14:solidFill>
              <w14:schemeClr w14:val="tx1"/>
            </w14:solidFill>
          </w14:textFill>
        </w:rPr>
        <w:t>评价</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成立</w:t>
      </w:r>
      <w:r>
        <w:rPr>
          <w:rFonts w:hint="eastAsia" w:hAnsi="宋体" w:cs="宋体"/>
          <w:color w:val="000000" w:themeColor="text1"/>
          <w:sz w:val="24"/>
          <w:szCs w:val="24"/>
          <w:lang w:val="en-US" w:eastAsia="zh-CN"/>
          <w14:textFill>
            <w14:solidFill>
              <w14:schemeClr w14:val="tx1"/>
            </w14:solidFill>
          </w14:textFill>
        </w:rPr>
        <w:t>专项</w:t>
      </w:r>
      <w:r>
        <w:rPr>
          <w:rFonts w:hint="eastAsia" w:hAnsi="宋体" w:cs="宋体"/>
          <w:color w:val="000000" w:themeColor="text1"/>
          <w:sz w:val="24"/>
          <w:szCs w:val="24"/>
          <w14:textFill>
            <w14:solidFill>
              <w14:schemeClr w14:val="tx1"/>
            </w14:solidFill>
          </w14:textFill>
        </w:rPr>
        <w:t>评价工作组，制定工作实施方案。</w:t>
      </w:r>
    </w:p>
    <w:p w14:paraId="15A2972A">
      <w:pPr>
        <w:pStyle w:val="6"/>
        <w:spacing w:line="360" w:lineRule="auto"/>
        <w:ind w:firstLine="480" w:firstLineChars="200"/>
        <w:rPr>
          <w:rFonts w:hint="eastAsia" w:hAnsi="宋体"/>
          <w:sz w:val="24"/>
          <w:lang w:val="en-US" w:eastAsia="zh-CN"/>
        </w:rPr>
      </w:pPr>
      <w:r>
        <w:rPr>
          <w:rFonts w:hint="eastAsia" w:hAnsi="宋体"/>
          <w:sz w:val="24"/>
          <w:lang w:val="en-US" w:eastAsia="zh-CN"/>
        </w:rPr>
        <w:t>第一阶段，评价工作组应通过对项目资料进行初步收集整理，形成调研及初步拟定绩效评价指标的思路。</w:t>
      </w:r>
    </w:p>
    <w:p w14:paraId="4FC4B468">
      <w:pPr>
        <w:pStyle w:val="6"/>
        <w:spacing w:line="360" w:lineRule="auto"/>
        <w:ind w:firstLine="480" w:firstLineChars="200"/>
        <w:rPr>
          <w:rFonts w:hint="eastAsia" w:hAnsi="宋体"/>
          <w:sz w:val="24"/>
          <w:lang w:val="en-US" w:eastAsia="zh-CN"/>
        </w:rPr>
      </w:pPr>
      <w:r>
        <w:rPr>
          <w:rFonts w:hint="eastAsia" w:hAnsi="宋体"/>
          <w:sz w:val="24"/>
          <w:lang w:val="en-US" w:eastAsia="zh-CN"/>
        </w:rPr>
        <w:t>第二阶段，工作组开展实地调研，与相关工作人员进行座谈，查阅相关的档案、资料，深入了解项目建设及资金使用情况等。工作组拟定项目绩效评价指标体系，与石狮市财政局相关科室商讨指标体系，根据反馈意见，修订绩效评价指标体系；根据评价需要补充新的数据资料。</w:t>
      </w:r>
    </w:p>
    <w:p w14:paraId="591F577F">
      <w:pPr>
        <w:pStyle w:val="6"/>
        <w:spacing w:line="360" w:lineRule="auto"/>
        <w:ind w:firstLine="480" w:firstLineChars="200"/>
        <w:rPr>
          <w:rFonts w:hint="eastAsia" w:ascii="仿宋" w:hAnsi="仿宋" w:eastAsia="仿宋" w:cs="仿宋"/>
          <w:b/>
          <w:bCs/>
          <w:sz w:val="28"/>
          <w:szCs w:val="28"/>
        </w:rPr>
      </w:pPr>
      <w:r>
        <w:rPr>
          <w:rFonts w:hint="eastAsia" w:hAnsi="宋体"/>
          <w:sz w:val="24"/>
          <w:lang w:val="en-US" w:eastAsia="zh-CN"/>
        </w:rPr>
        <w:t>第三阶段，工作组</w:t>
      </w:r>
      <w:r>
        <w:rPr>
          <w:rFonts w:hint="eastAsia" w:hAnsi="宋体"/>
          <w:sz w:val="24"/>
        </w:rPr>
        <w:t>全面分析并撰写报告初稿。根据已确定的指标体系，对</w:t>
      </w:r>
      <w:r>
        <w:rPr>
          <w:rFonts w:hint="eastAsia" w:hAnsi="宋体"/>
          <w:sz w:val="24"/>
          <w:lang w:val="en-US" w:eastAsia="zh-CN"/>
        </w:rPr>
        <w:t>建设项目</w:t>
      </w:r>
      <w:r>
        <w:rPr>
          <w:rFonts w:hint="eastAsia" w:hAnsi="宋体"/>
          <w:sz w:val="24"/>
        </w:rPr>
        <w:t>的使用情况、使用效益和服务对象满意度进行全面分析，完成绩效评价报告初稿</w:t>
      </w:r>
      <w:r>
        <w:rPr>
          <w:rFonts w:hint="eastAsia" w:hAnsi="宋体"/>
          <w:sz w:val="24"/>
          <w:lang w:eastAsia="zh-CN"/>
        </w:rPr>
        <w:t>。</w:t>
      </w:r>
      <w:r>
        <w:rPr>
          <w:rFonts w:hint="eastAsia" w:hAnsi="宋体"/>
          <w:sz w:val="24"/>
          <w:lang w:val="en-US" w:eastAsia="zh-CN"/>
        </w:rPr>
        <w:t>初稿应征询石狮市财政局、石狮市锦尚镇人民政府等部门、单位</w:t>
      </w:r>
      <w:r>
        <w:rPr>
          <w:rFonts w:hint="eastAsia" w:hAnsi="宋体"/>
          <w:sz w:val="24"/>
        </w:rPr>
        <w:t>的意见，</w:t>
      </w:r>
      <w:r>
        <w:rPr>
          <w:rFonts w:hint="eastAsia" w:hAnsi="宋体"/>
          <w:sz w:val="24"/>
          <w:lang w:val="en-US" w:eastAsia="zh-CN"/>
        </w:rPr>
        <w:t>及时</w:t>
      </w:r>
      <w:r>
        <w:rPr>
          <w:rFonts w:hint="eastAsia" w:hAnsi="宋体"/>
          <w:sz w:val="24"/>
        </w:rPr>
        <w:t>根据反馈意见</w:t>
      </w:r>
      <w:r>
        <w:rPr>
          <w:rFonts w:hint="eastAsia" w:hAnsi="宋体"/>
          <w:sz w:val="24"/>
          <w:lang w:val="en-US" w:eastAsia="zh-CN"/>
        </w:rPr>
        <w:t>进行</w:t>
      </w:r>
      <w:r>
        <w:rPr>
          <w:rFonts w:hint="eastAsia" w:hAnsi="宋体"/>
          <w:sz w:val="24"/>
        </w:rPr>
        <w:t>修改并完成报告终稿</w:t>
      </w:r>
      <w:r>
        <w:rPr>
          <w:rFonts w:hint="eastAsia" w:hAnsi="宋体"/>
          <w:sz w:val="24"/>
          <w:lang w:eastAsia="zh-CN"/>
        </w:rPr>
        <w:t>。</w:t>
      </w:r>
    </w:p>
    <w:p w14:paraId="0499B1C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bookmarkStart w:id="7" w:name="_Toc22566"/>
      <w:r>
        <w:rPr>
          <w:rFonts w:hint="eastAsia" w:ascii="仿宋" w:hAnsi="仿宋" w:eastAsia="仿宋" w:cs="仿宋"/>
          <w:b/>
          <w:bCs/>
          <w:sz w:val="28"/>
          <w:szCs w:val="28"/>
        </w:rPr>
        <w:t>三、综合评价情况及评价结论</w:t>
      </w:r>
      <w:bookmarkEnd w:id="7"/>
    </w:p>
    <w:p w14:paraId="0B4BB7A7">
      <w:pPr>
        <w:pStyle w:val="6"/>
        <w:spacing w:line="360" w:lineRule="auto"/>
        <w:ind w:firstLine="480" w:firstLineChars="200"/>
        <w:rPr>
          <w:rFonts w:hint="eastAsia" w:ascii="仿宋" w:hAnsi="仿宋" w:eastAsia="仿宋" w:cs="仿宋"/>
          <w:b/>
          <w:bCs/>
          <w:sz w:val="28"/>
          <w:szCs w:val="28"/>
          <w:highlight w:val="none"/>
        </w:rPr>
      </w:pPr>
      <w:r>
        <w:rPr>
          <w:rFonts w:hint="eastAsia" w:hAnsi="宋体"/>
          <w:sz w:val="24"/>
          <w:lang w:val="en-US" w:eastAsia="zh-CN"/>
        </w:rPr>
        <w:t>从2024年</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sz w:val="24"/>
          <w:highlight w:val="none"/>
          <w:lang w:val="en-US" w:eastAsia="zh-CN"/>
        </w:rPr>
        <w:t>的推动情况看，虽总体上具备社会效益、生态效益和可持续影响，群众满意度高，但在产出方面时效性较差。经过工作组的审慎和科学评估，该项目支出绩效总得分85.04分，评价等级结果为良，指标分析详见第四部分。</w:t>
      </w:r>
    </w:p>
    <w:p w14:paraId="765EC13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p>
    <w:p w14:paraId="5E0F8D1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bookmarkStart w:id="8" w:name="_Toc18793"/>
      <w:r>
        <w:rPr>
          <w:rFonts w:hint="eastAsia" w:ascii="仿宋" w:hAnsi="仿宋" w:eastAsia="仿宋" w:cs="仿宋"/>
          <w:b/>
          <w:bCs/>
          <w:sz w:val="28"/>
          <w:szCs w:val="28"/>
        </w:rPr>
        <w:t>四、绩效评价指标分析</w:t>
      </w:r>
      <w:bookmarkEnd w:id="8"/>
    </w:p>
    <w:p w14:paraId="2047DD2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cs="Times New Roman"/>
          <w:b/>
          <w:bCs/>
          <w:sz w:val="24"/>
          <w:szCs w:val="24"/>
          <w:highlight w:val="none"/>
          <w:lang w:val="en-US" w:eastAsia="zh-CN"/>
        </w:rPr>
      </w:pPr>
      <w:bookmarkStart w:id="9" w:name="_Toc24279"/>
      <w:r>
        <w:rPr>
          <w:rFonts w:hint="eastAsia" w:ascii="仿宋_GB2312" w:hAnsi="Times New Roman" w:cs="Times New Roman"/>
          <w:b/>
          <w:bCs/>
          <w:sz w:val="24"/>
          <w:szCs w:val="24"/>
        </w:rPr>
        <w:t>（一）项目决策情况</w:t>
      </w:r>
      <w:r>
        <w:rPr>
          <w:rFonts w:hint="eastAsia" w:ascii="仿宋_GB2312" w:hAnsi="Times New Roman" w:cs="Times New Roman"/>
          <w:b/>
          <w:bCs/>
          <w:sz w:val="24"/>
          <w:szCs w:val="24"/>
          <w:lang w:val="en-US" w:eastAsia="zh-CN"/>
        </w:rPr>
        <w:t>（</w:t>
      </w:r>
      <w:r>
        <w:rPr>
          <w:rFonts w:hint="eastAsia" w:ascii="仿宋_GB2312" w:cs="Times New Roman"/>
          <w:b/>
          <w:bCs/>
          <w:sz w:val="24"/>
          <w:szCs w:val="24"/>
          <w:lang w:val="en-US" w:eastAsia="zh-CN"/>
        </w:rPr>
        <w:t>分值20</w:t>
      </w:r>
      <w:r>
        <w:rPr>
          <w:rFonts w:hint="eastAsia" w:ascii="仿宋_GB2312" w:hAnsi="Times New Roman" w:cs="Times New Roman"/>
          <w:b/>
          <w:bCs/>
          <w:sz w:val="24"/>
          <w:szCs w:val="24"/>
          <w:lang w:val="en-US" w:eastAsia="zh-CN"/>
        </w:rPr>
        <w:t>分</w:t>
      </w:r>
      <w:r>
        <w:rPr>
          <w:rFonts w:hint="eastAsia" w:ascii="仿宋_GB2312" w:hAnsi="Times New Roman" w:cs="Times New Roman"/>
          <w:b/>
          <w:bCs/>
          <w:sz w:val="24"/>
          <w:szCs w:val="24"/>
          <w:highlight w:val="none"/>
          <w:lang w:val="en-US" w:eastAsia="zh-CN"/>
        </w:rPr>
        <w:t>，得1</w:t>
      </w:r>
      <w:r>
        <w:rPr>
          <w:rFonts w:hint="eastAsia" w:ascii="仿宋_GB2312" w:cs="Times New Roman"/>
          <w:b/>
          <w:bCs/>
          <w:sz w:val="24"/>
          <w:szCs w:val="24"/>
          <w:highlight w:val="none"/>
          <w:lang w:val="en-US" w:eastAsia="zh-CN"/>
        </w:rPr>
        <w:t>8</w:t>
      </w:r>
      <w:r>
        <w:rPr>
          <w:rFonts w:hint="eastAsia" w:ascii="仿宋_GB2312" w:hAnsi="Times New Roman" w:cs="Times New Roman"/>
          <w:b/>
          <w:bCs/>
          <w:sz w:val="24"/>
          <w:szCs w:val="24"/>
          <w:highlight w:val="none"/>
          <w:lang w:val="en-US" w:eastAsia="zh-CN"/>
        </w:rPr>
        <w:t>分）</w:t>
      </w:r>
      <w:bookmarkEnd w:id="9"/>
    </w:p>
    <w:p w14:paraId="2C495773">
      <w:pPr>
        <w:pStyle w:val="6"/>
        <w:spacing w:line="360" w:lineRule="auto"/>
        <w:ind w:firstLine="480" w:firstLineChars="200"/>
        <w:rPr>
          <w:rFonts w:hint="eastAsia" w:hAnsi="宋体" w:cs="宋体"/>
          <w:sz w:val="24"/>
          <w:highlight w:val="none"/>
          <w:lang w:val="en-US" w:eastAsia="zh-CN"/>
        </w:rPr>
      </w:pPr>
      <w:r>
        <w:rPr>
          <w:rFonts w:hint="eastAsia" w:hAnsi="宋体" w:cs="宋体"/>
          <w:sz w:val="24"/>
          <w:highlight w:val="none"/>
          <w:lang w:val="en-US" w:eastAsia="zh-CN"/>
        </w:rPr>
        <w:t>1.“项目立项”（分值5分，得4分）</w:t>
      </w:r>
    </w:p>
    <w:p w14:paraId="7284B21C">
      <w:pPr>
        <w:pStyle w:val="6"/>
        <w:spacing w:line="360" w:lineRule="auto"/>
        <w:ind w:firstLine="480" w:firstLineChars="200"/>
        <w:rPr>
          <w:rFonts w:hint="default" w:hAnsi="宋体" w:cs="宋体"/>
          <w:sz w:val="24"/>
          <w:highlight w:val="none"/>
          <w:lang w:val="en-US" w:eastAsia="zh-CN"/>
        </w:rPr>
      </w:pPr>
      <w:r>
        <w:rPr>
          <w:rFonts w:hint="eastAsia" w:hAnsi="宋体" w:cs="宋体"/>
          <w:sz w:val="24"/>
          <w:highlight w:val="none"/>
          <w:lang w:val="en-US" w:eastAsia="zh-CN"/>
        </w:rPr>
        <w:t>（1）立项依据充分性（分值2分，得2分）</w:t>
      </w:r>
    </w:p>
    <w:p w14:paraId="6715FF1C">
      <w:pPr>
        <w:pStyle w:val="19"/>
        <w:widowControl w:val="0"/>
        <w:numPr>
          <w:ilvl w:val="0"/>
          <w:numId w:val="0"/>
        </w:numPr>
        <w:spacing w:line="360" w:lineRule="auto"/>
        <w:ind w:firstLine="480" w:firstLineChars="200"/>
        <w:jc w:val="both"/>
        <w:rPr>
          <w:rFonts w:hint="eastAsia" w:ascii="宋体" w:hAnsi="宋体" w:eastAsia="仿宋_GB2312" w:cs="宋体"/>
          <w:kern w:val="2"/>
          <w:sz w:val="24"/>
          <w:szCs w:val="24"/>
          <w:highlight w:val="none"/>
          <w:lang w:val="en-US" w:eastAsia="zh-CN" w:bidi="ar-SA"/>
        </w:rPr>
      </w:pPr>
      <w:r>
        <w:rPr>
          <w:rFonts w:hint="eastAsia" w:ascii="宋体" w:hAnsi="宋体" w:eastAsia="仿宋_GB2312" w:cs="宋体"/>
          <w:kern w:val="2"/>
          <w:sz w:val="24"/>
          <w:szCs w:val="24"/>
          <w:highlight w:val="none"/>
          <w:lang w:val="en-US" w:eastAsia="zh-CN" w:bidi="ar-SA"/>
        </w:rPr>
        <w:t>“立项依据充分性”方面，2013年，</w:t>
      </w:r>
      <w:r>
        <w:rPr>
          <w:rFonts w:hint="default" w:ascii="宋体" w:hAnsi="宋体" w:eastAsia="仿宋_GB2312" w:cs="宋体"/>
          <w:kern w:val="2"/>
          <w:sz w:val="24"/>
          <w:szCs w:val="24"/>
          <w:highlight w:val="none"/>
          <w:lang w:val="en-US" w:eastAsia="zh-CN" w:bidi="ar-SA"/>
        </w:rPr>
        <w:t>国务院</w:t>
      </w:r>
      <w:r>
        <w:rPr>
          <w:rFonts w:hint="eastAsia" w:ascii="宋体" w:hAnsi="宋体" w:cs="宋体"/>
          <w:kern w:val="2"/>
          <w:sz w:val="24"/>
          <w:szCs w:val="24"/>
          <w:highlight w:val="none"/>
          <w:lang w:val="en-US" w:eastAsia="zh-CN" w:bidi="ar-SA"/>
        </w:rPr>
        <w:t>印发</w:t>
      </w:r>
      <w:r>
        <w:rPr>
          <w:rFonts w:hint="eastAsia" w:ascii="宋体" w:hAnsi="宋体" w:eastAsia="仿宋_GB2312" w:cs="宋体"/>
          <w:kern w:val="2"/>
          <w:sz w:val="24"/>
          <w:szCs w:val="24"/>
          <w:highlight w:val="none"/>
          <w:lang w:val="en-US" w:eastAsia="zh-CN" w:bidi="ar-SA"/>
        </w:rPr>
        <w:t>《</w:t>
      </w:r>
      <w:r>
        <w:rPr>
          <w:rFonts w:hint="default" w:ascii="宋体" w:hAnsi="宋体" w:eastAsia="仿宋_GB2312" w:cs="宋体"/>
          <w:kern w:val="2"/>
          <w:sz w:val="24"/>
          <w:szCs w:val="24"/>
          <w:highlight w:val="none"/>
          <w:lang w:val="en-US" w:eastAsia="zh-CN" w:bidi="ar-SA"/>
        </w:rPr>
        <w:t>国务院关于促进海洋渔业持续健康发展的若干意见</w:t>
      </w:r>
      <w:r>
        <w:rPr>
          <w:rFonts w:hint="eastAsia" w:ascii="宋体" w:hAnsi="宋体" w:eastAsia="仿宋_GB2312" w:cs="宋体"/>
          <w:kern w:val="2"/>
          <w:sz w:val="24"/>
          <w:szCs w:val="24"/>
          <w:highlight w:val="none"/>
          <w:lang w:val="en-US" w:eastAsia="zh-CN" w:bidi="ar-SA"/>
        </w:rPr>
        <w:t>》（</w:t>
      </w:r>
      <w:r>
        <w:rPr>
          <w:rFonts w:hint="default" w:ascii="宋体" w:hAnsi="宋体" w:eastAsia="仿宋_GB2312" w:cs="宋体"/>
          <w:kern w:val="2"/>
          <w:sz w:val="24"/>
          <w:szCs w:val="24"/>
          <w:highlight w:val="none"/>
          <w:lang w:val="en-US" w:eastAsia="zh-CN" w:bidi="ar-SA"/>
        </w:rPr>
        <w:t>国发〔2013〕11号</w:t>
      </w:r>
      <w:r>
        <w:rPr>
          <w:rFonts w:hint="eastAsia" w:ascii="宋体" w:hAnsi="宋体" w:eastAsia="仿宋_GB2312" w:cs="宋体"/>
          <w:kern w:val="2"/>
          <w:sz w:val="24"/>
          <w:szCs w:val="24"/>
          <w:highlight w:val="none"/>
          <w:lang w:val="en-US" w:eastAsia="zh-CN" w:bidi="ar-SA"/>
        </w:rPr>
        <w:t>），要求</w:t>
      </w:r>
      <w:r>
        <w:rPr>
          <w:rFonts w:hint="default" w:ascii="宋体" w:hAnsi="宋体" w:eastAsia="仿宋_GB2312" w:cs="宋体"/>
          <w:kern w:val="2"/>
          <w:sz w:val="24"/>
          <w:szCs w:val="24"/>
          <w:highlight w:val="none"/>
          <w:lang w:val="en-US" w:eastAsia="zh-CN" w:bidi="ar-SA"/>
        </w:rPr>
        <w:t>加强渔港建设和管理。科学规划、合理利用岸线资源，完善渔港布局，加快建设进度，尽快形成以中心渔港、一级渔港为龙头，以二、三级渔港和避风锚地为支撑的渔港防灾减灾体系。2016</w:t>
      </w:r>
      <w:r>
        <w:rPr>
          <w:rFonts w:hint="eastAsia" w:ascii="宋体" w:hAnsi="宋体" w:eastAsia="仿宋_GB2312" w:cs="宋体"/>
          <w:kern w:val="2"/>
          <w:sz w:val="24"/>
          <w:szCs w:val="24"/>
          <w:highlight w:val="none"/>
          <w:lang w:val="en-US" w:eastAsia="zh-CN" w:bidi="ar-SA"/>
        </w:rPr>
        <w:t>年，</w:t>
      </w:r>
      <w:r>
        <w:rPr>
          <w:rFonts w:hint="default" w:ascii="宋体" w:hAnsi="宋体" w:eastAsia="仿宋_GB2312" w:cs="宋体"/>
          <w:kern w:val="2"/>
          <w:sz w:val="24"/>
          <w:szCs w:val="24"/>
          <w:highlight w:val="none"/>
          <w:lang w:val="en-US" w:eastAsia="zh-CN" w:bidi="ar-SA"/>
        </w:rPr>
        <w:t>国务院</w:t>
      </w:r>
      <w:r>
        <w:rPr>
          <w:rFonts w:hint="eastAsia" w:ascii="宋体" w:hAnsi="宋体" w:eastAsia="仿宋_GB2312" w:cs="宋体"/>
          <w:kern w:val="2"/>
          <w:sz w:val="24"/>
          <w:szCs w:val="24"/>
          <w:highlight w:val="none"/>
          <w:lang w:val="en-US" w:eastAsia="zh-CN" w:bidi="ar-SA"/>
        </w:rPr>
        <w:t>印发《国务院关于印发全国农业现代化规划（2016—2020年）的通知》（国发〔2016〕58号），</w:t>
      </w:r>
      <w:r>
        <w:rPr>
          <w:rFonts w:hint="default" w:ascii="宋体" w:hAnsi="宋体" w:eastAsia="仿宋_GB2312" w:cs="宋体"/>
          <w:kern w:val="2"/>
          <w:sz w:val="24"/>
          <w:szCs w:val="24"/>
          <w:highlight w:val="none"/>
          <w:lang w:val="en-US" w:eastAsia="zh-CN" w:bidi="ar-SA"/>
        </w:rPr>
        <w:t>推进渔业转型升级</w:t>
      </w:r>
      <w:r>
        <w:rPr>
          <w:rFonts w:hint="eastAsia" w:ascii="宋体" w:hAnsi="宋体" w:eastAsia="仿宋_GB2312" w:cs="宋体"/>
          <w:kern w:val="2"/>
          <w:sz w:val="24"/>
          <w:szCs w:val="24"/>
          <w:highlight w:val="none"/>
          <w:lang w:val="en-US" w:eastAsia="zh-CN" w:bidi="ar-SA"/>
        </w:rPr>
        <w:t>，</w:t>
      </w:r>
      <w:r>
        <w:rPr>
          <w:rFonts w:hint="default" w:ascii="宋体" w:hAnsi="宋体" w:eastAsia="仿宋_GB2312" w:cs="宋体"/>
          <w:kern w:val="2"/>
          <w:sz w:val="24"/>
          <w:szCs w:val="24"/>
          <w:highlight w:val="none"/>
          <w:lang w:val="en-US" w:eastAsia="zh-CN" w:bidi="ar-SA"/>
        </w:rPr>
        <w:t>加快渔政渔港等基础设施建设，完善全国渔政执法监管指挥调度平台。2018</w:t>
      </w:r>
      <w:r>
        <w:rPr>
          <w:rFonts w:hint="eastAsia" w:ascii="宋体" w:hAnsi="宋体" w:eastAsia="仿宋_GB2312" w:cs="宋体"/>
          <w:kern w:val="2"/>
          <w:sz w:val="24"/>
          <w:szCs w:val="24"/>
          <w:highlight w:val="none"/>
          <w:lang w:val="en-US" w:eastAsia="zh-CN" w:bidi="ar-SA"/>
        </w:rPr>
        <w:t>年，国家发展改革委 农业农村部</w:t>
      </w:r>
      <w:r>
        <w:rPr>
          <w:rFonts w:hint="eastAsia" w:ascii="宋体" w:hAnsi="宋体" w:cs="宋体"/>
          <w:kern w:val="2"/>
          <w:sz w:val="24"/>
          <w:szCs w:val="24"/>
          <w:highlight w:val="none"/>
          <w:lang w:val="en-US" w:eastAsia="zh-CN" w:bidi="ar-SA"/>
        </w:rPr>
        <w:t>印发</w:t>
      </w:r>
      <w:r>
        <w:rPr>
          <w:rFonts w:hint="eastAsia" w:ascii="宋体" w:hAnsi="宋体" w:eastAsia="仿宋_GB2312" w:cs="宋体"/>
          <w:kern w:val="2"/>
          <w:sz w:val="24"/>
          <w:szCs w:val="24"/>
          <w:highlight w:val="none"/>
          <w:lang w:val="en-US" w:eastAsia="zh-CN" w:bidi="ar-SA"/>
        </w:rPr>
        <w:t>《国家发展改革委 农业农村部关于印发全国沿海渔港建设规划（2018-2025年）的通知》（发改农经〔2018〕597号），重点支持扩建石狮祥芝中心渔港、新建石狮东店一级渔港，推动形成集冷链加工物流、远洋渔业配套、海洋生物制药、旅游观光、海鲜美食等为特色的渔港经济区。2020年3月，福建省海洋与渔业局、福建省发展和改革委员会、福建省财政厅联合印发《福建省渔港布局与建设规划（2020-2025年）》，规划中将石狮东店一级渔港列于其中，作为规划期内的重要建设项目。2021年8月，福建省发展和改革委员会下达《福建省发展和改革委员会关于福建省石狮市锦尚东店一级渔港工程可行性研究报告的批复》（闽发改网审农业〔2021〕115号），原则同意项目可行性研究报告。该项目的建设有助于完善石狮市渔港建设，提高渔业资源效益</w:t>
      </w:r>
      <w:r>
        <w:rPr>
          <w:rFonts w:hint="eastAsia" w:ascii="宋体" w:hAnsi="宋体" w:cs="宋体"/>
          <w:kern w:val="2"/>
          <w:sz w:val="24"/>
          <w:szCs w:val="24"/>
          <w:highlight w:val="none"/>
          <w:lang w:val="en-US" w:eastAsia="zh-CN" w:bidi="ar-SA"/>
        </w:rPr>
        <w:t>。</w:t>
      </w:r>
      <w:r>
        <w:rPr>
          <w:rFonts w:hint="eastAsia" w:ascii="宋体" w:hAnsi="宋体" w:eastAsia="仿宋_GB2312" w:cs="宋体"/>
          <w:kern w:val="2"/>
          <w:sz w:val="24"/>
          <w:szCs w:val="24"/>
          <w:highlight w:val="none"/>
          <w:lang w:val="en-US" w:eastAsia="zh-CN" w:bidi="ar-SA"/>
        </w:rPr>
        <w:t>在项目立项上，项目符合国家法律法规、国民经济发展规划和相关政策，符合行业发展规划和政策要求。该项指标可得满分。</w:t>
      </w:r>
    </w:p>
    <w:p w14:paraId="33C878D9">
      <w:pPr>
        <w:pStyle w:val="6"/>
        <w:spacing w:line="360" w:lineRule="auto"/>
        <w:ind w:firstLine="480" w:firstLineChars="200"/>
        <w:rPr>
          <w:rFonts w:hint="eastAsia" w:hAnsi="宋体" w:cs="宋体"/>
          <w:color w:val="auto"/>
          <w:sz w:val="24"/>
          <w:highlight w:val="none"/>
          <w:lang w:val="en-US" w:eastAsia="zh-CN"/>
        </w:rPr>
      </w:pPr>
      <w:r>
        <w:rPr>
          <w:rFonts w:hint="eastAsia" w:hAnsi="宋体" w:cs="宋体"/>
          <w:color w:val="auto"/>
          <w:sz w:val="24"/>
          <w:highlight w:val="none"/>
          <w:lang w:eastAsia="zh-CN"/>
        </w:rPr>
        <w:t>（</w:t>
      </w:r>
      <w:r>
        <w:rPr>
          <w:rFonts w:hint="eastAsia" w:hAnsi="宋体" w:cs="宋体"/>
          <w:color w:val="auto"/>
          <w:sz w:val="24"/>
          <w:highlight w:val="none"/>
          <w:lang w:val="en-US" w:eastAsia="zh-CN"/>
        </w:rPr>
        <w:t>2</w:t>
      </w:r>
      <w:r>
        <w:rPr>
          <w:rFonts w:hint="eastAsia" w:hAnsi="宋体" w:cs="宋体"/>
          <w:color w:val="auto"/>
          <w:sz w:val="24"/>
          <w:highlight w:val="none"/>
          <w:lang w:eastAsia="zh-CN"/>
        </w:rPr>
        <w:t>）</w:t>
      </w:r>
      <w:r>
        <w:rPr>
          <w:rFonts w:hint="eastAsia" w:hAnsi="宋体" w:cs="宋体"/>
          <w:color w:val="auto"/>
          <w:sz w:val="24"/>
          <w:highlight w:val="none"/>
        </w:rPr>
        <w:t>立项程序规范性</w:t>
      </w:r>
      <w:r>
        <w:rPr>
          <w:rFonts w:hint="eastAsia" w:hAnsi="宋体" w:cs="宋体"/>
          <w:color w:val="auto"/>
          <w:sz w:val="24"/>
          <w:highlight w:val="none"/>
          <w:lang w:val="en-US" w:eastAsia="zh-CN"/>
        </w:rPr>
        <w:t>（分值3分，得2分）</w:t>
      </w:r>
    </w:p>
    <w:p w14:paraId="4822B0D6">
      <w:pPr>
        <w:pStyle w:val="6"/>
        <w:spacing w:line="360" w:lineRule="auto"/>
        <w:ind w:firstLine="480" w:firstLineChars="200"/>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在“立项程序规范性”上，该项目已于2021年4月由福建省水产设计院出具《福建省石狮市锦尚东店一级渔港工程可行性研究报告》（报批稿），并上报</w:t>
      </w:r>
      <w:r>
        <w:rPr>
          <w:rFonts w:hint="eastAsia" w:ascii="仿宋_GB2312" w:cs="Times New Roman"/>
          <w:color w:val="auto"/>
          <w:kern w:val="2"/>
          <w:sz w:val="24"/>
          <w:szCs w:val="24"/>
          <w:highlight w:val="none"/>
          <w:lang w:val="en-US" w:eastAsia="zh-CN" w:bidi="ar-SA"/>
        </w:rPr>
        <w:t>福建省发展和改革委员会</w:t>
      </w:r>
      <w:r>
        <w:rPr>
          <w:rFonts w:hint="eastAsia" w:hAnsi="宋体" w:cs="宋体"/>
          <w:color w:val="auto"/>
          <w:sz w:val="24"/>
          <w:szCs w:val="24"/>
          <w:highlight w:val="none"/>
          <w:lang w:val="en-US" w:eastAsia="zh-CN"/>
        </w:rPr>
        <w:t>批复，事前经过必要可行性研究、风险评估、集体决策，项目进展根据立项、可研、环评、开工许可等审批文件进行，但未于开工前落实海域使用权证办理情况，致使施工过程中因该问题造成停工，因此该项指标扣1分，得2分。</w:t>
      </w:r>
    </w:p>
    <w:p w14:paraId="0E5CDD3C">
      <w:pPr>
        <w:spacing w:line="360" w:lineRule="auto"/>
        <w:ind w:firstLine="480" w:firstLineChars="200"/>
        <w:rPr>
          <w:rFonts w:hint="eastAsia" w:ascii="仿宋_GB2312" w:hAnsi="Times New Roman" w:cs="Times New Roman"/>
          <w:b w:val="0"/>
          <w:bCs w:val="0"/>
          <w:sz w:val="24"/>
          <w:szCs w:val="24"/>
          <w:highlight w:val="none"/>
        </w:rPr>
      </w:pPr>
      <w:r>
        <w:rPr>
          <w:rFonts w:hint="eastAsia" w:ascii="仿宋_GB2312" w:hAnsi="Times New Roman" w:cs="Times New Roman"/>
          <w:b w:val="0"/>
          <w:bCs w:val="0"/>
          <w:sz w:val="24"/>
          <w:szCs w:val="24"/>
          <w:highlight w:val="none"/>
        </w:rPr>
        <w:t>2.绩效目标</w:t>
      </w:r>
      <w:r>
        <w:rPr>
          <w:rFonts w:hint="eastAsia" w:ascii="仿宋_GB2312" w:hAnsi="Times New Roman" w:cs="Times New Roman"/>
          <w:b w:val="0"/>
          <w:bCs w:val="0"/>
          <w:sz w:val="24"/>
          <w:szCs w:val="24"/>
          <w:highlight w:val="none"/>
          <w:lang w:val="en-US" w:eastAsia="zh-CN"/>
        </w:rPr>
        <w:t>（分值</w:t>
      </w:r>
      <w:r>
        <w:rPr>
          <w:rFonts w:hint="eastAsia" w:ascii="仿宋_GB2312" w:cs="Times New Roman"/>
          <w:b w:val="0"/>
          <w:bCs w:val="0"/>
          <w:sz w:val="24"/>
          <w:szCs w:val="24"/>
          <w:highlight w:val="none"/>
          <w:lang w:val="en-US" w:eastAsia="zh-CN"/>
        </w:rPr>
        <w:t>7</w:t>
      </w:r>
      <w:r>
        <w:rPr>
          <w:rFonts w:hint="eastAsia" w:ascii="仿宋_GB2312" w:hAnsi="Times New Roman" w:cs="Times New Roman"/>
          <w:b w:val="0"/>
          <w:bCs w:val="0"/>
          <w:sz w:val="24"/>
          <w:szCs w:val="24"/>
          <w:highlight w:val="none"/>
          <w:lang w:val="en-US" w:eastAsia="zh-CN"/>
        </w:rPr>
        <w:t>分，得</w:t>
      </w:r>
      <w:r>
        <w:rPr>
          <w:rFonts w:hint="eastAsia" w:ascii="仿宋_GB2312" w:cs="Times New Roman"/>
          <w:b w:val="0"/>
          <w:bCs w:val="0"/>
          <w:sz w:val="24"/>
          <w:szCs w:val="24"/>
          <w:highlight w:val="none"/>
          <w:lang w:val="en-US" w:eastAsia="zh-CN"/>
        </w:rPr>
        <w:t>6</w:t>
      </w:r>
      <w:r>
        <w:rPr>
          <w:rFonts w:hint="eastAsia" w:ascii="仿宋_GB2312" w:hAnsi="Times New Roman" w:cs="Times New Roman"/>
          <w:b w:val="0"/>
          <w:bCs w:val="0"/>
          <w:sz w:val="24"/>
          <w:szCs w:val="24"/>
          <w:highlight w:val="none"/>
          <w:lang w:val="en-US" w:eastAsia="zh-CN"/>
        </w:rPr>
        <w:t>分）</w:t>
      </w:r>
    </w:p>
    <w:p w14:paraId="4844F1B5">
      <w:pPr>
        <w:pStyle w:val="6"/>
        <w:spacing w:line="360" w:lineRule="auto"/>
        <w:ind w:firstLine="480" w:firstLineChars="200"/>
        <w:rPr>
          <w:rFonts w:hAnsi="宋体" w:cs="宋体"/>
          <w:sz w:val="24"/>
          <w:highlight w:val="none"/>
        </w:rPr>
      </w:pPr>
      <w:r>
        <w:rPr>
          <w:rFonts w:hint="eastAsia" w:hAnsi="宋体" w:cs="宋体"/>
          <w:sz w:val="24"/>
          <w:highlight w:val="none"/>
          <w:lang w:eastAsia="zh-CN"/>
        </w:rPr>
        <w:t>（</w:t>
      </w:r>
      <w:r>
        <w:rPr>
          <w:rFonts w:hint="eastAsia" w:hAnsi="宋体" w:cs="宋体"/>
          <w:sz w:val="24"/>
          <w:highlight w:val="none"/>
          <w:lang w:val="en-US" w:eastAsia="zh-CN"/>
        </w:rPr>
        <w:t>1</w:t>
      </w:r>
      <w:r>
        <w:rPr>
          <w:rFonts w:hint="eastAsia" w:hAnsi="宋体" w:cs="宋体"/>
          <w:sz w:val="24"/>
          <w:highlight w:val="none"/>
          <w:lang w:eastAsia="zh-CN"/>
        </w:rPr>
        <w:t>）</w:t>
      </w:r>
      <w:r>
        <w:rPr>
          <w:rFonts w:hint="eastAsia" w:hAnsi="宋体" w:cs="宋体"/>
          <w:sz w:val="24"/>
          <w:highlight w:val="none"/>
        </w:rPr>
        <w:t>绩效目标合理性</w:t>
      </w:r>
      <w:r>
        <w:rPr>
          <w:rFonts w:hint="eastAsia" w:hAnsi="宋体" w:cs="宋体"/>
          <w:sz w:val="24"/>
          <w:highlight w:val="none"/>
          <w:lang w:val="en-US" w:eastAsia="zh-CN"/>
        </w:rPr>
        <w:t>（分值4分，得4分）</w:t>
      </w:r>
    </w:p>
    <w:p w14:paraId="40A07657">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绩效目标合理性”评价项目绩效目标的设置情况。石狮市锦尚镇人民政府根据项目所设定的绩效目标符合国家相关法律法规、国民经济发展规划和党委政府决策；与项目实施单位或委托单位职责密切相关；项目为促进事业发展所必须；项目预期产出效益和效果符合正常的业绩水平。该项指标可得满分。</w:t>
      </w:r>
    </w:p>
    <w:p w14:paraId="3F0F10F4">
      <w:pPr>
        <w:pStyle w:val="6"/>
        <w:spacing w:line="360" w:lineRule="auto"/>
        <w:ind w:firstLine="480" w:firstLineChars="200"/>
        <w:rPr>
          <w:rFonts w:hAnsi="宋体" w:cs="宋体"/>
          <w:sz w:val="24"/>
          <w:szCs w:val="24"/>
          <w:highlight w:val="none"/>
        </w:rPr>
      </w:pPr>
      <w:r>
        <w:rPr>
          <w:rFonts w:hint="eastAsia" w:hAnsi="宋体" w:cs="宋体"/>
          <w:sz w:val="24"/>
          <w:szCs w:val="24"/>
          <w:highlight w:val="none"/>
          <w:lang w:eastAsia="zh-CN"/>
        </w:rPr>
        <w:t>（</w:t>
      </w:r>
      <w:r>
        <w:rPr>
          <w:rFonts w:hint="eastAsia" w:hAnsi="宋体" w:cs="宋体"/>
          <w:sz w:val="24"/>
          <w:szCs w:val="24"/>
          <w:highlight w:val="none"/>
          <w:lang w:val="en-US" w:eastAsia="zh-CN"/>
        </w:rPr>
        <w:t>2</w:t>
      </w:r>
      <w:r>
        <w:rPr>
          <w:rFonts w:hint="eastAsia" w:hAnsi="宋体" w:cs="宋体"/>
          <w:sz w:val="24"/>
          <w:szCs w:val="24"/>
          <w:highlight w:val="none"/>
          <w:lang w:eastAsia="zh-CN"/>
        </w:rPr>
        <w:t>）</w:t>
      </w:r>
      <w:r>
        <w:rPr>
          <w:rFonts w:hint="eastAsia" w:hAnsi="宋体" w:cs="宋体"/>
          <w:sz w:val="24"/>
          <w:szCs w:val="24"/>
          <w:highlight w:val="none"/>
        </w:rPr>
        <w:t>绩效指标明确性</w:t>
      </w:r>
      <w:r>
        <w:rPr>
          <w:rFonts w:hint="eastAsia" w:hAnsi="宋体" w:cs="宋体"/>
          <w:sz w:val="24"/>
          <w:highlight w:val="none"/>
          <w:lang w:val="en-US" w:eastAsia="zh-CN"/>
        </w:rPr>
        <w:t>（分值3分，得2分）</w:t>
      </w:r>
    </w:p>
    <w:p w14:paraId="5C0AD35D">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根据提供的2024年渔港建设项目资金（东店一级渔港）项目绩效目标表（如表2所示），共设置了6个三级指标，产出、效益、满意度指标绩效目标设置与项目内容具有相关性，但指标的设计不符合</w:t>
      </w:r>
      <w:r>
        <w:rPr>
          <w:rFonts w:hint="eastAsia" w:hAnsi="宋体"/>
          <w:sz w:val="24"/>
          <w:highlight w:val="none"/>
        </w:rPr>
        <w:t>《项目支出绩效评价管理办法》</w:t>
      </w:r>
      <w:r>
        <w:rPr>
          <w:rFonts w:hint="eastAsia" w:hAnsi="宋体" w:cs="宋体"/>
          <w:sz w:val="24"/>
          <w:highlight w:val="none"/>
        </w:rPr>
        <w:t>（</w:t>
      </w:r>
      <w:r>
        <w:rPr>
          <w:rFonts w:hAnsi="宋体" w:cs="宋体"/>
          <w:sz w:val="24"/>
          <w:highlight w:val="none"/>
        </w:rPr>
        <w:t>财预〔2020〕10号</w:t>
      </w:r>
      <w:r>
        <w:rPr>
          <w:rFonts w:hint="eastAsia" w:hAnsi="宋体" w:cs="宋体"/>
          <w:sz w:val="24"/>
          <w:highlight w:val="none"/>
        </w:rPr>
        <w:t>）</w:t>
      </w:r>
      <w:r>
        <w:rPr>
          <w:rFonts w:hint="eastAsia" w:hAnsi="宋体" w:cs="宋体"/>
          <w:sz w:val="24"/>
          <w:szCs w:val="24"/>
          <w:highlight w:val="none"/>
          <w:lang w:val="en-US" w:eastAsia="zh-CN"/>
        </w:rPr>
        <w:t>要求，“产出指标—数量指标”使用“整体工程投资额”作为三级指标，系将投入指标设置为产出指标；“效益指标—经济效益指标”使用“工程建设完成率”作为三级指标，系将产出指标设置为效益指标。因此，该指标扣1分，得2分。</w:t>
      </w:r>
    </w:p>
    <w:p w14:paraId="1CD1BA9A">
      <w:pPr>
        <w:pStyle w:val="6"/>
        <w:spacing w:line="360" w:lineRule="auto"/>
        <w:ind w:left="0" w:leftChars="0" w:firstLine="0" w:firstLineChars="0"/>
        <w:jc w:val="center"/>
        <w:rPr>
          <w:rFonts w:hint="eastAsia" w:hAnsi="宋体" w:cs="宋体"/>
          <w:sz w:val="24"/>
          <w:szCs w:val="24"/>
          <w:highlight w:val="none"/>
          <w:lang w:val="en-US" w:eastAsia="zh-CN"/>
        </w:rPr>
      </w:pPr>
      <w:r>
        <w:rPr>
          <w:rFonts w:hint="eastAsia" w:hAnsi="宋体" w:cs="宋体"/>
          <w:b/>
          <w:bCs/>
          <w:sz w:val="24"/>
          <w:szCs w:val="24"/>
          <w:highlight w:val="none"/>
          <w:lang w:val="en-US" w:eastAsia="zh-CN"/>
        </w:rPr>
        <w:t>表2  2024年渔港建设项目资金（东店一级渔港）项目绩效目标表</w:t>
      </w:r>
    </w:p>
    <w:tbl>
      <w:tblPr>
        <w:tblStyle w:val="12"/>
        <w:tblW w:w="8110" w:type="dxa"/>
        <w:tblInd w:w="8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2"/>
        <w:gridCol w:w="2443"/>
        <w:gridCol w:w="2106"/>
        <w:gridCol w:w="1979"/>
      </w:tblGrid>
      <w:tr w14:paraId="3EBEA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AC554">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一级指标</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A11D">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二级指标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90C5">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三级指标</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C22D">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2024年目标值</w:t>
            </w:r>
          </w:p>
        </w:tc>
      </w:tr>
      <w:tr w14:paraId="2C85B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6C2C">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成本指标</w:t>
            </w:r>
          </w:p>
        </w:tc>
        <w:tc>
          <w:tcPr>
            <w:tcW w:w="2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1AEC3">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经济成本指标</w:t>
            </w:r>
          </w:p>
        </w:tc>
        <w:tc>
          <w:tcPr>
            <w:tcW w:w="2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5D73A">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财政投入额</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46C03">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2073.31万元</w:t>
            </w:r>
          </w:p>
        </w:tc>
      </w:tr>
      <w:tr w14:paraId="5D983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58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E7081">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产出指标</w:t>
            </w:r>
          </w:p>
        </w:tc>
        <w:tc>
          <w:tcPr>
            <w:tcW w:w="2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5FC31">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数量指标</w:t>
            </w:r>
          </w:p>
        </w:tc>
        <w:tc>
          <w:tcPr>
            <w:tcW w:w="2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1FC4">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整体工程投资额</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3ED72">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7020万元</w:t>
            </w:r>
          </w:p>
        </w:tc>
      </w:tr>
      <w:tr w14:paraId="5D701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1A5E">
            <w:pPr>
              <w:rPr>
                <w:rFonts w:hint="eastAsia" w:ascii="仿宋" w:hAnsi="仿宋" w:eastAsia="仿宋" w:cs="仿宋"/>
                <w:b w:val="0"/>
                <w:bCs w:val="0"/>
                <w:i w:val="0"/>
                <w:iCs w:val="0"/>
                <w:color w:val="000000"/>
                <w:sz w:val="24"/>
                <w:szCs w:val="24"/>
                <w:highlight w:val="none"/>
                <w:u w:val="none"/>
              </w:rPr>
            </w:pPr>
          </w:p>
        </w:tc>
        <w:tc>
          <w:tcPr>
            <w:tcW w:w="2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66C1">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质量指标</w:t>
            </w:r>
          </w:p>
        </w:tc>
        <w:tc>
          <w:tcPr>
            <w:tcW w:w="2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B4AB0">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资金使用合规率</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4629">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100%</w:t>
            </w:r>
          </w:p>
        </w:tc>
      </w:tr>
      <w:tr w14:paraId="4D512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9831">
            <w:pPr>
              <w:rPr>
                <w:rFonts w:hint="eastAsia" w:ascii="仿宋" w:hAnsi="仿宋" w:eastAsia="仿宋" w:cs="仿宋"/>
                <w:b w:val="0"/>
                <w:bCs w:val="0"/>
                <w:i w:val="0"/>
                <w:iCs w:val="0"/>
                <w:color w:val="000000"/>
                <w:sz w:val="24"/>
                <w:szCs w:val="24"/>
                <w:highlight w:val="none"/>
                <w:u w:val="none"/>
              </w:rPr>
            </w:pPr>
          </w:p>
        </w:tc>
        <w:tc>
          <w:tcPr>
            <w:tcW w:w="2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E1B1">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时效指标</w:t>
            </w:r>
          </w:p>
        </w:tc>
        <w:tc>
          <w:tcPr>
            <w:tcW w:w="2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79D2">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资金支付及时率</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96B5D">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100%</w:t>
            </w:r>
          </w:p>
        </w:tc>
      </w:tr>
      <w:tr w14:paraId="721CD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06E1C">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效益指标</w:t>
            </w:r>
          </w:p>
        </w:tc>
        <w:tc>
          <w:tcPr>
            <w:tcW w:w="2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513B5">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经济效益指标</w:t>
            </w:r>
          </w:p>
        </w:tc>
        <w:tc>
          <w:tcPr>
            <w:tcW w:w="2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58D5">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工程建设完成率</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AFD47">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65%</w:t>
            </w:r>
          </w:p>
        </w:tc>
      </w:tr>
      <w:tr w14:paraId="29FD4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1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F1AF4">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满意度指标</w:t>
            </w:r>
          </w:p>
        </w:tc>
        <w:tc>
          <w:tcPr>
            <w:tcW w:w="2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8CF3">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服务对象满意度指标</w:t>
            </w:r>
          </w:p>
        </w:tc>
        <w:tc>
          <w:tcPr>
            <w:tcW w:w="2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703E7">
            <w:pPr>
              <w:keepNext w:val="0"/>
              <w:keepLines w:val="0"/>
              <w:widowControl/>
              <w:suppressLineNumbers w:val="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服务对象满意度</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5597A">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100%</w:t>
            </w:r>
          </w:p>
        </w:tc>
      </w:tr>
    </w:tbl>
    <w:p w14:paraId="5C0770BE">
      <w:pPr>
        <w:spacing w:line="360" w:lineRule="auto"/>
        <w:ind w:firstLine="480" w:firstLineChars="200"/>
        <w:rPr>
          <w:rFonts w:hint="eastAsia" w:ascii="宋体" w:hAnsi="宋体" w:eastAsia="仿宋_GB2312" w:cs="宋体"/>
          <w:kern w:val="2"/>
          <w:sz w:val="24"/>
          <w:szCs w:val="24"/>
          <w:highlight w:val="none"/>
          <w:lang w:val="en-US" w:eastAsia="zh-CN" w:bidi="ar-SA"/>
        </w:rPr>
      </w:pPr>
      <w:r>
        <w:rPr>
          <w:rFonts w:hint="eastAsia" w:ascii="仿宋" w:hAnsi="仿宋" w:eastAsia="仿宋" w:cs="仿宋"/>
          <w:b w:val="0"/>
          <w:bCs w:val="0"/>
          <w:color w:val="000000"/>
          <w:sz w:val="24"/>
          <w:szCs w:val="22"/>
          <w:highlight w:val="none"/>
        </w:rPr>
        <w:t>3.资金投</w:t>
      </w:r>
      <w:r>
        <w:rPr>
          <w:rFonts w:hint="eastAsia" w:ascii="仿宋" w:hAnsi="仿宋" w:eastAsia="仿宋" w:cs="仿宋"/>
          <w:b w:val="0"/>
          <w:bCs w:val="0"/>
          <w:color w:val="000000"/>
          <w:sz w:val="24"/>
          <w:szCs w:val="22"/>
          <w:highlight w:val="none"/>
          <w:lang w:val="en-US" w:eastAsia="zh-CN"/>
        </w:rPr>
        <w:t>入</w:t>
      </w:r>
      <w:r>
        <w:rPr>
          <w:rFonts w:hint="eastAsia" w:ascii="宋体" w:hAnsi="宋体" w:eastAsia="仿宋_GB2312" w:cs="宋体"/>
          <w:kern w:val="2"/>
          <w:sz w:val="24"/>
          <w:szCs w:val="24"/>
          <w:highlight w:val="none"/>
          <w:lang w:val="en-US" w:eastAsia="zh-CN" w:bidi="ar-SA"/>
        </w:rPr>
        <w:t>（分值</w:t>
      </w:r>
      <w:r>
        <w:rPr>
          <w:rFonts w:hint="eastAsia" w:ascii="宋体" w:hAnsi="宋体" w:cs="宋体"/>
          <w:kern w:val="2"/>
          <w:sz w:val="24"/>
          <w:szCs w:val="24"/>
          <w:highlight w:val="none"/>
          <w:lang w:val="en-US" w:eastAsia="zh-CN" w:bidi="ar-SA"/>
        </w:rPr>
        <w:t>8</w:t>
      </w:r>
      <w:r>
        <w:rPr>
          <w:rFonts w:hint="eastAsia" w:ascii="宋体" w:hAnsi="宋体" w:eastAsia="仿宋_GB2312" w:cs="宋体"/>
          <w:kern w:val="2"/>
          <w:sz w:val="24"/>
          <w:szCs w:val="24"/>
          <w:highlight w:val="none"/>
          <w:lang w:val="en-US" w:eastAsia="zh-CN" w:bidi="ar-SA"/>
        </w:rPr>
        <w:t>分，得</w:t>
      </w:r>
      <w:r>
        <w:rPr>
          <w:rFonts w:hint="eastAsia" w:ascii="宋体" w:hAnsi="宋体" w:cs="宋体"/>
          <w:kern w:val="2"/>
          <w:sz w:val="24"/>
          <w:szCs w:val="24"/>
          <w:highlight w:val="none"/>
          <w:lang w:val="en-US" w:eastAsia="zh-CN" w:bidi="ar-SA"/>
        </w:rPr>
        <w:t>8</w:t>
      </w:r>
      <w:r>
        <w:rPr>
          <w:rFonts w:hint="eastAsia" w:ascii="宋体" w:hAnsi="宋体" w:eastAsia="仿宋_GB2312" w:cs="宋体"/>
          <w:kern w:val="2"/>
          <w:sz w:val="24"/>
          <w:szCs w:val="24"/>
          <w:highlight w:val="none"/>
          <w:lang w:val="en-US" w:eastAsia="zh-CN" w:bidi="ar-SA"/>
        </w:rPr>
        <w:t>分）</w:t>
      </w:r>
    </w:p>
    <w:p w14:paraId="0320A1C1">
      <w:pPr>
        <w:pStyle w:val="6"/>
        <w:spacing w:line="360" w:lineRule="auto"/>
        <w:ind w:firstLine="480" w:firstLineChars="200"/>
        <w:rPr>
          <w:rFonts w:hAnsi="宋体" w:cs="宋体"/>
          <w:sz w:val="24"/>
          <w:szCs w:val="24"/>
          <w:highlight w:val="none"/>
        </w:rPr>
      </w:pPr>
      <w:r>
        <w:rPr>
          <w:rFonts w:hint="eastAsia" w:hAnsi="宋体" w:cs="宋体"/>
          <w:sz w:val="24"/>
          <w:szCs w:val="24"/>
          <w:highlight w:val="none"/>
          <w:lang w:eastAsia="zh-CN"/>
        </w:rPr>
        <w:t>（</w:t>
      </w:r>
      <w:r>
        <w:rPr>
          <w:rFonts w:hint="eastAsia" w:hAnsi="宋体" w:cs="宋体"/>
          <w:sz w:val="24"/>
          <w:szCs w:val="24"/>
          <w:highlight w:val="none"/>
          <w:lang w:val="en-US" w:eastAsia="zh-CN"/>
        </w:rPr>
        <w:t>1</w:t>
      </w:r>
      <w:r>
        <w:rPr>
          <w:rFonts w:hint="eastAsia" w:hAnsi="宋体" w:cs="宋体"/>
          <w:sz w:val="24"/>
          <w:szCs w:val="24"/>
          <w:highlight w:val="none"/>
          <w:lang w:eastAsia="zh-CN"/>
        </w:rPr>
        <w:t>）</w:t>
      </w:r>
      <w:r>
        <w:rPr>
          <w:rFonts w:hint="eastAsia" w:hAnsi="宋体" w:cs="宋体"/>
          <w:sz w:val="24"/>
          <w:szCs w:val="24"/>
          <w:highlight w:val="none"/>
          <w:lang w:val="en-US" w:eastAsia="zh-CN"/>
        </w:rPr>
        <w:t>预算编制科学性</w:t>
      </w:r>
      <w:r>
        <w:rPr>
          <w:rFonts w:hint="eastAsia" w:hAnsi="宋体" w:cs="宋体"/>
          <w:sz w:val="24"/>
          <w:highlight w:val="none"/>
          <w:lang w:val="en-US" w:eastAsia="zh-CN"/>
        </w:rPr>
        <w:t>（分值4分，得4分）</w:t>
      </w:r>
    </w:p>
    <w:p w14:paraId="35EF7631">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hAnsi="宋体" w:cs="宋体"/>
          <w:sz w:val="24"/>
          <w:szCs w:val="24"/>
          <w:highlight w:val="none"/>
          <w:lang w:val="en-US" w:eastAsia="zh-CN"/>
        </w:rPr>
      </w:pPr>
      <w:r>
        <w:rPr>
          <w:rFonts w:hint="eastAsia" w:hAnsi="宋体" w:cs="宋体"/>
          <w:sz w:val="24"/>
          <w:szCs w:val="24"/>
          <w:highlight w:val="none"/>
          <w:lang w:val="en-US" w:eastAsia="zh-CN"/>
        </w:rPr>
        <w:t>2021年4月由福建省水产设计院出具《福建省石狮市锦尚东店一级渔港工程可行性研究报告》（报批稿），</w:t>
      </w:r>
      <w:r>
        <w:rPr>
          <w:rFonts w:hint="eastAsia" w:ascii="仿宋_GB2312" w:cs="Times New Roman"/>
          <w:kern w:val="2"/>
          <w:sz w:val="24"/>
          <w:szCs w:val="24"/>
          <w:highlight w:val="none"/>
          <w:lang w:val="en-US" w:eastAsia="zh-CN" w:bidi="ar-SA"/>
        </w:rPr>
        <w:t>2021年8月，福建省发展和改革委员会下达《福建省发展和改革委员会关于福建省石狮市锦尚东店一级渔港工程可行性研究报告的批复》（闽发改网审农业〔2021</w:t>
      </w:r>
      <w:r>
        <w:rPr>
          <w:rFonts w:hAnsi="宋体" w:cs="宋体"/>
          <w:sz w:val="24"/>
          <w:highlight w:val="none"/>
        </w:rPr>
        <w:t>〕</w:t>
      </w:r>
      <w:r>
        <w:rPr>
          <w:rFonts w:hint="eastAsia" w:ascii="仿宋_GB2312" w:cs="Times New Roman"/>
          <w:kern w:val="2"/>
          <w:sz w:val="24"/>
          <w:szCs w:val="24"/>
          <w:highlight w:val="none"/>
          <w:lang w:val="en-US" w:eastAsia="zh-CN" w:bidi="ar-SA"/>
        </w:rPr>
        <w:t>115号），2022年7月，福建省海洋与渔业局下达《关于福建省石狮市锦尚东店一级渔港工程初步设计及概算的批复》（闽海渔〔2022〕37号</w:t>
      </w:r>
      <w:r>
        <w:rPr>
          <w:rFonts w:hint="eastAsia" w:ascii="仿宋_GB2312" w:cs="Times New Roman"/>
          <w:sz w:val="24"/>
          <w:szCs w:val="24"/>
          <w:highlight w:val="none"/>
          <w:lang w:val="en-US" w:eastAsia="zh-CN"/>
        </w:rPr>
        <w:t>）文件核定</w:t>
      </w:r>
      <w:r>
        <w:rPr>
          <w:rFonts w:hint="eastAsia" w:ascii="仿宋_GB2312" w:cs="Times New Roman"/>
          <w:kern w:val="2"/>
          <w:sz w:val="24"/>
          <w:szCs w:val="24"/>
          <w:highlight w:val="none"/>
          <w:lang w:val="en-US" w:eastAsia="zh-CN" w:bidi="ar-SA"/>
        </w:rPr>
        <w:t>项目概算总投资16041.79万元</w:t>
      </w:r>
      <w:r>
        <w:rPr>
          <w:rFonts w:hint="eastAsia" w:hAnsi="宋体" w:cs="宋体"/>
          <w:sz w:val="24"/>
          <w:szCs w:val="24"/>
          <w:highlight w:val="none"/>
          <w:lang w:val="en-US" w:eastAsia="zh-CN"/>
        </w:rPr>
        <w:t>。2024年11月，</w:t>
      </w:r>
      <w:r>
        <w:rPr>
          <w:rFonts w:hint="eastAsia" w:ascii="仿宋_GB2312" w:cs="Times New Roman"/>
          <w:kern w:val="2"/>
          <w:sz w:val="24"/>
          <w:szCs w:val="24"/>
          <w:highlight w:val="none"/>
          <w:lang w:val="en-US" w:eastAsia="zh-CN" w:bidi="ar-SA"/>
        </w:rPr>
        <w:t>《福建省财政厅福建省海与渔业局关于下达2024年渔业发展补助资金(第三批)的通知》（闽财农指〔2024〕81号）下达渔业发展补助资金2073.31万元，系按工程进度申请补助的形式下达资金。</w:t>
      </w:r>
      <w:r>
        <w:rPr>
          <w:rFonts w:hint="eastAsia" w:hAnsi="宋体" w:cs="宋体"/>
          <w:sz w:val="24"/>
          <w:szCs w:val="24"/>
          <w:highlight w:val="none"/>
          <w:lang w:val="en-US" w:eastAsia="zh-CN"/>
        </w:rPr>
        <w:t>项目</w:t>
      </w:r>
      <w:r>
        <w:rPr>
          <w:rFonts w:hint="eastAsia" w:ascii="宋体" w:hAnsi="宋体" w:cs="宋体"/>
          <w:sz w:val="24"/>
          <w:szCs w:val="24"/>
          <w:highlight w:val="none"/>
          <w:lang w:val="en-US" w:eastAsia="zh-CN"/>
        </w:rPr>
        <w:t>所属</w:t>
      </w:r>
      <w:r>
        <w:rPr>
          <w:rFonts w:hint="default" w:ascii="宋体" w:hAnsi="宋体" w:cs="宋体"/>
          <w:sz w:val="24"/>
          <w:szCs w:val="24"/>
          <w:highlight w:val="none"/>
          <w:lang w:val="en-US" w:eastAsia="zh-CN"/>
        </w:rPr>
        <w:t>渔港</w:t>
      </w:r>
      <w:r>
        <w:rPr>
          <w:rFonts w:hint="eastAsia" w:ascii="宋体" w:hAnsi="宋体" w:cs="宋体"/>
          <w:sz w:val="24"/>
          <w:szCs w:val="24"/>
          <w:highlight w:val="none"/>
          <w:lang w:val="en-US" w:eastAsia="zh-CN"/>
        </w:rPr>
        <w:t>建</w:t>
      </w:r>
      <w:r>
        <w:rPr>
          <w:rFonts w:hint="eastAsia" w:hAnsi="宋体" w:cs="宋体"/>
          <w:sz w:val="24"/>
          <w:szCs w:val="24"/>
          <w:highlight w:val="none"/>
          <w:lang w:val="en-US" w:eastAsia="zh-CN"/>
        </w:rPr>
        <w:t>设领域属于国家规定的支持范围，该项指标可得满分。</w:t>
      </w:r>
    </w:p>
    <w:p w14:paraId="3F627240">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eastAsia="zh-CN"/>
        </w:rPr>
        <w:t>（</w:t>
      </w:r>
      <w:r>
        <w:rPr>
          <w:rFonts w:hint="eastAsia" w:hAnsi="宋体" w:cs="宋体"/>
          <w:sz w:val="24"/>
          <w:szCs w:val="24"/>
          <w:highlight w:val="none"/>
          <w:lang w:val="en-US" w:eastAsia="zh-CN"/>
        </w:rPr>
        <w:t>2</w:t>
      </w:r>
      <w:r>
        <w:rPr>
          <w:rFonts w:hint="eastAsia" w:hAnsi="宋体" w:cs="宋体"/>
          <w:sz w:val="24"/>
          <w:szCs w:val="24"/>
          <w:highlight w:val="none"/>
          <w:lang w:eastAsia="zh-CN"/>
        </w:rPr>
        <w:t>）</w:t>
      </w:r>
      <w:r>
        <w:rPr>
          <w:rFonts w:hint="eastAsia" w:hAnsi="宋体" w:cs="宋体"/>
          <w:sz w:val="24"/>
          <w:szCs w:val="24"/>
          <w:highlight w:val="none"/>
        </w:rPr>
        <w:t>资金分配合理</w:t>
      </w:r>
      <w:r>
        <w:rPr>
          <w:rFonts w:hint="eastAsia" w:hAnsi="宋体" w:cs="宋体"/>
          <w:sz w:val="24"/>
          <w:szCs w:val="24"/>
          <w:highlight w:val="none"/>
          <w:lang w:val="en-US" w:eastAsia="zh-CN"/>
        </w:rPr>
        <w:t>性</w:t>
      </w:r>
      <w:r>
        <w:rPr>
          <w:rFonts w:hint="eastAsia" w:hAnsi="宋体" w:cs="宋体"/>
          <w:sz w:val="24"/>
          <w:highlight w:val="none"/>
          <w:lang w:val="en-US" w:eastAsia="zh-CN"/>
        </w:rPr>
        <w:t>（分值4分，得4分）</w:t>
      </w:r>
    </w:p>
    <w:p w14:paraId="55569F79">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根据</w:t>
      </w:r>
      <w:r>
        <w:rPr>
          <w:rFonts w:hint="eastAsia" w:ascii="仿宋_GB2312" w:cs="Times New Roman"/>
          <w:kern w:val="2"/>
          <w:sz w:val="24"/>
          <w:szCs w:val="24"/>
          <w:highlight w:val="none"/>
          <w:lang w:val="en-US" w:eastAsia="zh-CN" w:bidi="ar-SA"/>
        </w:rPr>
        <w:t>闽海渔〔2022〕37号</w:t>
      </w:r>
      <w:r>
        <w:rPr>
          <w:rFonts w:hint="eastAsia" w:hAnsi="宋体" w:cs="宋体"/>
          <w:sz w:val="24"/>
          <w:szCs w:val="24"/>
          <w:highlight w:val="none"/>
          <w:lang w:val="en-US" w:eastAsia="zh-CN"/>
        </w:rPr>
        <w:t>文件，</w:t>
      </w: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sz w:val="24"/>
          <w:szCs w:val="24"/>
          <w:highlight w:val="none"/>
          <w:lang w:val="en-US" w:eastAsia="zh-CN"/>
        </w:rPr>
        <w:t>建设</w:t>
      </w:r>
      <w:r>
        <w:rPr>
          <w:rFonts w:hint="eastAsia" w:ascii="仿宋_GB2312" w:cs="Times New Roman"/>
          <w:kern w:val="2"/>
          <w:sz w:val="24"/>
          <w:szCs w:val="24"/>
          <w:highlight w:val="none"/>
          <w:lang w:val="en-US" w:eastAsia="zh-CN" w:bidi="ar-SA"/>
        </w:rPr>
        <w:t>资金除省级补助外，其余部分由业主单位多方筹措解决，</w:t>
      </w:r>
      <w:r>
        <w:rPr>
          <w:rFonts w:hint="eastAsia" w:hAnsi="宋体" w:cs="宋体"/>
          <w:sz w:val="24"/>
          <w:szCs w:val="24"/>
          <w:highlight w:val="none"/>
          <w:lang w:val="en-US" w:eastAsia="zh-CN"/>
        </w:rPr>
        <w:t>项目总投资估算为</w:t>
      </w:r>
      <w:r>
        <w:rPr>
          <w:rFonts w:hint="eastAsia" w:ascii="仿宋_GB2312" w:cs="Times New Roman"/>
          <w:kern w:val="2"/>
          <w:sz w:val="24"/>
          <w:szCs w:val="24"/>
          <w:highlight w:val="none"/>
          <w:lang w:val="en-US" w:eastAsia="zh-CN" w:bidi="ar-SA"/>
        </w:rPr>
        <w:t>16041.79</w:t>
      </w:r>
      <w:r>
        <w:rPr>
          <w:rFonts w:hint="eastAsia" w:hAnsi="宋体" w:cs="宋体"/>
          <w:sz w:val="24"/>
          <w:szCs w:val="24"/>
          <w:highlight w:val="none"/>
          <w:lang w:val="en-US" w:eastAsia="zh-CN"/>
        </w:rPr>
        <w:t>万元。2024年11月，</w:t>
      </w:r>
      <w:r>
        <w:rPr>
          <w:rFonts w:hint="eastAsia" w:ascii="仿宋_GB2312" w:cs="Times New Roman"/>
          <w:kern w:val="2"/>
          <w:sz w:val="24"/>
          <w:szCs w:val="24"/>
          <w:highlight w:val="none"/>
          <w:lang w:val="en-US" w:eastAsia="zh-CN" w:bidi="ar-SA"/>
        </w:rPr>
        <w:t>《福建省财政厅福建省海与渔业局关于下达2024年渔业发展补助资金(第三批)的通知》（闽财农指〔2024〕81号）下达渔业发展补助资金2073.31万元，业主单位根据工程进度申请预算，逐项支付相关款项，</w:t>
      </w:r>
      <w:r>
        <w:rPr>
          <w:rFonts w:hint="eastAsia" w:ascii="仿宋_GB2312" w:hAnsi="Times New Roman" w:eastAsia="仿宋_GB2312" w:cs="Times New Roman"/>
          <w:sz w:val="24"/>
          <w:szCs w:val="24"/>
          <w:highlight w:val="none"/>
          <w:lang w:val="zh-CN" w:eastAsia="zh-CN"/>
        </w:rPr>
        <w:t>202</w:t>
      </w:r>
      <w:r>
        <w:rPr>
          <w:rFonts w:hint="eastAsia" w:ascii="仿宋_GB2312" w:hAnsi="Times New Roman" w:cs="Times New Roman"/>
          <w:sz w:val="24"/>
          <w:szCs w:val="24"/>
          <w:highlight w:val="none"/>
          <w:lang w:val="en-US" w:eastAsia="zh-CN"/>
        </w:rPr>
        <w:t>4</w:t>
      </w:r>
      <w:r>
        <w:rPr>
          <w:rFonts w:hint="eastAsia" w:ascii="仿宋_GB2312" w:hAnsi="Times New Roman" w:eastAsia="仿宋_GB2312" w:cs="Times New Roman"/>
          <w:sz w:val="24"/>
          <w:szCs w:val="24"/>
          <w:highlight w:val="none"/>
          <w:lang w:val="zh-CN" w:eastAsia="zh-CN"/>
        </w:rPr>
        <w:t>年经费</w:t>
      </w:r>
      <w:r>
        <w:rPr>
          <w:rFonts w:hint="eastAsia" w:ascii="仿宋_GB2312" w:hAnsi="Times New Roman" w:eastAsia="仿宋_GB2312" w:cs="Times New Roman"/>
          <w:sz w:val="24"/>
          <w:szCs w:val="24"/>
          <w:highlight w:val="none"/>
          <w:lang w:val="en-US" w:eastAsia="zh-CN"/>
        </w:rPr>
        <w:t>在使用上基本按完成</w:t>
      </w:r>
      <w:r>
        <w:rPr>
          <w:rFonts w:hint="eastAsia" w:ascii="仿宋_GB2312" w:hAnsi="Times New Roman" w:eastAsia="仿宋_GB2312" w:cs="Times New Roman"/>
          <w:sz w:val="24"/>
          <w:szCs w:val="24"/>
          <w:highlight w:val="none"/>
          <w:lang w:val="zh-CN" w:eastAsia="zh-CN"/>
        </w:rPr>
        <w:t>实际工作的</w:t>
      </w:r>
      <w:r>
        <w:rPr>
          <w:rFonts w:hint="eastAsia" w:ascii="仿宋_GB2312" w:hAnsi="Times New Roman" w:eastAsia="仿宋_GB2312" w:cs="Times New Roman"/>
          <w:sz w:val="24"/>
          <w:szCs w:val="24"/>
          <w:highlight w:val="none"/>
          <w:lang w:val="en-US" w:eastAsia="zh-CN"/>
        </w:rPr>
        <w:t>时序进行分配，</w:t>
      </w:r>
      <w:r>
        <w:rPr>
          <w:rFonts w:hint="eastAsia" w:ascii="仿宋_GB2312" w:hAnsi="Times New Roman" w:eastAsia="仿宋_GB2312" w:cs="Times New Roman"/>
          <w:sz w:val="24"/>
          <w:szCs w:val="24"/>
          <w:highlight w:val="none"/>
          <w:lang w:val="zh-CN" w:eastAsia="zh-CN"/>
        </w:rPr>
        <w:t>资金分配</w:t>
      </w:r>
      <w:r>
        <w:rPr>
          <w:rFonts w:hint="eastAsia" w:ascii="仿宋_GB2312" w:hAnsi="Times New Roman" w:eastAsia="仿宋_GB2312" w:cs="Times New Roman"/>
          <w:sz w:val="24"/>
          <w:szCs w:val="24"/>
          <w:highlight w:val="none"/>
          <w:lang w:val="en-US" w:eastAsia="zh-CN"/>
        </w:rPr>
        <w:t>与工作</w:t>
      </w:r>
      <w:r>
        <w:rPr>
          <w:rFonts w:hint="eastAsia" w:ascii="仿宋_GB2312" w:hAnsi="Times New Roman" w:eastAsia="仿宋_GB2312" w:cs="Times New Roman"/>
          <w:sz w:val="24"/>
          <w:szCs w:val="24"/>
          <w:highlight w:val="none"/>
          <w:lang w:val="zh-CN" w:eastAsia="zh-CN"/>
        </w:rPr>
        <w:t>任务基本相匹配，资金分配额度基本合理。</w:t>
      </w:r>
      <w:r>
        <w:rPr>
          <w:rFonts w:hint="eastAsia" w:hAnsi="宋体" w:cs="宋体"/>
          <w:sz w:val="24"/>
          <w:szCs w:val="24"/>
          <w:highlight w:val="none"/>
          <w:lang w:val="en-US" w:eastAsia="zh-CN"/>
        </w:rPr>
        <w:t>该项指标可得满分。</w:t>
      </w:r>
    </w:p>
    <w:p w14:paraId="241FF42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cs="Times New Roman"/>
          <w:b/>
          <w:bCs/>
          <w:sz w:val="24"/>
          <w:szCs w:val="24"/>
          <w:highlight w:val="none"/>
        </w:rPr>
      </w:pPr>
      <w:bookmarkStart w:id="10" w:name="_Toc1695"/>
      <w:r>
        <w:rPr>
          <w:rFonts w:hint="eastAsia" w:ascii="仿宋_GB2312" w:hAnsi="Times New Roman" w:cs="Times New Roman"/>
          <w:b/>
          <w:bCs/>
          <w:sz w:val="24"/>
          <w:szCs w:val="24"/>
          <w:highlight w:val="none"/>
        </w:rPr>
        <w:t>（二）项目过程情况</w:t>
      </w:r>
      <w:r>
        <w:rPr>
          <w:rFonts w:hint="eastAsia" w:ascii="仿宋_GB2312" w:hAnsi="Times New Roman" w:cs="Times New Roman"/>
          <w:b/>
          <w:bCs/>
          <w:sz w:val="24"/>
          <w:szCs w:val="24"/>
          <w:highlight w:val="none"/>
          <w:lang w:val="en-US" w:eastAsia="zh-CN"/>
        </w:rPr>
        <w:t>（</w:t>
      </w:r>
      <w:r>
        <w:rPr>
          <w:rFonts w:hint="eastAsia" w:ascii="仿宋_GB2312" w:cs="Times New Roman"/>
          <w:b/>
          <w:bCs/>
          <w:sz w:val="24"/>
          <w:szCs w:val="24"/>
          <w:highlight w:val="none"/>
          <w:lang w:val="en-US" w:eastAsia="zh-CN"/>
        </w:rPr>
        <w:t>分值20</w:t>
      </w:r>
      <w:r>
        <w:rPr>
          <w:rFonts w:hint="eastAsia" w:ascii="仿宋_GB2312" w:hAnsi="Times New Roman" w:cs="Times New Roman"/>
          <w:b/>
          <w:bCs/>
          <w:sz w:val="24"/>
          <w:szCs w:val="24"/>
          <w:highlight w:val="none"/>
          <w:lang w:val="en-US" w:eastAsia="zh-CN"/>
        </w:rPr>
        <w:t>分</w:t>
      </w:r>
      <w:r>
        <w:rPr>
          <w:rFonts w:hint="eastAsia" w:ascii="仿宋_GB2312" w:cs="Times New Roman"/>
          <w:b/>
          <w:bCs/>
          <w:sz w:val="24"/>
          <w:szCs w:val="24"/>
          <w:highlight w:val="none"/>
          <w:lang w:val="en-US" w:eastAsia="zh-CN"/>
        </w:rPr>
        <w:t>，得17.27分</w:t>
      </w:r>
      <w:r>
        <w:rPr>
          <w:rFonts w:hint="eastAsia" w:ascii="仿宋_GB2312" w:hAnsi="Times New Roman" w:cs="Times New Roman"/>
          <w:b/>
          <w:bCs/>
          <w:sz w:val="24"/>
          <w:szCs w:val="24"/>
          <w:highlight w:val="none"/>
          <w:lang w:val="en-US" w:eastAsia="zh-CN"/>
        </w:rPr>
        <w:t>）</w:t>
      </w:r>
      <w:bookmarkEnd w:id="10"/>
    </w:p>
    <w:p w14:paraId="48275A4A">
      <w:pPr>
        <w:pStyle w:val="6"/>
        <w:spacing w:line="360" w:lineRule="auto"/>
        <w:ind w:firstLine="480" w:firstLineChars="200"/>
        <w:rPr>
          <w:rFonts w:hint="eastAsia" w:hAnsi="宋体" w:cs="宋体"/>
          <w:sz w:val="24"/>
          <w:szCs w:val="24"/>
          <w:highlight w:val="none"/>
          <w:lang w:val="en-US" w:eastAsia="zh-CN"/>
        </w:rPr>
      </w:pPr>
      <w:r>
        <w:rPr>
          <w:rFonts w:hint="eastAsia" w:ascii="宋体" w:hAnsi="宋体" w:eastAsia="仿宋_GB2312" w:cs="宋体"/>
          <w:kern w:val="2"/>
          <w:sz w:val="24"/>
          <w:szCs w:val="24"/>
          <w:highlight w:val="none"/>
          <w:lang w:val="en-US" w:eastAsia="zh-CN" w:bidi="ar-SA"/>
        </w:rPr>
        <w:t>1.资金管理</w:t>
      </w:r>
      <w:r>
        <w:rPr>
          <w:rFonts w:hint="eastAsia" w:hAnsi="宋体" w:cs="宋体"/>
          <w:sz w:val="24"/>
          <w:highlight w:val="none"/>
          <w:lang w:val="en-US" w:eastAsia="zh-CN"/>
        </w:rPr>
        <w:t>（分值12分，得10.27分）</w:t>
      </w:r>
    </w:p>
    <w:p w14:paraId="734D9B93">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eastAsia="zh-CN"/>
        </w:rPr>
        <w:t>（</w:t>
      </w:r>
      <w:r>
        <w:rPr>
          <w:rFonts w:hint="eastAsia" w:hAnsi="宋体" w:cs="宋体"/>
          <w:sz w:val="24"/>
          <w:szCs w:val="24"/>
          <w:highlight w:val="none"/>
          <w:lang w:val="en-US" w:eastAsia="zh-CN"/>
        </w:rPr>
        <w:t>1</w:t>
      </w:r>
      <w:r>
        <w:rPr>
          <w:rFonts w:hint="eastAsia" w:hAnsi="宋体" w:cs="宋体"/>
          <w:sz w:val="24"/>
          <w:szCs w:val="24"/>
          <w:highlight w:val="none"/>
          <w:lang w:eastAsia="zh-CN"/>
        </w:rPr>
        <w:t>）</w:t>
      </w:r>
      <w:r>
        <w:rPr>
          <w:rFonts w:hint="eastAsia" w:hAnsi="宋体" w:cs="宋体"/>
          <w:sz w:val="24"/>
          <w:szCs w:val="24"/>
          <w:highlight w:val="none"/>
          <w:lang w:val="en-US" w:eastAsia="zh-CN"/>
        </w:rPr>
        <w:t>资金到位率</w:t>
      </w:r>
      <w:r>
        <w:rPr>
          <w:rFonts w:hint="eastAsia" w:hAnsi="宋体" w:cs="宋体"/>
          <w:sz w:val="24"/>
          <w:highlight w:val="none"/>
          <w:lang w:val="en-US" w:eastAsia="zh-CN"/>
        </w:rPr>
        <w:t>（分值4分，得4分）</w:t>
      </w:r>
    </w:p>
    <w:p w14:paraId="508ABCB3">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“资金到位率”用于评价项目实施年度财政资金到位情况。2024年</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ascii="仿宋_GB2312" w:hAnsi="Times New Roman" w:eastAsia="仿宋_GB2312" w:cs="Times New Roman"/>
          <w:sz w:val="24"/>
          <w:szCs w:val="24"/>
          <w:lang w:val="zh-CN" w:eastAsia="zh-CN"/>
        </w:rPr>
        <w:t>计划</w:t>
      </w:r>
      <w:r>
        <w:rPr>
          <w:rFonts w:hint="eastAsia" w:ascii="仿宋_GB2312" w:cs="Times New Roman"/>
          <w:kern w:val="2"/>
          <w:sz w:val="24"/>
          <w:szCs w:val="24"/>
          <w:lang w:val="en-US" w:eastAsia="zh-CN" w:bidi="ar-SA"/>
        </w:rPr>
        <w:t>下达渔业发展补助资金2073.3</w:t>
      </w:r>
      <w:r>
        <w:rPr>
          <w:rFonts w:hint="eastAsia" w:ascii="仿宋_GB2312" w:cs="Times New Roman"/>
          <w:kern w:val="2"/>
          <w:sz w:val="24"/>
          <w:szCs w:val="24"/>
          <w:highlight w:val="none"/>
          <w:lang w:val="en-US" w:eastAsia="zh-CN" w:bidi="ar-SA"/>
        </w:rPr>
        <w:t>1万元</w:t>
      </w:r>
      <w:r>
        <w:rPr>
          <w:rFonts w:hint="eastAsia" w:ascii="仿宋_GB2312" w:hAnsi="Times New Roman" w:eastAsia="仿宋_GB2312" w:cs="Times New Roman"/>
          <w:sz w:val="24"/>
          <w:szCs w:val="24"/>
          <w:highlight w:val="none"/>
          <w:lang w:val="zh-CN" w:eastAsia="zh-CN"/>
        </w:rPr>
        <w:t>，实际到位</w:t>
      </w:r>
      <w:r>
        <w:rPr>
          <w:rFonts w:hint="eastAsia" w:ascii="仿宋_GB2312" w:cs="Times New Roman"/>
          <w:kern w:val="2"/>
          <w:sz w:val="24"/>
          <w:szCs w:val="24"/>
          <w:highlight w:val="none"/>
          <w:lang w:val="en-US" w:eastAsia="zh-CN" w:bidi="ar-SA"/>
        </w:rPr>
        <w:t>2073.31</w:t>
      </w:r>
      <w:r>
        <w:rPr>
          <w:rFonts w:hint="eastAsia" w:ascii="仿宋_GB2312" w:hAnsi="Times New Roman" w:eastAsia="仿宋_GB2312" w:cs="Times New Roman"/>
          <w:sz w:val="24"/>
          <w:szCs w:val="24"/>
          <w:highlight w:val="none"/>
          <w:lang w:val="zh-CN" w:eastAsia="zh-CN"/>
        </w:rPr>
        <w:t>万元，</w:t>
      </w:r>
      <w:r>
        <w:rPr>
          <w:rFonts w:hint="eastAsia" w:hAnsi="宋体" w:cs="宋体"/>
          <w:sz w:val="24"/>
          <w:szCs w:val="24"/>
          <w:lang w:val="en-US" w:eastAsia="zh-CN"/>
        </w:rPr>
        <w:t>资金到位率为100.00%。依据评分标准，该项指标得4分。</w:t>
      </w:r>
    </w:p>
    <w:p w14:paraId="4D4B26C2">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eastAsia="zh-CN"/>
        </w:rPr>
        <w:t>（</w:t>
      </w:r>
      <w:r>
        <w:rPr>
          <w:rFonts w:hint="eastAsia" w:hAnsi="宋体" w:cs="宋体"/>
          <w:sz w:val="24"/>
          <w:szCs w:val="24"/>
          <w:highlight w:val="none"/>
          <w:lang w:val="en-US" w:eastAsia="zh-CN"/>
        </w:rPr>
        <w:t>2</w:t>
      </w:r>
      <w:r>
        <w:rPr>
          <w:rFonts w:hint="eastAsia" w:hAnsi="宋体" w:cs="宋体"/>
          <w:sz w:val="24"/>
          <w:szCs w:val="24"/>
          <w:highlight w:val="none"/>
          <w:lang w:eastAsia="zh-CN"/>
        </w:rPr>
        <w:t>）</w:t>
      </w:r>
      <w:r>
        <w:rPr>
          <w:rFonts w:hint="eastAsia" w:hAnsi="宋体" w:cs="宋体"/>
          <w:sz w:val="24"/>
          <w:szCs w:val="24"/>
          <w:highlight w:val="none"/>
        </w:rPr>
        <w:t>预算执行率</w:t>
      </w:r>
      <w:r>
        <w:rPr>
          <w:rFonts w:hint="eastAsia" w:hAnsi="宋体" w:cs="宋体"/>
          <w:sz w:val="24"/>
          <w:szCs w:val="24"/>
          <w:highlight w:val="none"/>
          <w:lang w:val="en-US" w:eastAsia="zh-CN"/>
        </w:rPr>
        <w:t>（分值4分，得2.27分）</w:t>
      </w:r>
    </w:p>
    <w:p w14:paraId="6350D75A">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“预算执行率”指标用于考察项目实施年度财政资金预算执行率</w:t>
      </w:r>
      <w:r>
        <w:rPr>
          <w:rFonts w:hint="eastAsia" w:hAnsi="宋体" w:cs="宋体"/>
          <w:sz w:val="24"/>
          <w:szCs w:val="24"/>
          <w:highlight w:val="none"/>
        </w:rPr>
        <w:t>，预算执行率=实际</w:t>
      </w:r>
      <w:r>
        <w:rPr>
          <w:rFonts w:hint="eastAsia" w:hAnsi="宋体" w:cs="宋体"/>
          <w:sz w:val="24"/>
          <w:szCs w:val="24"/>
          <w:highlight w:val="none"/>
          <w:lang w:val="en-US" w:eastAsia="zh-CN"/>
        </w:rPr>
        <w:t>支出</w:t>
      </w:r>
      <w:r>
        <w:rPr>
          <w:rFonts w:hint="eastAsia" w:hAnsi="宋体" w:cs="宋体"/>
          <w:sz w:val="24"/>
          <w:szCs w:val="24"/>
          <w:highlight w:val="none"/>
        </w:rPr>
        <w:t>资金/</w:t>
      </w:r>
      <w:r>
        <w:rPr>
          <w:rFonts w:hint="eastAsia" w:hAnsi="宋体" w:cs="宋体"/>
          <w:sz w:val="24"/>
          <w:szCs w:val="24"/>
          <w:highlight w:val="none"/>
          <w:lang w:val="en-US" w:eastAsia="zh-CN"/>
        </w:rPr>
        <w:t>实际到位资金×100%。2024年</w:t>
      </w: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ascii="仿宋_GB2312" w:hAnsi="Times New Roman" w:eastAsia="仿宋_GB2312" w:cs="Times New Roman"/>
          <w:sz w:val="24"/>
          <w:szCs w:val="24"/>
          <w:highlight w:val="none"/>
          <w:lang w:val="zh-CN" w:eastAsia="zh-CN"/>
        </w:rPr>
        <w:t>计划</w:t>
      </w:r>
      <w:r>
        <w:rPr>
          <w:rFonts w:hint="eastAsia" w:ascii="仿宋_GB2312" w:cs="Times New Roman"/>
          <w:kern w:val="2"/>
          <w:sz w:val="24"/>
          <w:szCs w:val="24"/>
          <w:highlight w:val="none"/>
          <w:lang w:val="en-US" w:eastAsia="zh-CN" w:bidi="ar-SA"/>
        </w:rPr>
        <w:t>下达渔业发展补助资金2073.31万元</w:t>
      </w:r>
      <w:r>
        <w:rPr>
          <w:rFonts w:hint="eastAsia" w:hAnsi="宋体" w:cs="宋体"/>
          <w:sz w:val="24"/>
          <w:szCs w:val="24"/>
          <w:highlight w:val="none"/>
          <w:lang w:val="en-US" w:eastAsia="zh-CN"/>
        </w:rPr>
        <w:t>，截至2024年12月31日共申请并支付资金</w:t>
      </w:r>
      <w:r>
        <w:rPr>
          <w:rFonts w:hint="eastAsia" w:ascii="仿宋_GB2312" w:cs="Times New Roman"/>
          <w:kern w:val="2"/>
          <w:sz w:val="24"/>
          <w:szCs w:val="24"/>
          <w:highlight w:val="none"/>
          <w:lang w:val="en-US" w:eastAsia="zh-CN" w:bidi="ar-SA"/>
        </w:rPr>
        <w:t>1178.37</w:t>
      </w:r>
      <w:r>
        <w:rPr>
          <w:rFonts w:hint="eastAsia" w:hAnsi="宋体" w:cs="宋体"/>
          <w:sz w:val="24"/>
          <w:szCs w:val="24"/>
          <w:highlight w:val="none"/>
          <w:lang w:val="en-US" w:eastAsia="zh-CN"/>
        </w:rPr>
        <w:t>万元，</w:t>
      </w:r>
      <w:r>
        <w:rPr>
          <w:rFonts w:hint="eastAsia" w:hAnsi="宋体" w:cs="宋体"/>
          <w:sz w:val="24"/>
          <w:szCs w:val="24"/>
          <w:highlight w:val="none"/>
        </w:rPr>
        <w:t>预算执行率</w:t>
      </w:r>
      <w:r>
        <w:rPr>
          <w:rFonts w:hint="eastAsia" w:hAnsi="宋体" w:cs="宋体"/>
          <w:sz w:val="24"/>
          <w:szCs w:val="24"/>
          <w:highlight w:val="none"/>
          <w:lang w:val="en-US" w:eastAsia="zh-CN"/>
        </w:rPr>
        <w:t>56.84</w:t>
      </w:r>
      <w:r>
        <w:rPr>
          <w:rFonts w:hint="eastAsia" w:hAnsi="宋体" w:cs="宋体"/>
          <w:sz w:val="24"/>
          <w:szCs w:val="24"/>
          <w:highlight w:val="none"/>
        </w:rPr>
        <w:t>%</w:t>
      </w:r>
      <w:r>
        <w:rPr>
          <w:rFonts w:hint="eastAsia" w:hAnsi="宋体" w:cs="宋体"/>
          <w:sz w:val="24"/>
          <w:szCs w:val="24"/>
          <w:highlight w:val="none"/>
          <w:lang w:eastAsia="zh-CN"/>
        </w:rPr>
        <w:t>。</w:t>
      </w:r>
      <w:r>
        <w:rPr>
          <w:rFonts w:hint="eastAsia" w:hAnsi="宋体" w:cs="宋体"/>
          <w:sz w:val="24"/>
          <w:szCs w:val="24"/>
          <w:highlight w:val="none"/>
          <w:lang w:val="en-US" w:eastAsia="zh-CN"/>
        </w:rPr>
        <w:t>依据评分标准，该项指标得2.27分。</w:t>
      </w:r>
    </w:p>
    <w:p w14:paraId="2214F373">
      <w:pPr>
        <w:pStyle w:val="6"/>
        <w:spacing w:line="360" w:lineRule="auto"/>
        <w:ind w:firstLine="480" w:firstLineChars="200"/>
        <w:rPr>
          <w:rFonts w:hint="eastAsia" w:hAnsi="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hAnsi="宋体" w:cs="宋体"/>
          <w:sz w:val="24"/>
          <w:szCs w:val="24"/>
          <w:lang w:eastAsia="zh-CN"/>
        </w:rPr>
        <w:t>）</w:t>
      </w:r>
      <w:r>
        <w:rPr>
          <w:rFonts w:hint="eastAsia" w:hAnsi="宋体" w:cs="宋体"/>
          <w:sz w:val="24"/>
          <w:szCs w:val="24"/>
        </w:rPr>
        <w:t>资金使用合规性</w:t>
      </w:r>
      <w:r>
        <w:rPr>
          <w:rFonts w:hint="eastAsia" w:hAnsi="宋体" w:cs="宋体"/>
          <w:sz w:val="24"/>
          <w:szCs w:val="24"/>
          <w:lang w:val="en-US" w:eastAsia="zh-CN"/>
        </w:rPr>
        <w:t>（分值4分，得4分）</w:t>
      </w:r>
    </w:p>
    <w:p w14:paraId="0D86FC07">
      <w:pPr>
        <w:pStyle w:val="6"/>
        <w:spacing w:line="360" w:lineRule="auto"/>
        <w:ind w:firstLine="480" w:firstLineChars="200"/>
        <w:rPr>
          <w:rFonts w:hint="eastAsia" w:hAnsi="宋体" w:cs="宋体"/>
          <w:sz w:val="24"/>
          <w:szCs w:val="24"/>
          <w:highlight w:val="none"/>
        </w:rPr>
      </w:pPr>
      <w:r>
        <w:rPr>
          <w:rFonts w:hint="eastAsia" w:hAnsi="宋体" w:cs="宋体"/>
          <w:sz w:val="24"/>
          <w:szCs w:val="24"/>
        </w:rPr>
        <w:t>“资金使用合规性”指标用于评价资金使用是否违规。评价工作组通过对</w:t>
      </w: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sz w:val="24"/>
          <w:szCs w:val="24"/>
        </w:rPr>
        <w:t>的拨付、使用情况等基本数据的了解，</w:t>
      </w:r>
      <w:r>
        <w:rPr>
          <w:rFonts w:hint="eastAsia" w:hAnsi="宋体" w:cs="宋体"/>
          <w:sz w:val="24"/>
          <w:szCs w:val="24"/>
          <w:lang w:val="en-US" w:eastAsia="zh-CN"/>
        </w:rPr>
        <w:t>并实地抽查项目</w:t>
      </w:r>
      <w:r>
        <w:rPr>
          <w:rFonts w:hint="eastAsia" w:hAnsi="宋体" w:cs="宋体"/>
          <w:sz w:val="24"/>
          <w:szCs w:val="24"/>
        </w:rPr>
        <w:t>相关的</w:t>
      </w:r>
      <w:r>
        <w:rPr>
          <w:rFonts w:hint="eastAsia" w:hAnsi="宋体" w:cs="宋体"/>
          <w:sz w:val="24"/>
          <w:szCs w:val="24"/>
          <w:lang w:val="en-US" w:eastAsia="zh-CN"/>
        </w:rPr>
        <w:t>支出材料</w:t>
      </w:r>
      <w:r>
        <w:rPr>
          <w:rFonts w:hint="eastAsia" w:hAnsi="宋体" w:cs="宋体"/>
          <w:sz w:val="24"/>
          <w:szCs w:val="24"/>
        </w:rPr>
        <w:t>，</w:t>
      </w:r>
      <w:r>
        <w:rPr>
          <w:rFonts w:hint="eastAsia" w:hAnsi="宋体" w:cs="宋体"/>
          <w:sz w:val="24"/>
          <w:szCs w:val="24"/>
          <w:lang w:val="en-US" w:eastAsia="zh-CN"/>
        </w:rPr>
        <w:t>未发现专项</w:t>
      </w:r>
      <w:r>
        <w:rPr>
          <w:rFonts w:hint="eastAsia" w:hAnsi="宋体" w:cs="宋体"/>
          <w:sz w:val="24"/>
          <w:szCs w:val="24"/>
        </w:rPr>
        <w:t>资金的使</w:t>
      </w:r>
      <w:r>
        <w:rPr>
          <w:rFonts w:hint="eastAsia" w:hAnsi="宋体" w:cs="宋体"/>
          <w:sz w:val="24"/>
          <w:szCs w:val="24"/>
          <w:highlight w:val="none"/>
        </w:rPr>
        <w:t>用</w:t>
      </w:r>
      <w:r>
        <w:rPr>
          <w:rFonts w:hint="eastAsia" w:hAnsi="宋体" w:cs="宋体"/>
          <w:sz w:val="24"/>
          <w:szCs w:val="24"/>
          <w:highlight w:val="none"/>
          <w:lang w:val="en-US" w:eastAsia="zh-CN"/>
        </w:rPr>
        <w:t>存在不</w:t>
      </w:r>
      <w:r>
        <w:rPr>
          <w:rFonts w:hint="eastAsia" w:hAnsi="宋体" w:cs="宋体"/>
          <w:sz w:val="24"/>
          <w:szCs w:val="24"/>
          <w:highlight w:val="none"/>
        </w:rPr>
        <w:t>符合相关制度规定</w:t>
      </w:r>
      <w:r>
        <w:rPr>
          <w:rFonts w:hint="eastAsia" w:hAnsi="宋体" w:cs="宋体"/>
          <w:sz w:val="24"/>
          <w:szCs w:val="24"/>
          <w:highlight w:val="none"/>
          <w:lang w:val="en-US" w:eastAsia="zh-CN"/>
        </w:rPr>
        <w:t>的情况</w:t>
      </w:r>
      <w:r>
        <w:rPr>
          <w:rFonts w:hint="eastAsia" w:hAnsi="宋体" w:cs="宋体"/>
          <w:sz w:val="24"/>
          <w:szCs w:val="24"/>
          <w:highlight w:val="none"/>
        </w:rPr>
        <w:t>，资金符合部门预算批复的用途</w:t>
      </w:r>
      <w:r>
        <w:rPr>
          <w:rFonts w:hint="eastAsia" w:hAnsi="宋体" w:cs="宋体"/>
          <w:sz w:val="24"/>
          <w:szCs w:val="24"/>
          <w:highlight w:val="none"/>
          <w:lang w:val="en-US" w:eastAsia="zh-CN"/>
        </w:rPr>
        <w:t>。</w:t>
      </w:r>
      <w:r>
        <w:rPr>
          <w:rFonts w:hint="eastAsia" w:hAnsi="宋体" w:cs="宋体"/>
          <w:sz w:val="24"/>
          <w:szCs w:val="24"/>
          <w:highlight w:val="none"/>
          <w:lang w:eastAsia="zh-CN"/>
        </w:rPr>
        <w:t>工作组</w:t>
      </w:r>
      <w:r>
        <w:rPr>
          <w:rFonts w:hint="eastAsia" w:hAnsi="宋体" w:cs="宋体"/>
          <w:sz w:val="24"/>
          <w:szCs w:val="24"/>
          <w:highlight w:val="none"/>
        </w:rPr>
        <w:t>未发现资金使用存在挤占、挪用、虚列支出等情况。该项指标得</w:t>
      </w:r>
      <w:r>
        <w:rPr>
          <w:rFonts w:hint="eastAsia" w:hAnsi="宋体" w:cs="宋体"/>
          <w:sz w:val="24"/>
          <w:szCs w:val="24"/>
          <w:highlight w:val="none"/>
          <w:lang w:val="en-US" w:eastAsia="zh-CN"/>
        </w:rPr>
        <w:t>满分4分</w:t>
      </w:r>
      <w:r>
        <w:rPr>
          <w:rFonts w:hint="eastAsia" w:hAnsi="宋体" w:cs="宋体"/>
          <w:sz w:val="24"/>
          <w:szCs w:val="24"/>
          <w:highlight w:val="none"/>
        </w:rPr>
        <w:t>。</w:t>
      </w:r>
    </w:p>
    <w:p w14:paraId="452DD00A">
      <w:pPr>
        <w:spacing w:line="360" w:lineRule="auto"/>
        <w:ind w:firstLine="480" w:firstLineChars="200"/>
        <w:rPr>
          <w:rFonts w:hint="eastAsia" w:ascii="宋体" w:hAnsi="宋体" w:eastAsia="仿宋_GB2312" w:cs="宋体"/>
          <w:kern w:val="2"/>
          <w:sz w:val="24"/>
          <w:szCs w:val="24"/>
          <w:lang w:val="en-US" w:eastAsia="zh-CN" w:bidi="ar-SA"/>
        </w:rPr>
      </w:pPr>
      <w:r>
        <w:rPr>
          <w:rFonts w:hint="eastAsia" w:ascii="宋体" w:hAnsi="宋体" w:eastAsia="仿宋_GB2312" w:cs="宋体"/>
          <w:kern w:val="2"/>
          <w:sz w:val="24"/>
          <w:szCs w:val="24"/>
          <w:lang w:val="en-US" w:eastAsia="zh-CN" w:bidi="ar-SA"/>
        </w:rPr>
        <w:t>2.组织实施（分值</w:t>
      </w:r>
      <w:r>
        <w:rPr>
          <w:rFonts w:hint="eastAsia" w:ascii="宋体" w:hAnsi="宋体" w:cs="宋体"/>
          <w:kern w:val="2"/>
          <w:sz w:val="24"/>
          <w:szCs w:val="24"/>
          <w:lang w:val="en-US" w:eastAsia="zh-CN" w:bidi="ar-SA"/>
        </w:rPr>
        <w:t>8</w:t>
      </w:r>
      <w:r>
        <w:rPr>
          <w:rFonts w:hint="eastAsia" w:ascii="宋体" w:hAnsi="宋体" w:eastAsia="仿宋_GB2312" w:cs="宋体"/>
          <w:kern w:val="2"/>
          <w:sz w:val="24"/>
          <w:szCs w:val="24"/>
          <w:lang w:val="en-US" w:eastAsia="zh-CN" w:bidi="ar-SA"/>
        </w:rPr>
        <w:t>分，得</w:t>
      </w:r>
      <w:r>
        <w:rPr>
          <w:rFonts w:hint="eastAsia" w:ascii="宋体" w:hAnsi="宋体" w:cs="宋体"/>
          <w:kern w:val="2"/>
          <w:sz w:val="24"/>
          <w:szCs w:val="24"/>
          <w:lang w:val="en-US" w:eastAsia="zh-CN" w:bidi="ar-SA"/>
        </w:rPr>
        <w:t>7</w:t>
      </w:r>
      <w:r>
        <w:rPr>
          <w:rFonts w:hint="eastAsia" w:ascii="宋体" w:hAnsi="宋体" w:eastAsia="仿宋_GB2312" w:cs="宋体"/>
          <w:kern w:val="2"/>
          <w:sz w:val="24"/>
          <w:szCs w:val="24"/>
          <w:lang w:val="en-US" w:eastAsia="zh-CN" w:bidi="ar-SA"/>
        </w:rPr>
        <w:t>分）</w:t>
      </w:r>
    </w:p>
    <w:p w14:paraId="516E0B75">
      <w:pPr>
        <w:pStyle w:val="6"/>
        <w:spacing w:line="360" w:lineRule="auto"/>
        <w:ind w:firstLine="480" w:firstLineChars="200"/>
        <w:rPr>
          <w:rFonts w:hint="eastAsia" w:hAnsi="宋体" w:cs="宋体"/>
          <w:sz w:val="24"/>
          <w:szCs w:val="24"/>
          <w:highlight w:val="none"/>
        </w:rPr>
      </w:pPr>
      <w:r>
        <w:rPr>
          <w:rFonts w:hint="eastAsia" w:hAnsi="宋体" w:cs="宋体"/>
          <w:sz w:val="24"/>
          <w:szCs w:val="24"/>
          <w:highlight w:val="none"/>
          <w:lang w:eastAsia="zh-CN"/>
        </w:rPr>
        <w:t>（</w:t>
      </w:r>
      <w:r>
        <w:rPr>
          <w:rFonts w:hint="eastAsia" w:hAnsi="宋体" w:cs="宋体"/>
          <w:sz w:val="24"/>
          <w:szCs w:val="24"/>
          <w:highlight w:val="none"/>
          <w:lang w:val="en-US" w:eastAsia="zh-CN"/>
        </w:rPr>
        <w:t>1</w:t>
      </w:r>
      <w:r>
        <w:rPr>
          <w:rFonts w:hint="eastAsia" w:hAnsi="宋体" w:cs="宋体"/>
          <w:sz w:val="24"/>
          <w:szCs w:val="24"/>
          <w:highlight w:val="none"/>
          <w:lang w:eastAsia="zh-CN"/>
        </w:rPr>
        <w:t>）</w:t>
      </w:r>
      <w:r>
        <w:rPr>
          <w:rFonts w:hint="eastAsia" w:hAnsi="宋体" w:cs="宋体"/>
          <w:sz w:val="24"/>
          <w:szCs w:val="24"/>
          <w:highlight w:val="none"/>
        </w:rPr>
        <w:t>管理制度</w:t>
      </w:r>
      <w:r>
        <w:rPr>
          <w:rFonts w:hint="eastAsia" w:hAnsi="宋体" w:cs="宋体"/>
          <w:sz w:val="24"/>
          <w:szCs w:val="24"/>
          <w:highlight w:val="none"/>
          <w:lang w:val="en-US" w:eastAsia="zh-CN"/>
        </w:rPr>
        <w:t>健全性</w:t>
      </w:r>
      <w:r>
        <w:rPr>
          <w:rFonts w:hint="eastAsia" w:hAnsi="宋体" w:cs="宋体"/>
          <w:sz w:val="24"/>
          <w:highlight w:val="none"/>
          <w:lang w:val="en-US" w:eastAsia="zh-CN"/>
        </w:rPr>
        <w:t>（分值4分，得3分）</w:t>
      </w:r>
    </w:p>
    <w:p w14:paraId="41702D7C">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“管理制度健全性”指标评价项目支出是否已制定或具有相应的财务和业务管理制度，财务和业务管理制度是否合法、合规、完整。</w:t>
      </w: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狮市锦尚东店一级渔港工程项目使用</w:t>
      </w:r>
      <w:r>
        <w:rPr>
          <w:rFonts w:hint="eastAsia" w:hAnsi="宋体" w:cs="宋体"/>
          <w:sz w:val="24"/>
          <w:szCs w:val="24"/>
          <w:highlight w:val="none"/>
          <w:lang w:val="en-US" w:eastAsia="zh-CN"/>
        </w:rPr>
        <w:t>资金，石狮市锦尚东店渔港建设服务有限公司提供的《公司内部管理制度》中“五、内控制度管理内容”，仅笼统概括包含的类型，未明确相关流程细节，由于管理制度不够健全，该项指标扣1分，得3分。</w:t>
      </w:r>
    </w:p>
    <w:p w14:paraId="7A7CFD44">
      <w:pPr>
        <w:spacing w:line="360" w:lineRule="auto"/>
        <w:ind w:firstLine="480" w:firstLineChars="200"/>
        <w:rPr>
          <w:rFonts w:hint="eastAsia" w:ascii="宋体" w:hAnsi="宋体" w:eastAsia="仿宋_GB2312" w:cs="宋体"/>
          <w:kern w:val="2"/>
          <w:sz w:val="24"/>
          <w:szCs w:val="24"/>
          <w:highlight w:val="none"/>
          <w:lang w:val="en-US" w:eastAsia="zh-CN" w:bidi="ar-SA"/>
        </w:rPr>
      </w:pPr>
      <w:r>
        <w:rPr>
          <w:rFonts w:hint="eastAsia" w:ascii="宋体" w:hAnsi="宋体" w:eastAsia="仿宋_GB2312" w:cs="宋体"/>
          <w:kern w:val="2"/>
          <w:sz w:val="24"/>
          <w:szCs w:val="24"/>
          <w:highlight w:val="none"/>
          <w:lang w:val="en-US" w:eastAsia="zh-CN" w:bidi="ar-SA"/>
        </w:rPr>
        <w:t>（2）制度执行有效性（分值4分，得4分）</w:t>
      </w:r>
    </w:p>
    <w:p w14:paraId="76C8675B">
      <w:pPr>
        <w:spacing w:line="360" w:lineRule="auto"/>
        <w:ind w:firstLine="480" w:firstLineChars="200"/>
        <w:rPr>
          <w:rFonts w:hint="eastAsia" w:ascii="宋体" w:hAnsi="宋体" w:eastAsia="仿宋_GB2312" w:cs="宋体"/>
          <w:kern w:val="2"/>
          <w:sz w:val="24"/>
          <w:szCs w:val="24"/>
          <w:lang w:val="en-US" w:eastAsia="zh-CN" w:bidi="ar-SA"/>
        </w:rPr>
      </w:pPr>
      <w:r>
        <w:rPr>
          <w:rFonts w:hint="eastAsia" w:ascii="宋体" w:hAnsi="宋体" w:eastAsia="仿宋_GB2312" w:cs="宋体"/>
          <w:kern w:val="2"/>
          <w:sz w:val="24"/>
          <w:szCs w:val="24"/>
          <w:highlight w:val="none"/>
          <w:lang w:val="en-US" w:eastAsia="zh-CN" w:bidi="ar-SA"/>
        </w:rPr>
        <w:t>“制度执行有效性”指标用于评价项目管理是否遵守相关法律法规和业务管理规定，项目资料是否齐全并及时归档，项目实施的人员条件、信息支撑等是否落实到位。通过工作组的实地调研并</w:t>
      </w:r>
      <w:r>
        <w:rPr>
          <w:rFonts w:hint="eastAsia" w:ascii="宋体" w:hAnsi="宋体" w:cs="宋体"/>
          <w:kern w:val="2"/>
          <w:sz w:val="24"/>
          <w:szCs w:val="24"/>
          <w:highlight w:val="none"/>
          <w:lang w:val="en-US" w:eastAsia="zh-CN" w:bidi="ar-SA"/>
        </w:rPr>
        <w:t>调</w:t>
      </w:r>
      <w:r>
        <w:rPr>
          <w:rFonts w:hint="eastAsia" w:ascii="宋体" w:hAnsi="宋体" w:eastAsia="仿宋_GB2312" w:cs="宋体"/>
          <w:kern w:val="2"/>
          <w:sz w:val="24"/>
          <w:szCs w:val="24"/>
          <w:highlight w:val="none"/>
          <w:lang w:val="en-US" w:eastAsia="zh-CN" w:bidi="ar-SA"/>
        </w:rPr>
        <w:t>阅</w:t>
      </w: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ascii="宋体" w:hAnsi="宋体" w:eastAsia="仿宋_GB2312" w:cs="宋体"/>
          <w:kern w:val="2"/>
          <w:sz w:val="24"/>
          <w:szCs w:val="24"/>
          <w:lang w:val="en-US" w:eastAsia="zh-CN" w:bidi="ar-SA"/>
        </w:rPr>
        <w:t>资金支出相关资料，项目可研报告、</w:t>
      </w:r>
      <w:r>
        <w:rPr>
          <w:rFonts w:hint="eastAsia" w:ascii="宋体" w:hAnsi="宋体" w:cs="宋体"/>
          <w:kern w:val="2"/>
          <w:sz w:val="24"/>
          <w:szCs w:val="24"/>
          <w:lang w:val="en-US" w:eastAsia="zh-CN" w:bidi="ar-SA"/>
        </w:rPr>
        <w:t>发改局</w:t>
      </w:r>
      <w:r>
        <w:rPr>
          <w:rFonts w:hint="eastAsia" w:ascii="宋体" w:hAnsi="宋体" w:eastAsia="仿宋_GB2312" w:cs="宋体"/>
          <w:kern w:val="2"/>
          <w:sz w:val="24"/>
          <w:szCs w:val="24"/>
          <w:lang w:val="en-US" w:eastAsia="zh-CN" w:bidi="ar-SA"/>
        </w:rPr>
        <w:t>等有关部门审核（批复）同意文件，招标合同书、监理等资料齐全并及时归档，项目实施的人员条件、信息支撑等落实到位。根据评分标准，该项指标得满分。</w:t>
      </w:r>
    </w:p>
    <w:p w14:paraId="6D0D20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cs="Times New Roman"/>
          <w:b/>
          <w:bCs/>
          <w:sz w:val="24"/>
          <w:szCs w:val="24"/>
          <w:highlight w:val="none"/>
          <w:lang w:val="en-US" w:eastAsia="zh-CN"/>
        </w:rPr>
      </w:pPr>
      <w:bookmarkStart w:id="11" w:name="_Toc11269"/>
      <w:r>
        <w:rPr>
          <w:rFonts w:hint="eastAsia" w:ascii="仿宋_GB2312" w:hAnsi="Times New Roman" w:cs="Times New Roman"/>
          <w:b/>
          <w:bCs/>
          <w:sz w:val="24"/>
          <w:szCs w:val="24"/>
          <w:highlight w:val="none"/>
        </w:rPr>
        <w:t>（三）项目产出情况</w:t>
      </w:r>
      <w:r>
        <w:rPr>
          <w:rFonts w:hint="eastAsia" w:ascii="仿宋_GB2312" w:hAnsi="Times New Roman" w:cs="Times New Roman"/>
          <w:b/>
          <w:bCs/>
          <w:sz w:val="24"/>
          <w:szCs w:val="24"/>
          <w:highlight w:val="none"/>
          <w:lang w:val="en-US" w:eastAsia="zh-CN"/>
        </w:rPr>
        <w:t>（分值</w:t>
      </w:r>
      <w:r>
        <w:rPr>
          <w:rFonts w:hint="eastAsia" w:ascii="仿宋_GB2312" w:cs="Times New Roman"/>
          <w:b/>
          <w:bCs/>
          <w:sz w:val="24"/>
          <w:szCs w:val="24"/>
          <w:highlight w:val="none"/>
          <w:lang w:val="en-US" w:eastAsia="zh-CN"/>
        </w:rPr>
        <w:t>30</w:t>
      </w:r>
      <w:r>
        <w:rPr>
          <w:rFonts w:hint="eastAsia" w:ascii="仿宋_GB2312" w:hAnsi="Times New Roman" w:cs="Times New Roman"/>
          <w:b/>
          <w:bCs/>
          <w:sz w:val="24"/>
          <w:szCs w:val="24"/>
          <w:highlight w:val="none"/>
          <w:lang w:val="en-US" w:eastAsia="zh-CN"/>
        </w:rPr>
        <w:t>分，得</w:t>
      </w:r>
      <w:r>
        <w:rPr>
          <w:rFonts w:hint="eastAsia" w:ascii="仿宋_GB2312" w:cs="Times New Roman"/>
          <w:b/>
          <w:bCs/>
          <w:sz w:val="24"/>
          <w:szCs w:val="24"/>
          <w:highlight w:val="none"/>
          <w:lang w:val="en-US" w:eastAsia="zh-CN"/>
        </w:rPr>
        <w:t>20.77</w:t>
      </w:r>
      <w:r>
        <w:rPr>
          <w:rFonts w:hint="eastAsia" w:ascii="仿宋_GB2312" w:hAnsi="Times New Roman" w:cs="Times New Roman"/>
          <w:b/>
          <w:bCs/>
          <w:sz w:val="24"/>
          <w:szCs w:val="24"/>
          <w:highlight w:val="none"/>
          <w:lang w:val="en-US" w:eastAsia="zh-CN"/>
        </w:rPr>
        <w:t>分）</w:t>
      </w:r>
      <w:bookmarkEnd w:id="11"/>
    </w:p>
    <w:p w14:paraId="0430DACA">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1.产出数量（分值8分，得4.74分）</w:t>
      </w:r>
    </w:p>
    <w:p w14:paraId="1C89C11D">
      <w:pPr>
        <w:pStyle w:val="6"/>
        <w:spacing w:line="360" w:lineRule="auto"/>
        <w:ind w:firstLine="480" w:firstLineChars="200"/>
        <w:rPr>
          <w:rFonts w:hint="eastAsia" w:hAnsi="宋体" w:cs="宋体"/>
          <w:sz w:val="24"/>
          <w:szCs w:val="24"/>
          <w:highlight w:val="none"/>
          <w:lang w:val="en-US" w:eastAsia="zh-CN"/>
        </w:rPr>
      </w:pPr>
      <w:r>
        <w:rPr>
          <w:rFonts w:hint="eastAsia" w:ascii="宋体" w:hAnsi="宋体" w:cs="宋体"/>
          <w:sz w:val="24"/>
          <w:szCs w:val="24"/>
          <w:highlight w:val="none"/>
          <w:lang w:val="en-US" w:eastAsia="zh-CN"/>
        </w:rPr>
        <w:t>“产出数</w:t>
      </w:r>
      <w:r>
        <w:rPr>
          <w:rFonts w:hint="eastAsia" w:hAnsi="宋体" w:cs="宋体"/>
          <w:sz w:val="24"/>
          <w:szCs w:val="24"/>
          <w:highlight w:val="none"/>
          <w:lang w:val="en-US" w:eastAsia="zh-CN"/>
        </w:rPr>
        <w:t>量”指标依项目工程进度计划表约定应完工的工程量，通过“完工工程量”三级指标进行评价。根据石狮市锦尚东店渔港建设服务有限公司提供的工程进度表，截至2024年12月份共计完成工程量6395.66万元，占至施工合同进度59.26%。根据得分标准，产出数量指标得4.74分。</w:t>
      </w:r>
    </w:p>
    <w:p w14:paraId="346D14A9">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2.产出质量（分值6分，得6分）</w:t>
      </w:r>
    </w:p>
    <w:p w14:paraId="71508385">
      <w:pPr>
        <w:pStyle w:val="6"/>
        <w:spacing w:line="360" w:lineRule="auto"/>
        <w:ind w:firstLine="480" w:firstLineChars="200"/>
        <w:rPr>
          <w:rFonts w:hint="default" w:hAnsi="宋体" w:cs="宋体"/>
          <w:sz w:val="24"/>
          <w:szCs w:val="24"/>
          <w:lang w:val="en-US" w:eastAsia="zh-CN"/>
        </w:rPr>
      </w:pP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sz w:val="24"/>
          <w:szCs w:val="24"/>
          <w:lang w:val="en-US" w:eastAsia="zh-CN"/>
        </w:rPr>
        <w:t>采购的建设材料标准与要求相符，未发现质量检测不合格情况，该项指标可得满分。</w:t>
      </w:r>
    </w:p>
    <w:p w14:paraId="1E566A13">
      <w:pPr>
        <w:pStyle w:val="6"/>
        <w:spacing w:line="360" w:lineRule="auto"/>
        <w:ind w:firstLine="480" w:firstLineChars="200"/>
        <w:rPr>
          <w:rFonts w:hint="default" w:hAnsi="宋体" w:cs="宋体"/>
          <w:sz w:val="24"/>
          <w:szCs w:val="24"/>
          <w:lang w:val="en-US" w:eastAsia="zh-CN"/>
        </w:rPr>
      </w:pPr>
      <w:r>
        <w:rPr>
          <w:rFonts w:hint="eastAsia" w:hAnsi="宋体" w:cs="宋体"/>
          <w:sz w:val="24"/>
          <w:szCs w:val="24"/>
          <w:lang w:val="en-US" w:eastAsia="zh-CN"/>
        </w:rPr>
        <w:t>3.产出时效（分值10分，得4.03分）</w:t>
      </w:r>
    </w:p>
    <w:p w14:paraId="388BDA73">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2022年10月11日根据监理单位下发的开工令开始施工,合同工期720日历天，计划原工期为2022年12月1日至2024年9月29日。因受“海域使用权证未办理”和“清淤物处置方案暂未确定”影响，原工期2024年9月29日延期至2025年12月3日，延长工期430日历天。计划工期履约完成率为40.28%。根据评分标准，该指标得4.03分。</w:t>
      </w:r>
    </w:p>
    <w:p w14:paraId="536E7C95">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4.产出成本（分值6分，得6分）</w:t>
      </w:r>
    </w:p>
    <w:p w14:paraId="0C98DDA4">
      <w:pPr>
        <w:pStyle w:val="6"/>
        <w:spacing w:line="360" w:lineRule="auto"/>
        <w:ind w:firstLine="480" w:firstLineChars="200"/>
        <w:rPr>
          <w:rFonts w:hint="eastAsia" w:ascii="仿宋_GB2312" w:hAnsi="Times New Roman" w:cs="Times New Roman"/>
          <w:b/>
          <w:bCs/>
          <w:sz w:val="24"/>
          <w:szCs w:val="24"/>
          <w:highlight w:val="none"/>
        </w:rPr>
      </w:pPr>
      <w:r>
        <w:rPr>
          <w:rFonts w:hint="eastAsia" w:ascii="宋体" w:hAnsi="宋体" w:cs="宋体"/>
          <w:sz w:val="24"/>
          <w:szCs w:val="24"/>
          <w:highlight w:val="none"/>
          <w:lang w:val="en-US" w:eastAsia="zh-CN"/>
        </w:rPr>
        <w:t>由于</w:t>
      </w: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ascii="宋体" w:hAnsi="宋体" w:cs="宋体"/>
          <w:sz w:val="24"/>
          <w:szCs w:val="24"/>
          <w:highlight w:val="none"/>
          <w:lang w:val="en-US" w:eastAsia="zh-CN"/>
        </w:rPr>
        <w:t>还未进行</w:t>
      </w:r>
      <w:r>
        <w:rPr>
          <w:rFonts w:hint="eastAsia" w:hAnsi="宋体" w:cs="宋体"/>
          <w:sz w:val="24"/>
          <w:szCs w:val="24"/>
          <w:highlight w:val="none"/>
          <w:lang w:val="en-US" w:eastAsia="zh-CN"/>
        </w:rPr>
        <w:t>结算审核</w:t>
      </w:r>
      <w:r>
        <w:rPr>
          <w:rFonts w:hint="eastAsia" w:ascii="宋体" w:hAnsi="宋体" w:cs="宋体"/>
          <w:sz w:val="24"/>
          <w:szCs w:val="24"/>
          <w:highlight w:val="none"/>
          <w:lang w:val="en-US" w:eastAsia="zh-CN"/>
        </w:rPr>
        <w:t>，无法衡量最终的建设成本。但根据</w:t>
      </w:r>
      <w:r>
        <w:rPr>
          <w:rFonts w:hint="eastAsia" w:hAnsi="宋体" w:cs="宋体"/>
          <w:sz w:val="24"/>
          <w:szCs w:val="24"/>
          <w:highlight w:val="none"/>
          <w:lang w:val="en-US" w:eastAsia="zh-CN"/>
        </w:rPr>
        <w:t>合同价</w:t>
      </w:r>
      <w:r>
        <w:rPr>
          <w:rFonts w:hint="eastAsia" w:ascii="宋体" w:hAnsi="宋体" w:cs="宋体"/>
          <w:sz w:val="24"/>
          <w:szCs w:val="24"/>
          <w:highlight w:val="none"/>
          <w:lang w:val="en-US" w:eastAsia="zh-CN"/>
        </w:rPr>
        <w:t>情况，均在合同约定范围内给付款项，因此，该项指标暂不扣分。</w:t>
      </w:r>
    </w:p>
    <w:p w14:paraId="01C36B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cs="Times New Roman"/>
          <w:b/>
          <w:bCs/>
          <w:sz w:val="24"/>
          <w:szCs w:val="24"/>
          <w:highlight w:val="none"/>
        </w:rPr>
      </w:pPr>
      <w:bookmarkStart w:id="12" w:name="_Toc9927"/>
      <w:r>
        <w:rPr>
          <w:rFonts w:hint="eastAsia" w:ascii="仿宋_GB2312" w:hAnsi="Times New Roman" w:cs="Times New Roman"/>
          <w:b/>
          <w:bCs/>
          <w:sz w:val="24"/>
          <w:szCs w:val="24"/>
          <w:highlight w:val="none"/>
        </w:rPr>
        <w:t>（四）项目效益情况</w:t>
      </w:r>
      <w:r>
        <w:rPr>
          <w:rFonts w:hint="eastAsia" w:ascii="仿宋_GB2312" w:hAnsi="Times New Roman" w:cs="Times New Roman"/>
          <w:b/>
          <w:bCs/>
          <w:sz w:val="24"/>
          <w:szCs w:val="24"/>
          <w:highlight w:val="none"/>
          <w:lang w:val="en-US" w:eastAsia="zh-CN"/>
        </w:rPr>
        <w:t>（分值</w:t>
      </w:r>
      <w:r>
        <w:rPr>
          <w:rFonts w:hint="eastAsia" w:ascii="仿宋_GB2312" w:cs="Times New Roman"/>
          <w:b/>
          <w:bCs/>
          <w:sz w:val="24"/>
          <w:szCs w:val="24"/>
          <w:highlight w:val="none"/>
          <w:lang w:val="en-US" w:eastAsia="zh-CN"/>
        </w:rPr>
        <w:t>30</w:t>
      </w:r>
      <w:r>
        <w:rPr>
          <w:rFonts w:hint="eastAsia" w:ascii="仿宋_GB2312" w:hAnsi="Times New Roman" w:cs="Times New Roman"/>
          <w:b/>
          <w:bCs/>
          <w:sz w:val="24"/>
          <w:szCs w:val="24"/>
          <w:highlight w:val="none"/>
          <w:lang w:val="en-US" w:eastAsia="zh-CN"/>
        </w:rPr>
        <w:t>分，得</w:t>
      </w:r>
      <w:r>
        <w:rPr>
          <w:rFonts w:hint="eastAsia" w:ascii="仿宋_GB2312" w:cs="Times New Roman"/>
          <w:b/>
          <w:bCs/>
          <w:sz w:val="24"/>
          <w:szCs w:val="24"/>
          <w:highlight w:val="none"/>
          <w:lang w:val="en-US" w:eastAsia="zh-CN"/>
        </w:rPr>
        <w:t>29</w:t>
      </w:r>
      <w:r>
        <w:rPr>
          <w:rFonts w:hint="eastAsia" w:ascii="仿宋_GB2312" w:hAnsi="Times New Roman" w:cs="Times New Roman"/>
          <w:b/>
          <w:bCs/>
          <w:sz w:val="24"/>
          <w:szCs w:val="24"/>
          <w:highlight w:val="none"/>
          <w:lang w:val="en-US" w:eastAsia="zh-CN"/>
        </w:rPr>
        <w:t>分）</w:t>
      </w:r>
      <w:bookmarkEnd w:id="12"/>
    </w:p>
    <w:p w14:paraId="7171E82A">
      <w:pPr>
        <w:pStyle w:val="6"/>
        <w:spacing w:line="360" w:lineRule="auto"/>
        <w:ind w:firstLine="480" w:firstLineChars="200"/>
        <w:rPr>
          <w:rFonts w:hint="default" w:hAnsi="宋体" w:cs="宋体"/>
          <w:kern w:val="2"/>
          <w:sz w:val="24"/>
          <w:szCs w:val="24"/>
          <w:highlight w:val="none"/>
          <w:lang w:val="en-US" w:eastAsia="zh-CN" w:bidi="ar-SA"/>
        </w:rPr>
      </w:pPr>
      <w:r>
        <w:rPr>
          <w:rFonts w:hint="eastAsia" w:hAnsi="宋体" w:cs="宋体"/>
          <w:sz w:val="24"/>
          <w:szCs w:val="24"/>
          <w:highlight w:val="none"/>
          <w:lang w:val="en-US" w:eastAsia="zh-CN"/>
        </w:rPr>
        <w:t>由于项目尚未投入使用发挥实际效果，除社会效益外，项目效益部分的评价一方面来自前期可行性论证结论，另一方面来自面向石狮市锦尚镇渔民发放问卷星调查问卷收集的数据，两者权重各占50%。工作组</w:t>
      </w:r>
      <w:r>
        <w:rPr>
          <w:rFonts w:hint="eastAsia" w:hAnsi="宋体" w:cs="宋体"/>
          <w:color w:val="auto"/>
          <w:sz w:val="24"/>
          <w:szCs w:val="24"/>
          <w:highlight w:val="none"/>
          <w:lang w:val="en-US" w:eastAsia="zh-CN"/>
        </w:rPr>
        <w:t>共回收121份</w:t>
      </w:r>
      <w:r>
        <w:rPr>
          <w:rFonts w:hint="eastAsia" w:hAnsi="宋体" w:cs="宋体"/>
          <w:color w:val="auto"/>
          <w:kern w:val="2"/>
          <w:sz w:val="24"/>
          <w:szCs w:val="24"/>
          <w:highlight w:val="none"/>
          <w:lang w:val="en-US" w:eastAsia="zh-CN" w:bidi="ar-SA"/>
        </w:rPr>
        <w:t>《</w:t>
      </w:r>
      <w:r>
        <w:rPr>
          <w:rFonts w:hint="eastAsia" w:ascii="仿宋_GB2312" w:hAnsi="Times New Roman" w:cs="Times New Roman"/>
          <w:color w:val="auto"/>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kern w:val="2"/>
          <w:sz w:val="24"/>
          <w:szCs w:val="24"/>
          <w:highlight w:val="none"/>
          <w:lang w:val="en-US" w:eastAsia="zh-CN" w:bidi="ar-SA"/>
        </w:rPr>
        <w:t>满意度问卷》，问卷结果分析详见附录。</w:t>
      </w:r>
    </w:p>
    <w:p w14:paraId="47C30D70">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1.</w:t>
      </w:r>
      <w:r>
        <w:rPr>
          <w:rFonts w:hint="eastAsia" w:hAnsi="宋体" w:cs="宋体"/>
          <w:sz w:val="24"/>
          <w:szCs w:val="24"/>
          <w:highlight w:val="none"/>
        </w:rPr>
        <w:t>社会效益</w:t>
      </w:r>
      <w:r>
        <w:rPr>
          <w:rFonts w:hint="eastAsia" w:hAnsi="宋体" w:cs="宋体"/>
          <w:sz w:val="24"/>
          <w:szCs w:val="24"/>
          <w:highlight w:val="none"/>
          <w:lang w:val="en-US" w:eastAsia="zh-CN"/>
        </w:rPr>
        <w:t>（分值10分，得10分）</w:t>
      </w:r>
    </w:p>
    <w:p w14:paraId="5F1AABAB">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（1）解决邻近项目的用海矛盾（分值5分，得5分）</w:t>
      </w:r>
    </w:p>
    <w:p w14:paraId="157FFE07">
      <w:pPr>
        <w:pStyle w:val="6"/>
        <w:spacing w:line="360" w:lineRule="auto"/>
        <w:ind w:firstLine="480" w:firstLineChars="200"/>
        <w:rPr>
          <w:rFonts w:hint="default" w:hAnsi="宋体" w:cs="宋体"/>
          <w:kern w:val="2"/>
          <w:sz w:val="24"/>
          <w:szCs w:val="24"/>
          <w:highlight w:val="none"/>
          <w:lang w:val="en-US" w:eastAsia="zh-CN" w:bidi="ar-SA"/>
        </w:rPr>
      </w:pPr>
      <w:r>
        <w:rPr>
          <w:rFonts w:hint="eastAsia" w:hAnsi="宋体" w:cs="宋体"/>
          <w:kern w:val="2"/>
          <w:sz w:val="24"/>
          <w:szCs w:val="24"/>
          <w:highlight w:val="none"/>
          <w:lang w:val="en-US" w:eastAsia="zh-CN" w:bidi="ar-SA"/>
        </w:rPr>
        <w:t>由于省重点项目石狮市鸿山热电厂建设的防护外堤距离东店二级渔港仅70dm，且电厂温水排放口紧邻二级渔港码头，严重影响了东店二级渔港码头的正常使用。同时，港区西南侧为华锦商业码头，渔港使用水域受限，而港区来往作业渔船较多，由于受到传统的作业习惯的影响，以及港区内没有科学规划渔船停泊水域，进港作业渔船常常随意停靠，来往渔船与货船矛盾时有发生，同时也给港内渔船作业带来安全隐患。因此通过对东店二级渔港及锦尚避风塘建设进行整合优化，通过新建码头防波堤等设施，形成集生产与避风为一体的锦尚东店一级渔港，并确权给鸿山热电公司的温排水海域面积 5 万㎡，既可让有限的海域资源得到充分利用，提高防抗台风等自然灾害能力，又进一步改善锦尚镇渔业生产条件，减轻了热电厂和华锦码头对渔港的干扰，避免了冲突的激化，有效解决协调渔民与华锦商业码头和鸿山热电厂的用海矛盾，有益于维护社会稳定。因此，该项指标得满分。</w:t>
      </w:r>
    </w:p>
    <w:p w14:paraId="3F22E5E5">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（2）保护渔民生命财产安全（分值5分，得5分）</w:t>
      </w:r>
    </w:p>
    <w:p w14:paraId="243EFF13">
      <w:pPr>
        <w:pStyle w:val="6"/>
        <w:spacing w:line="360" w:lineRule="auto"/>
        <w:ind w:firstLine="480" w:firstLineChars="200"/>
        <w:rPr>
          <w:rFonts w:hint="eastAsia" w:hAnsi="宋体" w:cs="宋体"/>
          <w:kern w:val="2"/>
          <w:sz w:val="24"/>
          <w:szCs w:val="24"/>
          <w:highlight w:val="none"/>
          <w:lang w:val="en-US" w:eastAsia="zh-CN" w:bidi="ar-SA"/>
        </w:rPr>
      </w:pPr>
      <w:r>
        <w:rPr>
          <w:rFonts w:hint="eastAsia" w:hAnsi="宋体" w:cs="宋体"/>
          <w:kern w:val="2"/>
          <w:sz w:val="24"/>
          <w:szCs w:val="24"/>
          <w:highlight w:val="none"/>
          <w:lang w:val="en-US" w:eastAsia="zh-CN" w:bidi="ar-SA"/>
        </w:rPr>
        <w:t>港区北侧原有东店二级渔港一座，</w:t>
      </w:r>
      <w:r>
        <w:rPr>
          <w:rFonts w:hint="eastAsia" w:ascii="仿宋_GB2312" w:cs="Times New Roman"/>
          <w:kern w:val="2"/>
          <w:sz w:val="24"/>
          <w:szCs w:val="24"/>
          <w:highlight w:val="none"/>
          <w:lang w:val="en-US" w:eastAsia="zh-CN" w:bidi="ar-SA"/>
        </w:rPr>
        <w:t>沿海大通道的后方有一座2万㎡避风塘，避风塘内泥沙淤积较为严重，目前仅有小型渔船能进港避风，锦尚镇现有大小渔船 400多艘，台风期间，大中型渔船需前往距离港区 11 公里的祥芝中心渔港避风，或远赴距离港区更远的崇武中心渔港和深沪中心渔港避风。</w:t>
      </w: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狮市锦尚东店一级渔港工程项目系在东店二级渔港的基础上进行扩建，建成后有效避风水域面积31.8万㎡，刨除已确认给鸿山热电公司的温排水海域面积5万㎡，仍有26.8万㎡，</w:t>
      </w:r>
      <w:r>
        <w:rPr>
          <w:rFonts w:hint="eastAsia" w:hAnsi="宋体" w:cs="宋体"/>
          <w:sz w:val="24"/>
          <w:szCs w:val="24"/>
          <w:highlight w:val="none"/>
          <w:lang w:val="en-US" w:eastAsia="zh-CN"/>
        </w:rPr>
        <w:t>能为众多渔船提供可靠的避风场所，减少台风等自然灾害对渔船和渔民的威胁，保障渔民的生命财产安全。</w:t>
      </w:r>
      <w:r>
        <w:rPr>
          <w:rFonts w:hint="eastAsia" w:hAnsi="宋体" w:cs="宋体"/>
          <w:kern w:val="2"/>
          <w:sz w:val="24"/>
          <w:szCs w:val="24"/>
          <w:highlight w:val="none"/>
          <w:lang w:val="en-US" w:eastAsia="zh-CN" w:bidi="ar-SA"/>
        </w:rPr>
        <w:t>因此，该项指标得满分。</w:t>
      </w:r>
    </w:p>
    <w:p w14:paraId="1F4C41E7">
      <w:pPr>
        <w:pStyle w:val="6"/>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2.生态效益（分值5分，得5分）</w:t>
      </w:r>
    </w:p>
    <w:p w14:paraId="149127F1">
      <w:pPr>
        <w:pStyle w:val="6"/>
        <w:spacing w:line="360" w:lineRule="auto"/>
        <w:ind w:firstLine="480" w:firstLineChars="200"/>
        <w:rPr>
          <w:rFonts w:hint="eastAsia" w:hAnsi="宋体" w:cs="宋体"/>
          <w:sz w:val="24"/>
          <w:szCs w:val="24"/>
          <w:highlight w:val="none"/>
          <w:lang w:val="en-US" w:eastAsia="zh-CN"/>
        </w:rPr>
      </w:pPr>
      <w:r>
        <w:rPr>
          <w:rFonts w:hint="eastAsia" w:hAnsi="宋体" w:cs="宋体"/>
          <w:kern w:val="2"/>
          <w:sz w:val="24"/>
          <w:szCs w:val="24"/>
          <w:highlight w:val="none"/>
          <w:lang w:val="en-US" w:eastAsia="zh-CN" w:bidi="ar-SA"/>
        </w:rPr>
        <w:t>项目工程建设期间，石狮市锦尚东店渔港建设服务有限公司委托国家海洋局厦门海洋预报台逐月进行施工期间海洋环境影响跟踪监测，未发现监测结果不合格情况</w:t>
      </w:r>
      <w:r>
        <w:rPr>
          <w:rFonts w:hint="eastAsia" w:hAnsi="宋体" w:cs="宋体"/>
          <w:sz w:val="24"/>
          <w:szCs w:val="24"/>
          <w:highlight w:val="none"/>
          <w:lang w:val="en-US" w:eastAsia="zh-CN"/>
        </w:rPr>
        <w:t>。</w:t>
      </w:r>
      <w:r>
        <w:rPr>
          <w:rFonts w:hint="eastAsia" w:hAnsi="宋体" w:cs="宋体"/>
          <w:kern w:val="2"/>
          <w:sz w:val="24"/>
          <w:szCs w:val="24"/>
          <w:highlight w:val="none"/>
          <w:lang w:val="en-US" w:eastAsia="zh-CN" w:bidi="ar-SA"/>
        </w:rPr>
        <w:t>另据回收的121份有效调查问卷，根据第5题“您认为东店一级渔港建设项目是否影响近海生态环境？”分析结果，分别有84位、29位、6位和2位被调查者选择“无影响”“轻微影响”“较大影响”“严重影响”，93.39%的被调查者认为东店一级渔港建设项目对近海的影响轻微甚至无影响。因此，该项指标得满分。</w:t>
      </w:r>
    </w:p>
    <w:p w14:paraId="60578769">
      <w:pPr>
        <w:pStyle w:val="6"/>
        <w:spacing w:line="360" w:lineRule="auto"/>
        <w:ind w:firstLine="480" w:firstLineChars="200"/>
        <w:rPr>
          <w:rFonts w:hint="default" w:hAnsi="宋体" w:cs="宋体"/>
          <w:sz w:val="24"/>
          <w:szCs w:val="24"/>
          <w:highlight w:val="none"/>
          <w:lang w:val="en-US"/>
        </w:rPr>
      </w:pPr>
      <w:r>
        <w:rPr>
          <w:rFonts w:hint="eastAsia" w:hAnsi="宋体" w:cs="宋体"/>
          <w:sz w:val="24"/>
          <w:szCs w:val="24"/>
          <w:highlight w:val="none"/>
          <w:lang w:val="en-US" w:eastAsia="zh-CN"/>
        </w:rPr>
        <w:t>3.</w:t>
      </w:r>
      <w:r>
        <w:rPr>
          <w:rFonts w:hint="eastAsia" w:hAnsi="宋体" w:cs="宋体"/>
          <w:sz w:val="24"/>
          <w:szCs w:val="24"/>
          <w:highlight w:val="none"/>
        </w:rPr>
        <w:t>可持续影响</w:t>
      </w:r>
      <w:r>
        <w:rPr>
          <w:rFonts w:hint="eastAsia" w:hAnsi="宋体" w:cs="宋体"/>
          <w:sz w:val="24"/>
          <w:szCs w:val="24"/>
          <w:highlight w:val="none"/>
          <w:lang w:val="en-US" w:eastAsia="zh-CN"/>
        </w:rPr>
        <w:t>（分值5分，得5分）</w:t>
      </w:r>
    </w:p>
    <w:p w14:paraId="6E511492">
      <w:pPr>
        <w:pStyle w:val="6"/>
        <w:spacing w:line="360" w:lineRule="auto"/>
        <w:ind w:firstLine="480" w:firstLineChars="200"/>
        <w:rPr>
          <w:rFonts w:hint="eastAsia" w:hAnsi="宋体" w:cs="宋体"/>
          <w:kern w:val="2"/>
          <w:sz w:val="24"/>
          <w:szCs w:val="24"/>
          <w:highlight w:val="none"/>
          <w:lang w:val="en-US" w:eastAsia="zh-CN" w:bidi="ar-SA"/>
        </w:rPr>
      </w:pPr>
      <w:r>
        <w:rPr>
          <w:rFonts w:hint="eastAsia" w:ascii="仿宋_GB2312" w:cs="Times New Roman"/>
          <w:kern w:val="2"/>
          <w:sz w:val="24"/>
          <w:szCs w:val="24"/>
          <w:highlight w:val="none"/>
          <w:lang w:val="en-US" w:eastAsia="zh-CN" w:bidi="ar-SA"/>
        </w:rPr>
        <w:t>防波堤作为港口防护工程的重要部分，核心作用是抵御风浪，通过在港口外侧形成较长屏障，直接阻挡或分散海洋波浪（包括常态风浪、台风巨浪等），大幅降低港内波浪强度。</w:t>
      </w: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狮市锦尚东店一级渔港工程项目计划拆除原防波堤7.49万m³；</w:t>
      </w:r>
      <w:r>
        <w:rPr>
          <w:rFonts w:hint="eastAsia" w:hAnsi="宋体" w:cs="宋体"/>
          <w:kern w:val="2"/>
          <w:sz w:val="24"/>
          <w:szCs w:val="24"/>
          <w:highlight w:val="none"/>
          <w:lang w:val="en-US" w:eastAsia="zh-CN" w:bidi="ar-SA"/>
        </w:rPr>
        <w:t>新建防波堤315m，</w:t>
      </w:r>
      <w:r>
        <w:rPr>
          <w:rFonts w:hint="eastAsia" w:ascii="仿宋_GB2312" w:cs="Times New Roman"/>
          <w:kern w:val="2"/>
          <w:sz w:val="24"/>
          <w:szCs w:val="24"/>
          <w:highlight w:val="none"/>
          <w:lang w:val="en-US" w:eastAsia="zh-CN" w:bidi="ar-SA"/>
        </w:rPr>
        <w:t>其中内侧256m兼做码头（600HP兼靠1000HP），设码头泊位 6 个，在抵御风浪的同时，直接作为码头使用，增加了渔港的作业泊位数量和装卸空间，提升了渔船卸货、补给的效率，在</w:t>
      </w:r>
      <w:r>
        <w:rPr>
          <w:rFonts w:hint="eastAsia" w:hAnsi="宋体" w:cs="宋体"/>
          <w:kern w:val="2"/>
          <w:sz w:val="24"/>
          <w:szCs w:val="24"/>
          <w:highlight w:val="none"/>
          <w:lang w:val="en-US" w:eastAsia="zh-CN" w:bidi="ar-SA"/>
        </w:rPr>
        <w:t>提升沿海防风防浪效果的同时满足更高的卸港量目标（设计年卸港量达 4.25 万吨），还能提升渔港应对自然灾害的韧性，为后续智慧化管理、产业升级（如休闲渔业、冷链物流配套）预留了空间。</w:t>
      </w:r>
    </w:p>
    <w:p w14:paraId="0579006E">
      <w:pPr>
        <w:pStyle w:val="6"/>
        <w:spacing w:line="360" w:lineRule="auto"/>
        <w:ind w:firstLine="480" w:firstLineChars="200"/>
        <w:rPr>
          <w:rFonts w:hint="eastAsia" w:hAnsi="宋体" w:cs="宋体"/>
          <w:kern w:val="2"/>
          <w:sz w:val="24"/>
          <w:szCs w:val="24"/>
          <w:highlight w:val="none"/>
          <w:lang w:val="en-US" w:eastAsia="zh-CN" w:bidi="ar-SA"/>
        </w:rPr>
      </w:pPr>
      <w:r>
        <w:rPr>
          <w:rFonts w:hint="eastAsia" w:hAnsi="宋体" w:cs="宋体"/>
          <w:kern w:val="2"/>
          <w:sz w:val="24"/>
          <w:szCs w:val="24"/>
          <w:highlight w:val="none"/>
          <w:lang w:val="en-US" w:eastAsia="zh-CN" w:bidi="ar-SA"/>
        </w:rPr>
        <w:t>另据回收的121份有效调查问卷，根据第4题“您认为东店一级渔港建设项目是否具有防范台风灾害的不利影响的效果？”分析结果，分别有65位、46位、8位、1位和1位被调查者选择“显著有效”“比较有效”“有一定效果”“效果甚微”“没有效果”，99.17%的被调查者认为东店一级渔港建设项目具有防范台风灾害的不利影响的效果。因此，该项指标得满分。</w:t>
      </w:r>
    </w:p>
    <w:p w14:paraId="1FC75BD4">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4.社会公众或服务对象满意度</w:t>
      </w:r>
      <w:r>
        <w:rPr>
          <w:rFonts w:hint="eastAsia" w:hAnsi="宋体" w:cs="宋体"/>
          <w:sz w:val="24"/>
          <w:szCs w:val="24"/>
          <w:highlight w:val="none"/>
          <w:lang w:val="en-US" w:eastAsia="zh-CN"/>
        </w:rPr>
        <w:t>（分值10分，得9分）</w:t>
      </w:r>
    </w:p>
    <w:p w14:paraId="61D54054">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（1）相关部门满意度（分值3分，得2分）</w:t>
      </w:r>
    </w:p>
    <w:p w14:paraId="06C22138">
      <w:pPr>
        <w:pStyle w:val="6"/>
        <w:spacing w:line="360" w:lineRule="auto"/>
        <w:ind w:firstLine="480" w:firstLineChars="200"/>
        <w:rPr>
          <w:rFonts w:hint="eastAsia" w:hAnsi="宋体" w:cs="宋体"/>
          <w:sz w:val="24"/>
          <w:szCs w:val="24"/>
          <w:lang w:val="en-US" w:eastAsia="zh-CN"/>
        </w:rPr>
      </w:pP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sz w:val="24"/>
          <w:szCs w:val="24"/>
          <w:highlight w:val="none"/>
          <w:lang w:val="en-US" w:eastAsia="zh-CN"/>
        </w:rPr>
        <w:t>2024年度在建设过程中受到石狮市海洋发展局的处罚一次，根据评</w:t>
      </w:r>
      <w:r>
        <w:rPr>
          <w:rFonts w:hint="eastAsia" w:hAnsi="宋体" w:cs="宋体"/>
          <w:sz w:val="24"/>
          <w:szCs w:val="24"/>
          <w:lang w:val="en-US" w:eastAsia="zh-CN"/>
        </w:rPr>
        <w:t>分标准，该指标得2分。</w:t>
      </w:r>
    </w:p>
    <w:p w14:paraId="19F4EE18">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（2）安全生产（分值3分，得3分）</w:t>
      </w:r>
    </w:p>
    <w:p w14:paraId="36128B87">
      <w:pPr>
        <w:pStyle w:val="6"/>
        <w:spacing w:line="360" w:lineRule="auto"/>
        <w:ind w:firstLine="480" w:firstLineChars="200"/>
        <w:rPr>
          <w:rFonts w:hint="default" w:hAnsi="宋体" w:cs="宋体"/>
          <w:sz w:val="24"/>
          <w:szCs w:val="24"/>
          <w:lang w:val="en-US" w:eastAsia="zh-CN"/>
        </w:rPr>
      </w:pP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sz w:val="24"/>
          <w:szCs w:val="24"/>
          <w:lang w:val="en-US" w:eastAsia="zh-CN"/>
        </w:rPr>
        <w:t>未发现</w:t>
      </w:r>
      <w:r>
        <w:rPr>
          <w:rFonts w:hint="default" w:hAnsi="宋体" w:cs="宋体"/>
          <w:sz w:val="24"/>
          <w:szCs w:val="24"/>
          <w:highlight w:val="none"/>
          <w:lang w:val="en-US" w:eastAsia="zh-CN"/>
        </w:rPr>
        <w:t>施工</w:t>
      </w:r>
      <w:r>
        <w:rPr>
          <w:rFonts w:hint="eastAsia" w:hAnsi="宋体" w:cs="宋体"/>
          <w:sz w:val="24"/>
          <w:szCs w:val="24"/>
          <w:highlight w:val="none"/>
          <w:lang w:val="en-US" w:eastAsia="zh-CN"/>
        </w:rPr>
        <w:t>过</w:t>
      </w:r>
      <w:r>
        <w:rPr>
          <w:rFonts w:hint="eastAsia" w:hAnsi="宋体" w:cs="宋体"/>
          <w:sz w:val="24"/>
          <w:szCs w:val="24"/>
          <w:lang w:val="en-US" w:eastAsia="zh-CN"/>
        </w:rPr>
        <w:t>程中存在</w:t>
      </w:r>
      <w:r>
        <w:rPr>
          <w:rFonts w:hint="default" w:hAnsi="宋体" w:cs="宋体"/>
          <w:sz w:val="24"/>
          <w:szCs w:val="24"/>
          <w:lang w:val="en-US" w:eastAsia="zh-CN"/>
        </w:rPr>
        <w:t>安全生产事故，</w:t>
      </w:r>
      <w:r>
        <w:rPr>
          <w:rFonts w:hint="eastAsia" w:hAnsi="宋体" w:cs="宋体"/>
          <w:sz w:val="24"/>
          <w:szCs w:val="24"/>
          <w:lang w:val="en-US" w:eastAsia="zh-CN"/>
        </w:rPr>
        <w:t>该指标可得满分。</w:t>
      </w:r>
    </w:p>
    <w:p w14:paraId="5D0523AC">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（3）群众满意度（分值4分，得4分）</w:t>
      </w:r>
    </w:p>
    <w:p w14:paraId="132BFDEF">
      <w:pPr>
        <w:pStyle w:val="6"/>
        <w:spacing w:line="360" w:lineRule="auto"/>
        <w:ind w:firstLine="480" w:firstLineChars="200"/>
        <w:rPr>
          <w:rFonts w:hint="eastAsia" w:ascii="仿宋" w:hAnsi="仿宋" w:eastAsia="仿宋" w:cs="仿宋"/>
          <w:b/>
          <w:bCs/>
          <w:sz w:val="28"/>
          <w:szCs w:val="28"/>
          <w:highlight w:val="yellow"/>
        </w:rPr>
      </w:pPr>
      <w:r>
        <w:rPr>
          <w:rFonts w:hint="eastAsia" w:hAnsi="宋体" w:cs="宋体"/>
          <w:kern w:val="2"/>
          <w:sz w:val="24"/>
          <w:szCs w:val="24"/>
          <w:highlight w:val="none"/>
          <w:lang w:val="en-US" w:eastAsia="zh-CN" w:bidi="ar-SA"/>
        </w:rPr>
        <w:t>根据回收的121份有效调查问卷，第9题由被调查者对项目满意度进行打分，121位被调查者中，有96位10分、11位9分、9位8分，5位7分，即满意度为96.36%（（96×10+11×9+9×8+5×7）÷（121×10））。因此，该项指标得满分。</w:t>
      </w:r>
    </w:p>
    <w:p w14:paraId="61EDC337">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p>
    <w:p w14:paraId="16F2288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bookmarkStart w:id="13" w:name="_Toc29204"/>
      <w:r>
        <w:rPr>
          <w:rFonts w:hint="eastAsia" w:ascii="仿宋" w:hAnsi="仿宋" w:eastAsia="仿宋" w:cs="仿宋"/>
          <w:b/>
          <w:bCs/>
          <w:sz w:val="28"/>
          <w:szCs w:val="28"/>
        </w:rPr>
        <w:t>五、</w:t>
      </w:r>
      <w:r>
        <w:rPr>
          <w:rFonts w:hint="eastAsia" w:ascii="仿宋" w:hAnsi="仿宋" w:eastAsia="仿宋" w:cs="仿宋"/>
          <w:b/>
          <w:bCs/>
          <w:sz w:val="28"/>
          <w:szCs w:val="28"/>
          <w:lang w:val="en-US" w:eastAsia="zh-CN"/>
        </w:rPr>
        <w:t>主要经验及做法、</w:t>
      </w:r>
      <w:r>
        <w:rPr>
          <w:rFonts w:hint="eastAsia" w:ascii="仿宋" w:hAnsi="仿宋" w:eastAsia="仿宋" w:cs="仿宋"/>
          <w:b/>
          <w:bCs/>
          <w:sz w:val="28"/>
          <w:szCs w:val="28"/>
        </w:rPr>
        <w:t>存在的问题及原因分析</w:t>
      </w:r>
      <w:bookmarkEnd w:id="13"/>
    </w:p>
    <w:p w14:paraId="6326E59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cs="Times New Roman"/>
          <w:b/>
          <w:bCs/>
          <w:sz w:val="24"/>
          <w:szCs w:val="24"/>
          <w:lang w:val="en-US" w:eastAsia="zh-CN"/>
        </w:rPr>
      </w:pPr>
      <w:bookmarkStart w:id="14" w:name="_Toc10277"/>
      <w:r>
        <w:rPr>
          <w:rFonts w:hint="eastAsia" w:ascii="仿宋_GB2312" w:cs="Times New Roman"/>
          <w:b/>
          <w:bCs/>
          <w:sz w:val="24"/>
          <w:szCs w:val="24"/>
          <w:lang w:val="en-US" w:eastAsia="zh-CN"/>
        </w:rPr>
        <w:t>（一）主要经验及做法</w:t>
      </w:r>
      <w:bookmarkEnd w:id="14"/>
    </w:p>
    <w:p w14:paraId="6DAB0744">
      <w:pPr>
        <w:pStyle w:val="6"/>
        <w:spacing w:line="360" w:lineRule="auto"/>
        <w:ind w:firstLine="480" w:firstLineChars="200"/>
        <w:rPr>
          <w:rFonts w:hint="default" w:ascii="仿宋_GB2312" w:cs="Times New Roman"/>
          <w:kern w:val="2"/>
          <w:sz w:val="24"/>
          <w:szCs w:val="24"/>
          <w:highlight w:val="none"/>
          <w:lang w:val="en-US" w:eastAsia="zh-CN" w:bidi="ar-SA"/>
        </w:rPr>
      </w:pPr>
      <w:r>
        <w:rPr>
          <w:rFonts w:hint="eastAsia" w:ascii="仿宋_GB2312" w:hAnsi="Times New Roman" w:cs="Times New Roman"/>
          <w:kern w:val="2"/>
          <w:sz w:val="24"/>
          <w:szCs w:val="24"/>
          <w:lang w:val="en-US" w:eastAsia="zh-CN" w:bidi="ar-SA"/>
        </w:rPr>
        <w:t>石</w:t>
      </w:r>
      <w:r>
        <w:rPr>
          <w:rFonts w:hint="eastAsia" w:ascii="仿宋_GB2312" w:cs="Times New Roman"/>
          <w:kern w:val="2"/>
          <w:sz w:val="24"/>
          <w:szCs w:val="24"/>
          <w:highlight w:val="none"/>
          <w:lang w:val="en-US" w:eastAsia="zh-CN" w:bidi="ar-SA"/>
        </w:rPr>
        <w:t>狮市锦尚东店一级渔港工程项目，完善其生产作业条件，提升渔港的配套功能，将渔区城镇化建设与渔业产业化调整有机结合，符合国家对渔业产业结构进行调整的基本政策，符合国家渔业发展规划和国家级渔港的建设要求。石狮市锦尚东店一级渔港工程系在原有的东店二级渔港基础上进行建设，能充分发挥既有资源的基础优势，降低建材、施工及时间成本，减少选址论证的复杂程度，有效缩短建设周期，推动渔港快速形成效益，尽早发挥一级渔港在保障渔业安全、带动周边产业等方面的经济与社会效益。同时，这种建设模式能精准针对原有二级渔港在防护能力不足、作业空间有限、设施老化等短板进行有针对性的升级，在保留核心渔业生产功能的基础上，拓展冷链物流、渔货交易等综合功能，实现从 “满足基础需求” 到 “适应现代化渔业” 的跨越式发展。</w:t>
      </w:r>
    </w:p>
    <w:p w14:paraId="12E9861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cs="Times New Roman"/>
          <w:b/>
          <w:bCs/>
          <w:sz w:val="24"/>
          <w:szCs w:val="24"/>
          <w:lang w:val="en-US" w:eastAsia="zh-CN"/>
        </w:rPr>
      </w:pPr>
      <w:bookmarkStart w:id="15" w:name="_Toc7676"/>
      <w:r>
        <w:rPr>
          <w:rFonts w:hint="eastAsia" w:ascii="仿宋_GB2312" w:cs="Times New Roman"/>
          <w:b/>
          <w:bCs/>
          <w:sz w:val="24"/>
          <w:szCs w:val="24"/>
          <w:lang w:val="en-US" w:eastAsia="zh-CN"/>
        </w:rPr>
        <w:t>（二）存在的问题及原因分析</w:t>
      </w:r>
      <w:bookmarkEnd w:id="15"/>
    </w:p>
    <w:p w14:paraId="4F3CEA8F">
      <w:pPr>
        <w:pStyle w:val="6"/>
        <w:spacing w:line="360" w:lineRule="auto"/>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1.绩效</w:t>
      </w:r>
      <w:r>
        <w:rPr>
          <w:rFonts w:hint="eastAsia" w:hAnsi="宋体" w:cs="宋体"/>
          <w:sz w:val="24"/>
          <w:szCs w:val="24"/>
          <w:highlight w:val="none"/>
          <w:lang w:val="en-US" w:eastAsia="zh-CN"/>
        </w:rPr>
        <w:t>指标</w:t>
      </w:r>
      <w:r>
        <w:rPr>
          <w:rFonts w:hint="eastAsia" w:ascii="宋体" w:hAnsi="宋体" w:cs="宋体"/>
          <w:sz w:val="24"/>
          <w:szCs w:val="24"/>
          <w:highlight w:val="none"/>
          <w:lang w:val="en-US" w:eastAsia="zh-CN"/>
        </w:rPr>
        <w:t>设置不规范</w:t>
      </w:r>
    </w:p>
    <w:p w14:paraId="480363C2">
      <w:pPr>
        <w:pStyle w:val="6"/>
        <w:spacing w:line="360" w:lineRule="auto"/>
        <w:ind w:firstLine="480" w:firstLineChars="200"/>
        <w:rPr>
          <w:rFonts w:hint="eastAsia" w:ascii="宋体" w:hAnsi="宋体" w:cs="宋体"/>
          <w:sz w:val="24"/>
          <w:szCs w:val="24"/>
          <w:highlight w:val="none"/>
          <w:lang w:val="en-US" w:eastAsia="zh-CN"/>
        </w:rPr>
      </w:pPr>
      <w:r>
        <w:rPr>
          <w:rFonts w:hint="eastAsia" w:ascii="仿宋_GB2312" w:hAnsi="Times New Roman" w:cs="Times New Roman"/>
          <w:kern w:val="2"/>
          <w:sz w:val="24"/>
          <w:szCs w:val="24"/>
          <w:highlight w:val="none"/>
          <w:lang w:val="en-US" w:eastAsia="zh-CN" w:bidi="ar-SA"/>
        </w:rPr>
        <w:t>石</w:t>
      </w:r>
      <w:r>
        <w:rPr>
          <w:rFonts w:hint="eastAsia" w:ascii="仿宋_GB2312" w:cs="Times New Roman"/>
          <w:kern w:val="2"/>
          <w:sz w:val="24"/>
          <w:szCs w:val="24"/>
          <w:highlight w:val="none"/>
          <w:lang w:val="en-US" w:eastAsia="zh-CN" w:bidi="ar-SA"/>
        </w:rPr>
        <w:t>狮市锦尚东店一级渔港工程项目2024年</w:t>
      </w:r>
      <w:r>
        <w:rPr>
          <w:rFonts w:hint="eastAsia" w:hAnsi="宋体" w:cs="宋体"/>
          <w:sz w:val="24"/>
          <w:szCs w:val="24"/>
          <w:highlight w:val="none"/>
          <w:lang w:val="en-US" w:eastAsia="zh-CN"/>
        </w:rPr>
        <w:t>申报的绩效目标表</w:t>
      </w:r>
      <w:r>
        <w:rPr>
          <w:rFonts w:hint="eastAsia" w:ascii="仿宋_GB2312" w:hAnsi="Times New Roman" w:cs="Times New Roman"/>
          <w:kern w:val="2"/>
          <w:sz w:val="24"/>
          <w:szCs w:val="24"/>
          <w:highlight w:val="none"/>
          <w:lang w:val="en-US" w:eastAsia="zh-CN" w:bidi="ar-SA"/>
        </w:rPr>
        <w:t>（如表2）</w:t>
      </w:r>
      <w:r>
        <w:rPr>
          <w:rFonts w:hint="eastAsia" w:hAnsi="宋体" w:cs="宋体"/>
          <w:sz w:val="24"/>
          <w:szCs w:val="24"/>
          <w:highlight w:val="none"/>
          <w:lang w:val="en-US" w:eastAsia="zh-CN"/>
        </w:rPr>
        <w:t>，“产出指标-数量指标”使用“整体工程投资额”作为三级指标，系将投入指标设置为产出指标；“效益指标-经济效益指标”使用“工程建设完成率”作为三级指标，系将产出指标设置为效益指标。</w:t>
      </w:r>
      <w:r>
        <w:rPr>
          <w:rFonts w:hint="eastAsia" w:ascii="仿宋_GB2312" w:hAnsi="Times New Roman" w:eastAsia="仿宋_GB2312" w:cs="Times New Roman"/>
          <w:sz w:val="24"/>
          <w:szCs w:val="24"/>
          <w:highlight w:val="none"/>
          <w:lang w:val="zh-CN" w:eastAsia="zh-CN"/>
        </w:rPr>
        <w:t>未严格遵循《项目支出绩效评价管理办法》要求，缺乏科学的指标设计方法。</w:t>
      </w:r>
    </w:p>
    <w:p w14:paraId="37B11586">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2.项目可行性研究不够深入，致使项目延期</w:t>
      </w:r>
    </w:p>
    <w:p w14:paraId="481942E3">
      <w:pPr>
        <w:pStyle w:val="6"/>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在项目立项阶段，对海域使用权证审批政策、流程及前置条件的调研不够全面，未充分预判海域使用证办理所需的材料准备、部门协同等关键环节，导致前期规划对手续办理的复杂性</w:t>
      </w:r>
      <w:r>
        <w:rPr>
          <w:rFonts w:hint="eastAsia" w:hAnsi="宋体" w:cs="宋体"/>
          <w:sz w:val="24"/>
          <w:szCs w:val="24"/>
          <w:highlight w:val="none"/>
          <w:lang w:val="en-US" w:eastAsia="zh-CN"/>
        </w:rPr>
        <w:t>评估不足，为后续审批滞后埋下隐患。海域使用权证未及时办理，直接造成项目延期，监理单位分别于2022年12月14日、12月20日下发本工程南北引堤停工令,至</w:t>
      </w:r>
      <w:r>
        <w:rPr>
          <w:rFonts w:hint="eastAsia" w:hAnsi="宋体" w:cs="宋体"/>
          <w:sz w:val="24"/>
          <w:szCs w:val="24"/>
          <w:lang w:val="en-US" w:eastAsia="zh-CN"/>
        </w:rPr>
        <w:t>2024年1月3日海域使用权证下发后才重新准备施工工作。2023年8月31日福建省自然资源厅印发《福建省自然资源厅关于印发福建省规范和完善砂石开采管理暂行规定的通知》（闽自然资发</w:t>
      </w:r>
      <w:r>
        <w:rPr>
          <w:rFonts w:hint="eastAsia" w:ascii="仿宋_GB2312" w:cs="Times New Roman"/>
          <w:kern w:val="2"/>
          <w:sz w:val="24"/>
          <w:szCs w:val="24"/>
          <w:highlight w:val="none"/>
          <w:lang w:val="en-US" w:eastAsia="zh-CN" w:bidi="ar-SA"/>
        </w:rPr>
        <w:t>〔</w:t>
      </w:r>
      <w:r>
        <w:rPr>
          <w:rFonts w:hint="eastAsia" w:hAnsi="宋体" w:cs="宋体"/>
          <w:sz w:val="24"/>
          <w:szCs w:val="24"/>
          <w:lang w:val="en-US" w:eastAsia="zh-CN"/>
        </w:rPr>
        <w:t>2023</w:t>
      </w:r>
      <w:r>
        <w:rPr>
          <w:rFonts w:hint="eastAsia" w:ascii="仿宋_GB2312" w:cs="Times New Roman"/>
          <w:kern w:val="2"/>
          <w:sz w:val="24"/>
          <w:szCs w:val="24"/>
          <w:highlight w:val="none"/>
          <w:lang w:val="en-US" w:eastAsia="zh-CN" w:bidi="ar-SA"/>
        </w:rPr>
        <w:t>〕</w:t>
      </w:r>
      <w:r>
        <w:rPr>
          <w:rFonts w:hint="eastAsia" w:hAnsi="宋体" w:cs="宋体"/>
          <w:sz w:val="24"/>
          <w:szCs w:val="24"/>
          <w:lang w:val="en-US" w:eastAsia="zh-CN"/>
        </w:rPr>
        <w:t>51号）根据通知内容,本项目工程水下清淤物约 33万立方米须执行海砂采矿权和海域使用权“两权合一”招标拍卖挂牌出让制度，相关手续由业主单位牵头办理。2024年3月25日，由石狮市锦尚东店渔港建设服务有限公司和锦尚镇人民政府完成挂牌招投标工作，致使整体工期较原计划出现明显滞后。</w:t>
      </w:r>
    </w:p>
    <w:p w14:paraId="4032DE5D">
      <w:pPr>
        <w:pStyle w:val="6"/>
        <w:spacing w:line="360" w:lineRule="auto"/>
        <w:ind w:firstLine="480" w:firstLineChars="200"/>
        <w:rPr>
          <w:rFonts w:hint="default" w:hAnsi="宋体" w:cs="宋体"/>
          <w:sz w:val="24"/>
          <w:szCs w:val="24"/>
          <w:lang w:val="en-US" w:eastAsia="zh-CN"/>
        </w:rPr>
      </w:pPr>
      <w:r>
        <w:rPr>
          <w:rFonts w:hint="eastAsia" w:hAnsi="宋体" w:cs="宋体"/>
          <w:sz w:val="24"/>
          <w:szCs w:val="24"/>
          <w:lang w:val="en-US" w:eastAsia="zh-CN"/>
        </w:rPr>
        <w:t>3.未取得相关审批期间，违规占用海域摆放物资</w:t>
      </w:r>
    </w:p>
    <w:p w14:paraId="1379B382">
      <w:pPr>
        <w:pStyle w:val="6"/>
        <w:spacing w:line="360" w:lineRule="auto"/>
        <w:ind w:firstLine="480" w:firstLineChars="200"/>
        <w:rPr>
          <w:rFonts w:hint="eastAsia" w:hAnsi="宋体" w:cs="宋体"/>
          <w:sz w:val="24"/>
          <w:szCs w:val="24"/>
          <w:highlight w:val="yellow"/>
          <w:lang w:val="en-US" w:eastAsia="zh-CN"/>
        </w:rPr>
      </w:pPr>
      <w:r>
        <w:rPr>
          <w:rFonts w:hint="eastAsia" w:hAnsi="宋体" w:cs="宋体"/>
          <w:sz w:val="24"/>
          <w:szCs w:val="24"/>
          <w:lang w:val="en-US" w:eastAsia="zh-CN"/>
        </w:rPr>
        <w:t>2022年10月至12月，</w:t>
      </w:r>
      <w:r>
        <w:rPr>
          <w:rFonts w:hint="eastAsia" w:hAnsi="宋体" w:cs="宋体"/>
          <w:sz w:val="24"/>
          <w:szCs w:val="24"/>
          <w:highlight w:val="none"/>
          <w:lang w:val="en-US" w:eastAsia="zh-CN"/>
        </w:rPr>
        <w:t>锦尚东店渔港建设服务有限公司</w:t>
      </w:r>
      <w:r>
        <w:rPr>
          <w:rFonts w:hint="eastAsia" w:hAnsi="宋体" w:cs="宋体"/>
          <w:sz w:val="24"/>
          <w:szCs w:val="24"/>
          <w:lang w:val="en-US" w:eastAsia="zh-CN"/>
        </w:rPr>
        <w:t>在未取得海域使用权证的情况下，占用石狮市锦尚湾1.1735公顷海域建设福建省石狮市锦尚东店一级渔港工程非透水构筑物，收到石狮市自然资源局行政处罚决定书；</w:t>
      </w:r>
      <w:r>
        <w:rPr>
          <w:rFonts w:hint="eastAsia" w:hAnsi="宋体" w:cs="宋体"/>
          <w:sz w:val="24"/>
          <w:szCs w:val="24"/>
          <w:highlight w:val="none"/>
          <w:lang w:val="en-US" w:eastAsia="zh-CN"/>
        </w:rPr>
        <w:t>2024年11月11日经石狮市海洋发展局及相关人员确认，锦尚东店渔港建设服务有限公司在未取得海域使用证的情况下，于2023年1月开始在原土质老海堤上硬化、预制并放置沉箱，未经批准建设非透水构筑物，锦尚东店渔港建设服务有限公司作为业主单位收到石狮市海洋发展局的行政处罚</w:t>
      </w:r>
      <w:r>
        <w:rPr>
          <w:rFonts w:hint="eastAsia" w:hAnsi="宋体" w:cs="宋体"/>
          <w:sz w:val="24"/>
          <w:szCs w:val="24"/>
          <w:lang w:val="en-US" w:eastAsia="zh-CN"/>
        </w:rPr>
        <w:t>决定书</w:t>
      </w:r>
      <w:r>
        <w:rPr>
          <w:rFonts w:hint="eastAsia" w:hAnsi="宋体" w:cs="宋体"/>
          <w:sz w:val="24"/>
          <w:szCs w:val="24"/>
          <w:highlight w:val="none"/>
          <w:lang w:val="en-US" w:eastAsia="zh-CN"/>
        </w:rPr>
        <w:t>。上述两次处罚均因</w:t>
      </w:r>
      <w:r>
        <w:rPr>
          <w:rFonts w:hint="eastAsia" w:hAnsi="宋体" w:cs="宋体"/>
          <w:sz w:val="24"/>
          <w:szCs w:val="24"/>
          <w:lang w:val="en-US" w:eastAsia="zh-CN"/>
        </w:rPr>
        <w:t>在未取得海域使用权证的情况下占用海域建设非透水构筑物而收到相关部门处罚，</w:t>
      </w:r>
      <w:r>
        <w:rPr>
          <w:rFonts w:hint="eastAsia" w:hAnsi="宋体" w:cs="宋体"/>
          <w:sz w:val="24"/>
          <w:szCs w:val="24"/>
          <w:highlight w:val="none"/>
          <w:lang w:val="en-US" w:eastAsia="zh-CN"/>
        </w:rPr>
        <w:t>不仅影响了项目的合规性推进，还对项目整体形象及后续审批衔接造成了不利影响。</w:t>
      </w:r>
    </w:p>
    <w:p w14:paraId="0B02AF94">
      <w:pPr>
        <w:pStyle w:val="6"/>
        <w:numPr>
          <w:ilvl w:val="0"/>
          <w:numId w:val="2"/>
        </w:numPr>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业务管理制度不健全、内容不完整</w:t>
      </w:r>
    </w:p>
    <w:p w14:paraId="1494167E">
      <w:pPr>
        <w:pStyle w:val="6"/>
        <w:numPr>
          <w:ilvl w:val="0"/>
          <w:numId w:val="0"/>
        </w:numPr>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石狮市锦尚东店渔港建设服务有限公司提供的《公司内部管理制度》中“五、内控制度管理内容”，仅笼统概括包含的类型，未明确相关节点流程，缺乏实操性和细节支撑，同时还缺失业务拓展与风险评估机制、客户与合同执行管理、业务数据与权责追溯机制等业务全生命周期的核心管理模块，无法为业务活动提供明确规范和指引。</w:t>
      </w:r>
    </w:p>
    <w:p w14:paraId="312A639E">
      <w:pPr>
        <w:pStyle w:val="6"/>
        <w:numPr>
          <w:ilvl w:val="0"/>
          <w:numId w:val="2"/>
        </w:numPr>
        <w:spacing w:line="360" w:lineRule="auto"/>
        <w:ind w:left="0" w:leftChars="0"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自筹资金情况不理想，可能影响工程进度</w:t>
      </w:r>
    </w:p>
    <w:p w14:paraId="624E316F">
      <w:pPr>
        <w:pStyle w:val="6"/>
        <w:numPr>
          <w:ilvl w:val="0"/>
          <w:numId w:val="0"/>
        </w:numPr>
        <w:spacing w:line="360" w:lineRule="auto"/>
        <w:ind w:firstLine="480" w:firstLineChars="200"/>
        <w:rPr>
          <w:rFonts w:hint="default" w:ascii="仿宋_GB2312" w:cs="Times New Roman"/>
          <w:kern w:val="2"/>
          <w:sz w:val="24"/>
          <w:szCs w:val="24"/>
          <w:lang w:val="en-US" w:eastAsia="zh-CN" w:bidi="ar-SA"/>
        </w:rPr>
      </w:pPr>
      <w:r>
        <w:rPr>
          <w:rFonts w:hint="eastAsia" w:ascii="仿宋_GB2312" w:cs="Times New Roman"/>
          <w:kern w:val="2"/>
          <w:sz w:val="24"/>
          <w:szCs w:val="24"/>
          <w:lang w:val="en-US" w:eastAsia="zh-CN" w:bidi="ar-SA"/>
        </w:rPr>
        <w:t>根据《关于福建省石狮市锦尚东店一级渔港工程初步设计及概算的批复》（闽海渔〔2022〕37号）及《福建省渔港项目补助资金实施方案》（闽海渔〔2024〕13 号）文件，项目概算总投资16041.79万元,资金除省级补助外，其余部分由业主单位多方筹措解决，省级补助为项目核定总投资的65%，自筹资金为35%。目前，石狮市锦尚东店一级渔港工程项目共收到补助款6360.31万元，其中，第一批省财政补助资金4287万元，第二批省级财政补助资金1987万元，正向激励补助资金86.31万元。目前，根据</w:t>
      </w:r>
      <w:r>
        <w:rPr>
          <w:rFonts w:hint="eastAsia" w:hAnsi="宋体" w:cs="宋体"/>
          <w:sz w:val="24"/>
          <w:szCs w:val="24"/>
          <w:lang w:val="en-US" w:eastAsia="zh-CN"/>
        </w:rPr>
        <w:t>石狮市锦尚东店渔港建设服务有限公司提供的</w:t>
      </w:r>
      <w:r>
        <w:rPr>
          <w:rFonts w:hint="eastAsia" w:ascii="仿宋_GB2312" w:cs="Times New Roman"/>
          <w:kern w:val="2"/>
          <w:sz w:val="24"/>
          <w:szCs w:val="24"/>
          <w:lang w:val="en-US" w:eastAsia="zh-CN" w:bidi="ar-SA"/>
        </w:rPr>
        <w:t>《建设项目支出情况表》该项目已支付7270.61万元。在支付比例中，补助款占比87.48%,已到位自筹资金与计划投入资金相差较大，项目施工进度按计划进行，将可能出现资金跟不上工程的风险，影响施工进度。</w:t>
      </w:r>
    </w:p>
    <w:p w14:paraId="73F8019C">
      <w:pPr>
        <w:pStyle w:val="6"/>
        <w:numPr>
          <w:ilvl w:val="0"/>
          <w:numId w:val="0"/>
        </w:numPr>
        <w:spacing w:line="360" w:lineRule="auto"/>
        <w:outlineLvl w:val="0"/>
        <w:rPr>
          <w:rFonts w:hint="eastAsia" w:ascii="仿宋" w:hAnsi="仿宋" w:eastAsia="仿宋" w:cs="仿宋"/>
          <w:b/>
          <w:bCs/>
          <w:sz w:val="28"/>
          <w:szCs w:val="28"/>
        </w:rPr>
      </w:pPr>
    </w:p>
    <w:p w14:paraId="42244400">
      <w:pPr>
        <w:pStyle w:val="6"/>
        <w:numPr>
          <w:ilvl w:val="0"/>
          <w:numId w:val="0"/>
        </w:numPr>
        <w:spacing w:line="360" w:lineRule="auto"/>
        <w:ind w:firstLine="562" w:firstLineChars="200"/>
        <w:outlineLvl w:val="0"/>
        <w:rPr>
          <w:rFonts w:hint="eastAsia" w:ascii="仿宋" w:hAnsi="仿宋" w:eastAsia="仿宋" w:cs="仿宋"/>
          <w:b/>
          <w:bCs/>
          <w:sz w:val="28"/>
          <w:szCs w:val="28"/>
        </w:rPr>
      </w:pPr>
      <w:bookmarkStart w:id="16" w:name="_Toc5255"/>
      <w:r>
        <w:rPr>
          <w:rFonts w:hint="eastAsia" w:ascii="仿宋" w:hAnsi="仿宋" w:eastAsia="仿宋" w:cs="仿宋"/>
          <w:b/>
          <w:bCs/>
          <w:sz w:val="28"/>
          <w:szCs w:val="28"/>
        </w:rPr>
        <w:t>六、有关建议</w:t>
      </w:r>
      <w:bookmarkEnd w:id="16"/>
    </w:p>
    <w:p w14:paraId="7448E60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cs="Times New Roman"/>
          <w:b/>
          <w:bCs/>
          <w:sz w:val="24"/>
          <w:szCs w:val="24"/>
          <w:lang w:val="en-US" w:eastAsia="zh-CN"/>
        </w:rPr>
      </w:pPr>
      <w:bookmarkStart w:id="17" w:name="_Toc2082"/>
      <w:r>
        <w:rPr>
          <w:rFonts w:hint="eastAsia" w:ascii="仿宋_GB2312" w:cs="Times New Roman"/>
          <w:b/>
          <w:bCs/>
          <w:sz w:val="24"/>
          <w:szCs w:val="24"/>
          <w:lang w:val="en-US" w:eastAsia="zh-CN"/>
        </w:rPr>
        <w:t>（</w:t>
      </w:r>
      <w:r>
        <w:rPr>
          <w:rFonts w:hint="eastAsia" w:ascii="仿宋_GB2312" w:hAnsi="Times New Roman" w:cs="Times New Roman"/>
          <w:b/>
          <w:bCs/>
          <w:sz w:val="24"/>
          <w:szCs w:val="24"/>
          <w:lang w:val="en-US" w:eastAsia="zh-CN"/>
        </w:rPr>
        <w:t>一）</w:t>
      </w:r>
      <w:r>
        <w:rPr>
          <w:rFonts w:hint="eastAsia" w:ascii="仿宋_GB2312" w:cs="Times New Roman"/>
          <w:b/>
          <w:bCs/>
          <w:sz w:val="24"/>
          <w:szCs w:val="24"/>
          <w:lang w:val="en-US" w:eastAsia="zh-CN"/>
        </w:rPr>
        <w:t>规范</w:t>
      </w:r>
      <w:r>
        <w:rPr>
          <w:rFonts w:hint="eastAsia" w:ascii="仿宋_GB2312" w:hAnsi="Times New Roman" w:cs="Times New Roman"/>
          <w:b/>
          <w:bCs/>
          <w:sz w:val="24"/>
          <w:szCs w:val="24"/>
          <w:lang w:val="en-US" w:eastAsia="zh-CN"/>
        </w:rPr>
        <w:t>绩效指标设置</w:t>
      </w:r>
      <w:bookmarkEnd w:id="17"/>
    </w:p>
    <w:p w14:paraId="6C4002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hAnsi="宋体"/>
          <w:sz w:val="24"/>
          <w:lang w:val="en-US" w:eastAsia="zh-CN"/>
        </w:rPr>
      </w:pPr>
      <w:r>
        <w:rPr>
          <w:rFonts w:hint="eastAsia" w:hAnsi="宋体" w:cs="宋体"/>
          <w:sz w:val="24"/>
          <w:szCs w:val="24"/>
          <w:lang w:val="en-US" w:eastAsia="zh-CN"/>
        </w:rPr>
        <w:t>绩效指标的设置应遵循财政部</w:t>
      </w:r>
      <w:r>
        <w:rPr>
          <w:rFonts w:hint="eastAsia" w:hAnsi="宋体"/>
          <w:sz w:val="24"/>
        </w:rPr>
        <w:t>《项目支出绩效评价管理办法》</w:t>
      </w:r>
      <w:r>
        <w:rPr>
          <w:rFonts w:hint="eastAsia" w:hAnsi="宋体"/>
          <w:sz w:val="24"/>
          <w:lang w:val="en-US" w:eastAsia="zh-CN"/>
        </w:rPr>
        <w:t>的要求，参照《</w:t>
      </w:r>
      <w:r>
        <w:rPr>
          <w:rFonts w:hint="eastAsia" w:hAnsi="宋体"/>
          <w:sz w:val="24"/>
        </w:rPr>
        <w:t>项目支出绩效自评表</w:t>
      </w:r>
      <w:r>
        <w:rPr>
          <w:rFonts w:hint="eastAsia" w:hAnsi="宋体"/>
          <w:sz w:val="24"/>
          <w:lang w:val="en-US" w:eastAsia="zh-CN"/>
        </w:rPr>
        <w:t>》规范设置指标，三级个性化指标设置应能体现项目自身的特点，对项目产出和效益进行较为精准地把握。组织相关人员系统学习《项目支出绩效评价管理办法》，明确各类指标的定义、层级及设置要求，统一指标设计标准。</w:t>
      </w:r>
    </w:p>
    <w:p w14:paraId="36C23C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cs="Times New Roman"/>
          <w:b/>
          <w:bCs/>
          <w:sz w:val="24"/>
          <w:szCs w:val="24"/>
          <w:lang w:val="en-US" w:eastAsia="zh-CN"/>
        </w:rPr>
      </w:pPr>
      <w:bookmarkStart w:id="18" w:name="_Toc18764"/>
      <w:r>
        <w:rPr>
          <w:rFonts w:hint="eastAsia" w:ascii="仿宋_GB2312" w:cs="Times New Roman"/>
          <w:b/>
          <w:bCs/>
          <w:sz w:val="24"/>
          <w:szCs w:val="24"/>
          <w:lang w:val="en-US" w:eastAsia="zh-CN"/>
        </w:rPr>
        <w:t>（二</w:t>
      </w:r>
      <w:r>
        <w:rPr>
          <w:rFonts w:hint="eastAsia" w:ascii="仿宋_GB2312" w:hAnsi="Times New Roman" w:cs="Times New Roman"/>
          <w:b/>
          <w:bCs/>
          <w:sz w:val="24"/>
          <w:szCs w:val="24"/>
          <w:lang w:val="en-US" w:eastAsia="zh-CN"/>
        </w:rPr>
        <w:t>）强化前期调研深度</w:t>
      </w:r>
      <w:r>
        <w:rPr>
          <w:rFonts w:hint="eastAsia" w:ascii="仿宋_GB2312" w:cs="Times New Roman"/>
          <w:b/>
          <w:bCs/>
          <w:sz w:val="24"/>
          <w:szCs w:val="24"/>
          <w:lang w:val="en-US" w:eastAsia="zh-CN"/>
        </w:rPr>
        <w:t>，扎实做好可行性报告研究</w:t>
      </w:r>
      <w:bookmarkEnd w:id="18"/>
    </w:p>
    <w:p w14:paraId="3F620583">
      <w:pPr>
        <w:pStyle w:val="19"/>
        <w:spacing w:line="360" w:lineRule="auto"/>
        <w:rPr>
          <w:rFonts w:hint="eastAsia" w:hAnsi="宋体" w:cs="宋体"/>
          <w:sz w:val="24"/>
          <w:szCs w:val="24"/>
          <w:lang w:val="en-US" w:eastAsia="zh-CN"/>
        </w:rPr>
      </w:pPr>
      <w:r>
        <w:rPr>
          <w:rFonts w:hint="eastAsia" w:hAnsi="宋体" w:cs="Times New Roman"/>
          <w:kern w:val="2"/>
          <w:sz w:val="24"/>
          <w:szCs w:val="24"/>
          <w:lang w:val="en-US" w:eastAsia="zh-CN" w:bidi="ar-SA"/>
        </w:rPr>
        <w:t>该项目作为渔港基建设施，涉海相关权证本应</w:t>
      </w:r>
      <w:r>
        <w:rPr>
          <w:rFonts w:hint="eastAsia" w:hAnsi="宋体" w:cs="宋体"/>
          <w:kern w:val="2"/>
          <w:sz w:val="24"/>
          <w:szCs w:val="24"/>
          <w:lang w:val="en-US" w:eastAsia="zh-CN" w:bidi="ar-SA"/>
        </w:rPr>
        <w:t>属于该类项目必须充分考虑的影响因素，</w:t>
      </w:r>
      <w:r>
        <w:rPr>
          <w:rFonts w:hint="eastAsia" w:hAnsi="宋体" w:cs="宋体"/>
          <w:sz w:val="24"/>
          <w:szCs w:val="24"/>
          <w:lang w:val="en-US" w:eastAsia="zh-CN"/>
        </w:rPr>
        <w:t>在项目进行前期可行性研究分析时，应</w:t>
      </w:r>
      <w:r>
        <w:rPr>
          <w:rFonts w:hint="eastAsia" w:ascii="Times New Roman" w:hAnsi="宋体" w:eastAsia="仿宋_GB2312" w:cs="Times New Roman"/>
          <w:kern w:val="2"/>
          <w:sz w:val="24"/>
          <w:szCs w:val="24"/>
          <w:lang w:val="en-US" w:eastAsia="zh-CN" w:bidi="ar-SA"/>
        </w:rPr>
        <w:t>组建专项调研小组，全面梳理</w:t>
      </w:r>
      <w:r>
        <w:rPr>
          <w:rFonts w:hint="eastAsia" w:hAnsi="宋体" w:cs="Times New Roman"/>
          <w:kern w:val="2"/>
          <w:sz w:val="24"/>
          <w:szCs w:val="24"/>
          <w:lang w:val="en-US" w:eastAsia="zh-CN" w:bidi="ar-SA"/>
        </w:rPr>
        <w:t>相关权证清单及</w:t>
      </w:r>
      <w:r>
        <w:rPr>
          <w:rFonts w:hint="eastAsia" w:ascii="Times New Roman" w:hAnsi="宋体" w:eastAsia="仿宋_GB2312" w:cs="Times New Roman"/>
          <w:kern w:val="2"/>
          <w:sz w:val="24"/>
          <w:szCs w:val="24"/>
          <w:lang w:val="en-US" w:eastAsia="zh-CN" w:bidi="ar-SA"/>
        </w:rPr>
        <w:t>审批的政策要求、流程节点、所需材料及部门协同机制，形成详细调研报告。</w:t>
      </w:r>
      <w:r>
        <w:rPr>
          <w:rFonts w:hint="eastAsia" w:hAnsi="宋体" w:cs="Times New Roman"/>
          <w:kern w:val="2"/>
          <w:sz w:val="24"/>
          <w:szCs w:val="24"/>
          <w:lang w:val="en-US" w:eastAsia="zh-CN" w:bidi="ar-SA"/>
        </w:rPr>
        <w:t>同时，应</w:t>
      </w:r>
      <w:r>
        <w:rPr>
          <w:rFonts w:hint="eastAsia" w:ascii="Times New Roman" w:hAnsi="宋体" w:eastAsia="仿宋_GB2312" w:cs="Times New Roman"/>
          <w:kern w:val="2"/>
          <w:sz w:val="24"/>
          <w:szCs w:val="24"/>
          <w:lang w:val="en-US" w:eastAsia="zh-CN" w:bidi="ar-SA"/>
        </w:rPr>
        <w:t>建立政策跟踪与预警机制</w:t>
      </w:r>
      <w:r>
        <w:rPr>
          <w:rFonts w:hint="eastAsia" w:hAnsi="宋体" w:cs="Times New Roman"/>
          <w:kern w:val="2"/>
          <w:sz w:val="24"/>
          <w:szCs w:val="24"/>
          <w:lang w:val="en-US" w:eastAsia="zh-CN" w:bidi="ar-SA"/>
        </w:rPr>
        <w:t>，</w:t>
      </w:r>
      <w:r>
        <w:rPr>
          <w:rFonts w:hint="eastAsia" w:ascii="Times New Roman" w:hAnsi="宋体" w:eastAsia="仿宋_GB2312" w:cs="Times New Roman"/>
          <w:kern w:val="2"/>
          <w:sz w:val="24"/>
          <w:szCs w:val="24"/>
          <w:lang w:val="en-US" w:eastAsia="zh-CN" w:bidi="ar-SA"/>
        </w:rPr>
        <w:t>安排专</w:t>
      </w:r>
      <w:r>
        <w:rPr>
          <w:rFonts w:hint="eastAsia" w:hAnsi="宋体" w:cs="Times New Roman"/>
          <w:kern w:val="2"/>
          <w:sz w:val="24"/>
          <w:szCs w:val="24"/>
          <w:lang w:val="en-US" w:eastAsia="zh-CN" w:bidi="ar-SA"/>
        </w:rPr>
        <w:t>人</w:t>
      </w:r>
      <w:r>
        <w:rPr>
          <w:rFonts w:hint="eastAsia" w:ascii="Times New Roman" w:hAnsi="宋体" w:eastAsia="仿宋_GB2312" w:cs="Times New Roman"/>
          <w:kern w:val="2"/>
          <w:sz w:val="24"/>
          <w:szCs w:val="24"/>
          <w:lang w:val="en-US" w:eastAsia="zh-CN" w:bidi="ar-SA"/>
        </w:rPr>
        <w:t>实时跟踪相关</w:t>
      </w:r>
      <w:r>
        <w:rPr>
          <w:rFonts w:hint="eastAsia" w:hAnsi="宋体" w:cs="Times New Roman"/>
          <w:kern w:val="2"/>
          <w:sz w:val="24"/>
          <w:szCs w:val="24"/>
          <w:lang w:val="en-US" w:eastAsia="zh-CN" w:bidi="ar-SA"/>
        </w:rPr>
        <w:t>权证的</w:t>
      </w:r>
      <w:r>
        <w:rPr>
          <w:rFonts w:hint="eastAsia" w:ascii="Times New Roman" w:hAnsi="宋体" w:eastAsia="仿宋_GB2312" w:cs="Times New Roman"/>
          <w:kern w:val="2"/>
          <w:sz w:val="24"/>
          <w:szCs w:val="24"/>
          <w:lang w:val="en-US" w:eastAsia="zh-CN" w:bidi="ar-SA"/>
        </w:rPr>
        <w:t>政策变化，提前预判对项目的影响并制定调整方案。</w:t>
      </w:r>
      <w:r>
        <w:rPr>
          <w:rFonts w:hint="eastAsia" w:hAnsi="宋体" w:cs="Times New Roman"/>
          <w:kern w:val="2"/>
          <w:sz w:val="24"/>
          <w:szCs w:val="24"/>
          <w:lang w:val="en-US" w:eastAsia="zh-CN" w:bidi="ar-SA"/>
        </w:rPr>
        <w:t>减少后期施工阶段因相关权证的缺漏致使停工问题的发生</w:t>
      </w:r>
      <w:r>
        <w:rPr>
          <w:rFonts w:hint="eastAsia" w:hAnsi="宋体" w:cs="宋体"/>
          <w:sz w:val="24"/>
          <w:szCs w:val="24"/>
          <w:lang w:val="en-US" w:eastAsia="zh-CN"/>
        </w:rPr>
        <w:t>，保障工程的顺利推进、按时完工。以后凡涉及工程建设项目，均应严格把关事前绩效评价，对项目可行性研究报告进行深入分析，扎实做好前期准备工作。</w:t>
      </w:r>
    </w:p>
    <w:p w14:paraId="3497C3C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cs="Times New Roman"/>
          <w:b/>
          <w:bCs/>
          <w:sz w:val="24"/>
          <w:szCs w:val="24"/>
          <w:lang w:val="en-US" w:eastAsia="zh-CN"/>
        </w:rPr>
      </w:pPr>
      <w:bookmarkStart w:id="19" w:name="_Toc3278"/>
      <w:r>
        <w:rPr>
          <w:rFonts w:hint="eastAsia" w:ascii="仿宋_GB2312" w:hAnsi="Times New Roman" w:cs="Times New Roman"/>
          <w:b/>
          <w:bCs/>
          <w:sz w:val="24"/>
          <w:szCs w:val="24"/>
          <w:lang w:val="en-US" w:eastAsia="zh-CN"/>
        </w:rPr>
        <w:t>（三）</w:t>
      </w:r>
      <w:r>
        <w:rPr>
          <w:rFonts w:hint="default" w:ascii="仿宋_GB2312" w:hAnsi="Times New Roman" w:cs="Times New Roman"/>
          <w:b/>
          <w:bCs/>
          <w:sz w:val="24"/>
          <w:szCs w:val="24"/>
          <w:lang w:val="en-US" w:eastAsia="zh-CN"/>
        </w:rPr>
        <w:t>强化合规意识</w:t>
      </w:r>
      <w:r>
        <w:rPr>
          <w:rFonts w:hint="eastAsia" w:ascii="仿宋_GB2312" w:cs="Times New Roman"/>
          <w:b/>
          <w:bCs/>
          <w:sz w:val="24"/>
          <w:szCs w:val="24"/>
          <w:lang w:val="en-US" w:eastAsia="zh-CN"/>
        </w:rPr>
        <w:t>及</w:t>
      </w:r>
      <w:r>
        <w:rPr>
          <w:rFonts w:hint="default" w:hAnsi="宋体" w:cs="宋体"/>
          <w:b/>
          <w:bCs/>
          <w:sz w:val="24"/>
          <w:szCs w:val="24"/>
          <w:lang w:val="en-US" w:eastAsia="zh-CN"/>
        </w:rPr>
        <w:t>协同机制</w:t>
      </w:r>
      <w:r>
        <w:rPr>
          <w:rFonts w:hint="eastAsia" w:hAnsi="宋体" w:cs="宋体"/>
          <w:b/>
          <w:bCs/>
          <w:sz w:val="24"/>
          <w:szCs w:val="24"/>
          <w:lang w:val="en-US" w:eastAsia="zh-CN"/>
        </w:rPr>
        <w:t>，</w:t>
      </w:r>
      <w:r>
        <w:rPr>
          <w:rFonts w:hint="default" w:hAnsi="宋体" w:cs="宋体"/>
          <w:b/>
          <w:bCs/>
          <w:sz w:val="24"/>
          <w:szCs w:val="24"/>
          <w:lang w:val="en-US" w:eastAsia="zh-CN"/>
        </w:rPr>
        <w:t>完善内部监督与问责</w:t>
      </w:r>
      <w:bookmarkEnd w:id="19"/>
    </w:p>
    <w:p w14:paraId="0AC92141">
      <w:pPr>
        <w:pStyle w:val="19"/>
        <w:spacing w:line="360" w:lineRule="auto"/>
        <w:rPr>
          <w:rFonts w:hint="default" w:hAnsi="宋体" w:cs="宋体"/>
          <w:sz w:val="24"/>
          <w:szCs w:val="24"/>
          <w:lang w:val="en-US" w:eastAsia="zh-CN"/>
        </w:rPr>
      </w:pPr>
      <w:r>
        <w:rPr>
          <w:rFonts w:hint="default" w:hAnsi="宋体" w:cs="宋体"/>
          <w:sz w:val="24"/>
          <w:szCs w:val="24"/>
          <w:lang w:val="en-US" w:eastAsia="zh-CN"/>
        </w:rPr>
        <w:t>在海域使用权证尚未办理期间，</w:t>
      </w:r>
      <w:r>
        <w:rPr>
          <w:rFonts w:hint="eastAsia" w:hAnsi="宋体" w:cs="宋体"/>
          <w:sz w:val="24"/>
          <w:szCs w:val="24"/>
          <w:lang w:val="en-US" w:eastAsia="zh-CN"/>
        </w:rPr>
        <w:t>在未取得海域使用权证的情况下占用海域建设非透水构筑物</w:t>
      </w:r>
      <w:r>
        <w:rPr>
          <w:rFonts w:hint="default" w:hAnsi="宋体" w:cs="宋体"/>
          <w:sz w:val="24"/>
          <w:szCs w:val="24"/>
          <w:lang w:val="en-US" w:eastAsia="zh-CN"/>
        </w:rPr>
        <w:t>的行为，属于主观因素导致的情形。</w:t>
      </w:r>
      <w:r>
        <w:rPr>
          <w:rFonts w:hint="eastAsia" w:hAnsi="宋体" w:cs="宋体"/>
          <w:sz w:val="24"/>
          <w:szCs w:val="24"/>
          <w:lang w:val="en-US" w:eastAsia="zh-CN"/>
        </w:rPr>
        <w:t>工作组建议</w:t>
      </w:r>
      <w:r>
        <w:rPr>
          <w:rFonts w:hint="default" w:hAnsi="宋体" w:cs="宋体"/>
          <w:sz w:val="24"/>
          <w:szCs w:val="24"/>
          <w:lang w:val="en-US" w:eastAsia="zh-CN"/>
        </w:rPr>
        <w:t>组织</w:t>
      </w:r>
      <w:r>
        <w:rPr>
          <w:rFonts w:hint="eastAsia" w:hAnsi="宋体" w:cs="宋体"/>
          <w:sz w:val="24"/>
          <w:szCs w:val="24"/>
          <w:lang w:val="en-US" w:eastAsia="zh-CN"/>
        </w:rPr>
        <w:t>该</w:t>
      </w:r>
      <w:r>
        <w:rPr>
          <w:rFonts w:hint="default" w:hAnsi="宋体" w:cs="宋体"/>
          <w:sz w:val="24"/>
          <w:szCs w:val="24"/>
          <w:lang w:val="en-US" w:eastAsia="zh-CN"/>
        </w:rPr>
        <w:t>项目</w:t>
      </w:r>
      <w:r>
        <w:rPr>
          <w:rFonts w:hint="eastAsia" w:hAnsi="宋体" w:cs="宋体"/>
          <w:sz w:val="24"/>
          <w:szCs w:val="24"/>
          <w:lang w:val="en-US" w:eastAsia="zh-CN"/>
        </w:rPr>
        <w:t>成员</w:t>
      </w:r>
      <w:r>
        <w:rPr>
          <w:rFonts w:hint="default" w:hAnsi="宋体" w:cs="宋体"/>
          <w:sz w:val="24"/>
          <w:szCs w:val="24"/>
          <w:lang w:val="en-US" w:eastAsia="zh-CN"/>
        </w:rPr>
        <w:t>学习《中华人民共和国海域使用管理法》等法规，明确无证施工的法律后果及对项目的影响。由项目管理部门牵头，每周同步审批进度与施工计划，确保所有涉海施工环节均在取得合法审批后开展</w:t>
      </w:r>
      <w:r>
        <w:rPr>
          <w:rFonts w:hint="eastAsia" w:hAnsi="宋体" w:cs="宋体"/>
          <w:sz w:val="24"/>
          <w:szCs w:val="24"/>
          <w:lang w:val="en-US" w:eastAsia="zh-CN"/>
        </w:rPr>
        <w:t>，</w:t>
      </w:r>
      <w:r>
        <w:rPr>
          <w:rFonts w:hint="default" w:hAnsi="宋体" w:cs="宋体"/>
          <w:sz w:val="24"/>
          <w:szCs w:val="24"/>
          <w:lang w:val="en-US" w:eastAsia="zh-CN"/>
        </w:rPr>
        <w:t>对需提前准备的物资，规划合规存放区域。</w:t>
      </w:r>
      <w:r>
        <w:rPr>
          <w:rFonts w:hint="eastAsia" w:hAnsi="宋体" w:cs="宋体"/>
          <w:sz w:val="24"/>
          <w:szCs w:val="24"/>
          <w:lang w:val="en-US" w:eastAsia="zh-CN"/>
        </w:rPr>
        <w:t>同时，</w:t>
      </w:r>
      <w:r>
        <w:rPr>
          <w:rFonts w:hint="default" w:hAnsi="宋体" w:cs="宋体"/>
          <w:sz w:val="24"/>
          <w:szCs w:val="24"/>
          <w:lang w:val="en-US" w:eastAsia="zh-CN"/>
        </w:rPr>
        <w:t>设立合规监督岗，定期核查施工环节的审批合规性，对违规行为及时制止并追溯责任，避免类似问题重复发生。</w:t>
      </w:r>
    </w:p>
    <w:p w14:paraId="3F9E942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cs="Times New Roman"/>
          <w:b/>
          <w:bCs/>
          <w:sz w:val="24"/>
          <w:szCs w:val="24"/>
          <w:highlight w:val="none"/>
          <w:lang w:val="en-US" w:eastAsia="zh-CN"/>
        </w:rPr>
      </w:pPr>
      <w:bookmarkStart w:id="20" w:name="_Toc23668"/>
      <w:r>
        <w:rPr>
          <w:rFonts w:hint="eastAsia" w:ascii="仿宋_GB2312" w:hAnsi="Times New Roman" w:cs="Times New Roman"/>
          <w:b/>
          <w:bCs/>
          <w:sz w:val="24"/>
          <w:szCs w:val="24"/>
          <w:highlight w:val="none"/>
          <w:lang w:val="en-US" w:eastAsia="zh-CN"/>
        </w:rPr>
        <w:t>（</w:t>
      </w:r>
      <w:r>
        <w:rPr>
          <w:rFonts w:hint="eastAsia" w:ascii="仿宋_GB2312" w:cs="Times New Roman"/>
          <w:b/>
          <w:bCs/>
          <w:sz w:val="24"/>
          <w:szCs w:val="24"/>
          <w:highlight w:val="none"/>
          <w:lang w:val="en-US" w:eastAsia="zh-CN"/>
        </w:rPr>
        <w:t>四</w:t>
      </w:r>
      <w:r>
        <w:rPr>
          <w:rFonts w:hint="eastAsia" w:ascii="仿宋_GB2312" w:hAnsi="Times New Roman" w:cs="Times New Roman"/>
          <w:b/>
          <w:bCs/>
          <w:sz w:val="24"/>
          <w:szCs w:val="24"/>
          <w:highlight w:val="none"/>
          <w:lang w:val="en-US" w:eastAsia="zh-CN"/>
        </w:rPr>
        <w:t>）</w:t>
      </w:r>
      <w:r>
        <w:rPr>
          <w:rFonts w:hint="eastAsia" w:hAnsi="宋体" w:cs="宋体"/>
          <w:b/>
          <w:bCs/>
          <w:sz w:val="24"/>
          <w:szCs w:val="24"/>
          <w:highlight w:val="none"/>
          <w:lang w:val="en-US" w:eastAsia="zh-CN"/>
        </w:rPr>
        <w:t>修订完善管理制度，动态优化制度内容</w:t>
      </w:r>
      <w:bookmarkEnd w:id="20"/>
    </w:p>
    <w:p w14:paraId="7491FB29">
      <w:pPr>
        <w:pStyle w:val="19"/>
        <w:spacing w:line="360" w:lineRule="auto"/>
        <w:rPr>
          <w:rFonts w:hint="eastAsia" w:hAnsi="宋体" w:cs="宋体"/>
          <w:sz w:val="24"/>
          <w:szCs w:val="24"/>
          <w:highlight w:val="none"/>
          <w:lang w:val="en-US" w:eastAsia="zh-CN"/>
        </w:rPr>
      </w:pPr>
      <w:r>
        <w:rPr>
          <w:rFonts w:hint="eastAsia" w:hAnsi="宋体" w:cs="宋体"/>
          <w:sz w:val="24"/>
          <w:szCs w:val="24"/>
          <w:highlight w:val="none"/>
          <w:lang w:val="en-US" w:eastAsia="zh-CN"/>
        </w:rPr>
        <w:t>业务管理制度的制定应避免条款模糊，易引发执行偏差，应组织业务、财务、风控等部门联合修订《内部管理制度》，细化审批步骤、责任部门、时限要求等节点流程，增强实操性。每季度组织制度执行情况评估，根据项目进展动态优化制度内容，确保制度与业务同步。</w:t>
      </w:r>
    </w:p>
    <w:p w14:paraId="27CD85F8">
      <w:pPr>
        <w:pStyle w:val="19"/>
        <w:spacing w:line="360" w:lineRule="auto"/>
        <w:outlineLvl w:val="1"/>
        <w:rPr>
          <w:rFonts w:hint="default" w:hAnsi="宋体" w:cs="宋体"/>
          <w:b/>
          <w:bCs/>
          <w:sz w:val="24"/>
          <w:szCs w:val="24"/>
          <w:highlight w:val="none"/>
          <w:lang w:val="en-US" w:eastAsia="zh-CN"/>
        </w:rPr>
      </w:pPr>
      <w:bookmarkStart w:id="21" w:name="_Toc20853"/>
      <w:r>
        <w:rPr>
          <w:rFonts w:hint="eastAsia" w:hAnsi="宋体" w:cs="宋体"/>
          <w:b/>
          <w:bCs/>
          <w:sz w:val="24"/>
          <w:szCs w:val="24"/>
          <w:highlight w:val="none"/>
          <w:lang w:val="en-US" w:eastAsia="zh-CN"/>
        </w:rPr>
        <w:t>（五）制定资金筹措实施方案，积极争取外部支持</w:t>
      </w:r>
      <w:bookmarkEnd w:id="21"/>
    </w:p>
    <w:p w14:paraId="4110F3AD">
      <w:pPr>
        <w:pStyle w:val="19"/>
        <w:spacing w:line="360" w:lineRule="auto"/>
        <w:rPr>
          <w:rFonts w:hint="eastAsia" w:hAnsi="宋体" w:cs="宋体"/>
          <w:sz w:val="24"/>
          <w:szCs w:val="24"/>
          <w:highlight w:val="none"/>
          <w:lang w:val="en-US" w:eastAsia="zh-CN"/>
        </w:rPr>
      </w:pPr>
      <w:r>
        <w:rPr>
          <w:rFonts w:hint="eastAsia" w:hAnsi="宋体" w:cs="宋体"/>
          <w:sz w:val="24"/>
          <w:szCs w:val="24"/>
          <w:highlight w:val="none"/>
          <w:lang w:val="en-US" w:eastAsia="zh-CN"/>
        </w:rPr>
        <w:t>工作组建议由主管部门牵头，明确该项目自筹资金的具体来源，各渠道的到账时间表及责任部门，尽快形成可执行的筹措计划。每月由财务部门与施工部门根据实际施工进度联合测算资金需求，对比已到位资金与缺口，及时调整施工计划或加速筹措。建议业主单位加大协调力度，统筹调度各方资源，主动对接地方政府及金融机构，申请渔港建设专项扶持资金或低息贷款，补充自筹资金缺口，同时探索社会资本参与模式，拓宽筹资渠道。</w:t>
      </w:r>
    </w:p>
    <w:p w14:paraId="49B5C78B">
      <w:pPr>
        <w:pStyle w:val="19"/>
        <w:spacing w:line="360" w:lineRule="auto"/>
        <w:rPr>
          <w:rFonts w:hint="eastAsia" w:hAnsi="宋体" w:cs="宋体"/>
          <w:sz w:val="24"/>
          <w:szCs w:val="24"/>
          <w:highlight w:val="none"/>
          <w:lang w:val="en-US" w:eastAsia="zh-CN"/>
        </w:rPr>
      </w:pPr>
    </w:p>
    <w:p w14:paraId="5043EA8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bookmarkStart w:id="22" w:name="_Toc28489"/>
      <w:r>
        <w:rPr>
          <w:rFonts w:hint="eastAsia" w:ascii="仿宋" w:hAnsi="仿宋" w:eastAsia="仿宋" w:cs="仿宋"/>
          <w:b/>
          <w:bCs/>
          <w:sz w:val="28"/>
          <w:szCs w:val="28"/>
        </w:rPr>
        <w:t>七、其他需要说明的问题</w:t>
      </w:r>
      <w:bookmarkEnd w:id="22"/>
    </w:p>
    <w:p w14:paraId="01CD9EF3">
      <w:pPr>
        <w:pStyle w:val="4"/>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cs="Times New Roman"/>
          <w:kern w:val="2"/>
          <w:sz w:val="24"/>
          <w:szCs w:val="24"/>
          <w:lang w:val="en-US" w:eastAsia="zh-CN" w:bidi="ar-SA"/>
        </w:rPr>
        <w:t>目前，石</w:t>
      </w:r>
      <w:r>
        <w:rPr>
          <w:rFonts w:hint="eastAsia" w:ascii="仿宋_GB2312" w:cs="Times New Roman"/>
          <w:kern w:val="2"/>
          <w:sz w:val="24"/>
          <w:szCs w:val="24"/>
          <w:highlight w:val="none"/>
          <w:lang w:val="en-US" w:eastAsia="zh-CN" w:bidi="ar-SA"/>
        </w:rPr>
        <w:t>狮市锦尚东店一级渔港工程项目</w:t>
      </w:r>
      <w:r>
        <w:rPr>
          <w:rFonts w:hint="eastAsia" w:hAnsi="宋体" w:cs="宋体"/>
          <w:kern w:val="2"/>
          <w:sz w:val="24"/>
          <w:szCs w:val="24"/>
          <w:lang w:val="en-US" w:eastAsia="zh-CN" w:bidi="ar-SA"/>
        </w:rPr>
        <w:t>仍处于施工过程，项目效益还需在投入使用后进一步验证与前期可研报告的论证效果是否一致。</w:t>
      </w:r>
      <w:r>
        <w:rPr>
          <w:rFonts w:hint="eastAsia" w:ascii="仿宋_GB2312" w:hAnsi="Times New Roman" w:eastAsia="仿宋_GB2312" w:cs="Times New Roman"/>
          <w:sz w:val="24"/>
          <w:lang w:val="zh-CN"/>
        </w:rPr>
        <w:t>本绩效评价报告旨在对</w:t>
      </w:r>
      <w:r>
        <w:rPr>
          <w:rFonts w:hint="eastAsia" w:ascii="仿宋_GB2312" w:hAnsi="Times New Roman" w:eastAsia="仿宋_GB2312" w:cs="Times New Roman"/>
          <w:sz w:val="24"/>
          <w:lang w:val="en-US" w:eastAsia="zh-CN"/>
        </w:rPr>
        <w:t>2024年</w:t>
      </w:r>
      <w:r>
        <w:rPr>
          <w:rFonts w:hint="eastAsia" w:ascii="仿宋_GB2312" w:hAnsi="Times New Roman" w:eastAsia="仿宋_GB2312" w:cs="Times New Roman"/>
          <w:sz w:val="24"/>
          <w:lang w:val="zh-CN"/>
        </w:rPr>
        <w:t>石狮市</w:t>
      </w:r>
      <w:r>
        <w:rPr>
          <w:rFonts w:hint="eastAsia" w:ascii="仿宋_GB2312" w:cs="Times New Roman"/>
          <w:kern w:val="2"/>
          <w:sz w:val="24"/>
          <w:szCs w:val="24"/>
          <w:highlight w:val="none"/>
          <w:lang w:val="en-US" w:eastAsia="zh-CN" w:bidi="ar-SA"/>
        </w:rPr>
        <w:t>锦尚东店一级渔港工程项目</w:t>
      </w:r>
      <w:r>
        <w:rPr>
          <w:rFonts w:hint="eastAsia" w:ascii="仿宋_GB2312" w:hAnsi="Times New Roman" w:eastAsia="仿宋_GB2312" w:cs="Times New Roman"/>
          <w:sz w:val="24"/>
          <w:lang w:val="zh-CN"/>
        </w:rPr>
        <w:t>的实施效果进行综合评估，提供决策支持，为未来的项目管理和预算分配提供参考依据。报告中的数据和分析基于现有可获得的信息和文档，可能存在数据不全面或滞后的情况，这可能影响评价结果的准确性和时效性。鉴于数据来源和分析方法的局限，报告中的结论可能需要根据新的数据和情况适时调整。项目管理者应持续监控项目进展，并根据实际情况对策略进行优化。本报告供</w:t>
      </w:r>
      <w:r>
        <w:rPr>
          <w:rFonts w:hint="eastAsia" w:ascii="仿宋_GB2312" w:hAnsi="Times New Roman" w:eastAsia="仿宋_GB2312" w:cs="Times New Roman"/>
          <w:sz w:val="24"/>
        </w:rPr>
        <w:t>石狮市</w:t>
      </w:r>
      <w:r>
        <w:rPr>
          <w:rFonts w:hint="eastAsia" w:ascii="仿宋_GB2312" w:hAnsi="Times New Roman" w:eastAsia="仿宋_GB2312" w:cs="Times New Roman"/>
          <w:sz w:val="24"/>
          <w:lang w:val="en-US" w:eastAsia="zh-CN"/>
        </w:rPr>
        <w:t>主管部门</w:t>
      </w:r>
      <w:r>
        <w:rPr>
          <w:rFonts w:hint="eastAsia" w:ascii="仿宋_GB2312" w:hAnsi="Times New Roman" w:eastAsia="仿宋_GB2312" w:cs="Times New Roman"/>
          <w:sz w:val="24"/>
          <w:lang w:val="zh-CN"/>
        </w:rPr>
        <w:t>及相关部门在项目规划、执行和监控过程中使用。建议使用者结合项目实际情况，参考报告中的评价结果和建议，制定相应的改进措施。</w:t>
      </w:r>
    </w:p>
    <w:p w14:paraId="00EEE004">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38D4F475">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20A46AB6">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7920840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4076108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5768247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7E72E7EB">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6DA88479">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4F82EC8E">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12EAAE7C">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562A38A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021D2A68">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7C447430">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71EC1A6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08683CE3">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0CA9709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1B5FF58C">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p>
    <w:p w14:paraId="439977A3">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r>
        <w:rPr>
          <w:rFonts w:hint="eastAsia" w:ascii="仿宋" w:hAnsi="仿宋" w:eastAsia="仿宋" w:cs="宋体"/>
          <w:b/>
          <w:bCs/>
          <w:sz w:val="24"/>
        </w:rPr>
        <w:t>集大财经咨询（福州）有限公司</w:t>
      </w:r>
      <w:r>
        <w:rPr>
          <w:rFonts w:hint="eastAsia" w:ascii="仿宋" w:hAnsi="仿宋" w:eastAsia="仿宋" w:cs="宋体"/>
          <w:b/>
          <w:bCs/>
          <w:sz w:val="24"/>
          <w:lang w:val="en-US" w:eastAsia="zh-CN"/>
        </w:rPr>
        <w:t xml:space="preserve">              主评人签字：</w:t>
      </w:r>
    </w:p>
    <w:p w14:paraId="447BE851">
      <w:pPr>
        <w:keepNext w:val="0"/>
        <w:keepLines w:val="0"/>
        <w:pageBreakBefore w:val="0"/>
        <w:widowControl w:val="0"/>
        <w:kinsoku/>
        <w:wordWrap/>
        <w:overflowPunct/>
        <w:topLinePunct w:val="0"/>
        <w:autoSpaceDE/>
        <w:autoSpaceDN/>
        <w:bidi w:val="0"/>
        <w:adjustRightInd/>
        <w:snapToGrid/>
        <w:spacing w:line="240" w:lineRule="auto"/>
        <w:ind w:firstLine="1446" w:firstLineChars="600"/>
        <w:jc w:val="both"/>
        <w:textAlignment w:val="auto"/>
        <w:rPr>
          <w:rFonts w:hint="eastAsia" w:ascii="仿宋" w:hAnsi="仿宋" w:eastAsia="仿宋" w:cs="宋体"/>
          <w:b/>
          <w:bCs/>
          <w:sz w:val="24"/>
        </w:rPr>
      </w:pPr>
      <w:r>
        <w:rPr>
          <w:rFonts w:hint="eastAsia" w:ascii="仿宋" w:hAnsi="仿宋" w:eastAsia="仿宋" w:cs="宋体"/>
          <w:b/>
          <w:bCs/>
          <w:sz w:val="24"/>
          <w:lang w:val="en-US" w:eastAsia="zh-CN"/>
        </w:rPr>
        <w:t xml:space="preserve">中国 </w:t>
      </w:r>
      <w:r>
        <w:rPr>
          <w:rFonts w:hint="eastAsia" w:ascii="微软雅黑" w:hAnsi="微软雅黑" w:eastAsia="微软雅黑" w:cs="微软雅黑"/>
          <w:b/>
          <w:bCs/>
          <w:sz w:val="24"/>
          <w:lang w:val="en-US" w:eastAsia="zh-CN"/>
        </w:rPr>
        <w:t>•</w:t>
      </w:r>
      <w:r>
        <w:rPr>
          <w:rFonts w:hint="eastAsia" w:ascii="仿宋" w:hAnsi="仿宋" w:eastAsia="仿宋" w:cs="宋体"/>
          <w:b/>
          <w:bCs/>
          <w:sz w:val="24"/>
          <w:lang w:val="en-US" w:eastAsia="zh-CN"/>
        </w:rPr>
        <w:t xml:space="preserve"> 福州                  </w:t>
      </w:r>
    </w:p>
    <w:p w14:paraId="494E23AB">
      <w:pPr>
        <w:keepNext w:val="0"/>
        <w:keepLines w:val="0"/>
        <w:pageBreakBefore w:val="0"/>
        <w:widowControl w:val="0"/>
        <w:kinsoku/>
        <w:wordWrap/>
        <w:overflowPunct/>
        <w:topLinePunct w:val="0"/>
        <w:autoSpaceDE/>
        <w:autoSpaceDN/>
        <w:bidi w:val="0"/>
        <w:adjustRightInd/>
        <w:snapToGrid/>
        <w:spacing w:line="240" w:lineRule="auto"/>
        <w:ind w:firstLine="1446" w:firstLineChars="600"/>
        <w:jc w:val="right"/>
        <w:textAlignment w:val="auto"/>
        <w:rPr>
          <w:rFonts w:hint="eastAsia" w:ascii="仿宋" w:hAnsi="仿宋" w:eastAsia="仿宋" w:cs="宋体"/>
          <w:b/>
          <w:bCs/>
          <w:sz w:val="24"/>
        </w:rPr>
      </w:pPr>
      <w:r>
        <w:rPr>
          <w:rFonts w:hint="eastAsia" w:ascii="仿宋" w:hAnsi="仿宋" w:eastAsia="仿宋" w:cs="宋体"/>
          <w:b/>
          <w:bCs/>
          <w:sz w:val="24"/>
          <w:lang w:val="en-US" w:eastAsia="zh-CN"/>
        </w:rPr>
        <w:t xml:space="preserve">  二零二五</w:t>
      </w:r>
      <w:r>
        <w:rPr>
          <w:rFonts w:hint="eastAsia" w:ascii="仿宋" w:hAnsi="仿宋" w:eastAsia="仿宋" w:cs="宋体"/>
          <w:b/>
          <w:bCs/>
          <w:sz w:val="24"/>
        </w:rPr>
        <w:t>年</w:t>
      </w:r>
      <w:r>
        <w:rPr>
          <w:rFonts w:hint="eastAsia" w:ascii="仿宋" w:hAnsi="仿宋" w:eastAsia="仿宋" w:cs="宋体"/>
          <w:b/>
          <w:bCs/>
          <w:sz w:val="24"/>
          <w:lang w:val="en-US" w:eastAsia="zh-CN"/>
        </w:rPr>
        <w:t xml:space="preserve"> </w:t>
      </w:r>
      <w:r>
        <w:rPr>
          <w:rFonts w:hint="eastAsia" w:ascii="仿宋" w:hAnsi="仿宋" w:eastAsia="仿宋" w:cs="宋体"/>
          <w:b/>
          <w:bCs/>
          <w:sz w:val="24"/>
        </w:rPr>
        <w:t>月</w:t>
      </w:r>
      <w:r>
        <w:rPr>
          <w:rFonts w:hint="eastAsia" w:ascii="仿宋" w:hAnsi="仿宋" w:eastAsia="仿宋" w:cs="宋体"/>
          <w:b/>
          <w:bCs/>
          <w:sz w:val="24"/>
          <w:lang w:val="en-US" w:eastAsia="zh-CN"/>
        </w:rPr>
        <w:t xml:space="preserve">  </w:t>
      </w:r>
      <w:r>
        <w:rPr>
          <w:rFonts w:hint="eastAsia" w:ascii="仿宋" w:hAnsi="仿宋" w:eastAsia="仿宋" w:cs="宋体"/>
          <w:b/>
          <w:bCs/>
          <w:sz w:val="24"/>
        </w:rPr>
        <w:t>日</w:t>
      </w:r>
      <w:r>
        <w:rPr>
          <w:rFonts w:hint="eastAsia" w:ascii="仿宋" w:hAnsi="仿宋" w:eastAsia="仿宋" w:cs="宋体"/>
          <w:b/>
          <w:bCs/>
          <w:sz w:val="24"/>
          <w:lang w:val="en-US" w:eastAsia="zh-CN"/>
        </w:rPr>
        <w:t xml:space="preserve">     </w:t>
      </w:r>
    </w:p>
    <w:p w14:paraId="1DD3265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7B7C8BE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仿宋" w:hAnsi="仿宋" w:eastAsia="仿宋" w:cs="仿宋"/>
          <w:b/>
          <w:bCs/>
          <w:sz w:val="28"/>
          <w:szCs w:val="28"/>
          <w:lang w:val="en-US" w:eastAsia="zh-CN"/>
        </w:rPr>
      </w:pPr>
      <w:bookmarkStart w:id="23" w:name="_Toc25907"/>
      <w:r>
        <w:rPr>
          <w:rFonts w:hint="eastAsia" w:ascii="仿宋" w:hAnsi="仿宋" w:eastAsia="仿宋" w:cs="仿宋"/>
          <w:b/>
          <w:bCs/>
          <w:sz w:val="28"/>
          <w:szCs w:val="28"/>
          <w:lang w:val="en-US" w:eastAsia="zh-CN"/>
        </w:rPr>
        <w:t>附表  石狮市渔港建设项目资金(东店一级渔港)支出绩效评价指标表</w:t>
      </w:r>
      <w:bookmarkEnd w:id="23"/>
    </w:p>
    <w:tbl>
      <w:tblPr>
        <w:tblStyle w:val="12"/>
        <w:tblW w:w="918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5"/>
        <w:gridCol w:w="1392"/>
        <w:gridCol w:w="1704"/>
        <w:gridCol w:w="4776"/>
      </w:tblGrid>
      <w:tr w14:paraId="10E6C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blHeader/>
        </w:trPr>
        <w:tc>
          <w:tcPr>
            <w:tcW w:w="441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9EB1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评价指标</w:t>
            </w:r>
          </w:p>
        </w:tc>
        <w:tc>
          <w:tcPr>
            <w:tcW w:w="47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BA0A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评分标准</w:t>
            </w:r>
          </w:p>
        </w:tc>
      </w:tr>
      <w:tr w14:paraId="7C8E2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blHeader/>
        </w:trPr>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122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一级指标</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CB0D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二级指标</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8CB5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三级指标</w:t>
            </w:r>
          </w:p>
        </w:tc>
        <w:tc>
          <w:tcPr>
            <w:tcW w:w="47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E1954">
            <w:pPr>
              <w:jc w:val="center"/>
              <w:rPr>
                <w:rFonts w:hint="eastAsia" w:ascii="仿宋" w:hAnsi="仿宋" w:eastAsia="仿宋" w:cs="仿宋"/>
                <w:b/>
                <w:bCs/>
                <w:i w:val="0"/>
                <w:iCs w:val="0"/>
                <w:color w:val="000000"/>
                <w:sz w:val="24"/>
                <w:szCs w:val="24"/>
                <w:u w:val="none"/>
              </w:rPr>
            </w:pPr>
          </w:p>
        </w:tc>
      </w:tr>
      <w:tr w14:paraId="1A392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9E9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决策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（20分）</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F9F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项目立项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5B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立项依据充分性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A7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①项目立项是否符合国家法律法规、国民经济发展规划和相关政策；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②项目立项是否符合行业发展规划和政策要求；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③项目立项是否与部门职责范围相符，属于部门履职所需；</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④项目是否属于公共财政支持范围，是否符合中央、地方事权支出责任划分原则；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⑤项目是否与相关部门同类项目或部门内部相关项目重复。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以上每条要素占权重的20%，每有一条不符合，扣除对应权重分，扣完为止。</w:t>
            </w:r>
          </w:p>
        </w:tc>
      </w:tr>
      <w:tr w14:paraId="2874E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59510">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9F812">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E3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立项程序规范性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4C7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①项目是否按照规定的程序申请设立；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②审批文件、材料是否符合相关要求；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③事前是否已经过必要的可行性研究、专家论证、风险评估、绩效评估、集体决策。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以上每条要素占权重分的1/3，每有一条不符合，扣除对应权重分，扣完为止。</w:t>
            </w:r>
          </w:p>
        </w:tc>
      </w:tr>
      <w:tr w14:paraId="17F4F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1903C">
            <w:pPr>
              <w:jc w:val="center"/>
              <w:rPr>
                <w:rFonts w:hint="eastAsia" w:ascii="仿宋" w:hAnsi="仿宋" w:eastAsia="仿宋" w:cs="仿宋"/>
                <w:i w:val="0"/>
                <w:iCs w:val="0"/>
                <w:color w:val="000000"/>
                <w:sz w:val="24"/>
                <w:szCs w:val="24"/>
                <w:u w:val="none"/>
              </w:rPr>
            </w:pP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900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绩效目标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89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绩效目标合理性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536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①项目是否有绩效目标；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②项目绩效目标与实际工作内容是否具有相关性；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③项目预期产出效益和效果是否符合正常的业绩水平；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④是否与预算确定的项目投资额或资金量相匹配。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以上每条要素各占权重的25%，每有一条不符合，扣除对应的权重分，扣完为止。</w:t>
            </w:r>
          </w:p>
        </w:tc>
      </w:tr>
      <w:tr w14:paraId="6E1E8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18982">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C6A3B">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95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绩效指标明确性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F4C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①是否将项目绩效目标细化分解为具体的绩效指标；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②是否通过清晰、可衡量的指标值予以体现；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③是否与项目目标任务数或计划数相对应。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以上每条要素各占权重的1/3，每有一条不符合，扣除对应的权重分，扣完为止。</w:t>
            </w:r>
          </w:p>
        </w:tc>
      </w:tr>
      <w:tr w14:paraId="1DE6A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33D31">
            <w:pPr>
              <w:jc w:val="center"/>
              <w:rPr>
                <w:rFonts w:hint="eastAsia" w:ascii="仿宋" w:hAnsi="仿宋" w:eastAsia="仿宋" w:cs="仿宋"/>
                <w:i w:val="0"/>
                <w:iCs w:val="0"/>
                <w:color w:val="000000"/>
                <w:sz w:val="24"/>
                <w:szCs w:val="24"/>
                <w:u w:val="none"/>
              </w:rPr>
            </w:pP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971F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资金投入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15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预算编制科学性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61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①预算编制是否经过科学论证；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②预算内容与项目内容是否匹配；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③预算额度测算依据是否充分，是否按照标准编制；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④预算确定的项目投资额或资金量是否与工作任务相匹配。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以上每条要素各占权重的25%，每有一条不符合，扣除对应的权重分，扣完为止。</w:t>
            </w:r>
          </w:p>
        </w:tc>
      </w:tr>
      <w:tr w14:paraId="7A3BA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53B8C">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525BA">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58A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资金分配合理性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F53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①预算资金分配依据是否充分；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②资金分配额度是否合理，与项目单位或地方实际是否相适应。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以上每条要素各占权重的50%，每有一条不符合，扣除对应的权重分，扣完为止</w:t>
            </w:r>
          </w:p>
        </w:tc>
      </w:tr>
      <w:tr w14:paraId="644E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9B6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过程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（20分）</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876DF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9E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资金到位率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56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资金到位率=（实际到位资金/计划使用资金）×100%，资金到位率×指标满分值（4分）</w:t>
            </w:r>
          </w:p>
        </w:tc>
      </w:tr>
      <w:tr w14:paraId="31F18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EF6C2">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54F7A">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2D8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资金使用合规性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CE7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①符合国家财经法规和财务管理制度以及有关专项资金管理办法的规定；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②资金的拨付有完整的审批程序和手续；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③符合项目预算批复或合同规定的用途；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④不存在截留、挤占、挪用、虚列支出等情况。</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以上每条要素各占权重的25%，每有一条不符合，扣除对应的权重分，扣完为止。</w:t>
            </w:r>
          </w:p>
        </w:tc>
      </w:tr>
      <w:tr w14:paraId="7424B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1A068">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CBB73">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355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预算执行率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B3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预算执行率=（实际使用资金/实际到位资金）×100%。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预算执行率×指标满分值（4分）</w:t>
            </w:r>
          </w:p>
        </w:tc>
      </w:tr>
      <w:tr w14:paraId="349D0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54522">
            <w:pPr>
              <w:jc w:val="center"/>
              <w:rPr>
                <w:rFonts w:hint="eastAsia" w:ascii="仿宋" w:hAnsi="仿宋" w:eastAsia="仿宋" w:cs="仿宋"/>
                <w:i w:val="0"/>
                <w:iCs w:val="0"/>
                <w:color w:val="000000"/>
                <w:sz w:val="24"/>
                <w:szCs w:val="24"/>
                <w:u w:val="none"/>
              </w:rPr>
            </w:pP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A3B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组织实施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B8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管理制度健全性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F9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①制定或具有相应的财务管理制度；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②制定或具有相应的业务管理制度；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③相关制度可以有效执行；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④财务管理制度、业务管理制度合法、合规、完整。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以上每条要素各占权重的25%，每有一条不符合，扣除对应的权重分，扣完为止。</w:t>
            </w:r>
          </w:p>
        </w:tc>
      </w:tr>
      <w:tr w14:paraId="2AE69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828F9">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2C309">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73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制度执行有效性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E9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①遵守相关法律法规和相关管理规定；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②项目调整及支出调整手续完备；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③项目合同书、验收报告、技术鉴定等资料齐全并及时归档；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④项目实施的人员条件、场地设备、信息支撑等落实到位。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以上每条要素各占权重的25%，每有一条不符合，扣除对应的权重分，扣完为止。</w:t>
            </w:r>
          </w:p>
        </w:tc>
      </w:tr>
      <w:tr w14:paraId="796AD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6972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产出（30分）</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20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产出数量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E1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完工工程量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11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实际完工工程量/项目工程量×100%×8分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完工工程量：项目工程进度表完工的工程量。</w:t>
            </w:r>
          </w:p>
        </w:tc>
      </w:tr>
      <w:tr w14:paraId="21E6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3A3E">
            <w:pPr>
              <w:jc w:val="center"/>
              <w:rPr>
                <w:rFonts w:hint="eastAsia" w:ascii="仿宋" w:hAnsi="仿宋" w:eastAsia="仿宋" w:cs="仿宋"/>
                <w:i w:val="0"/>
                <w:iCs w:val="0"/>
                <w:color w:val="000000"/>
                <w:sz w:val="24"/>
                <w:szCs w:val="24"/>
                <w:u w:val="none"/>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6E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产出质量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B036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工程建设原材料质量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4E6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采购的建设材料标准与要求相符，质量检测合格率，发现不合格一处扣一分</w:t>
            </w:r>
          </w:p>
        </w:tc>
      </w:tr>
      <w:tr w14:paraId="4D0A8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29486">
            <w:pPr>
              <w:jc w:val="center"/>
              <w:rPr>
                <w:rFonts w:hint="eastAsia" w:ascii="仿宋" w:hAnsi="仿宋" w:eastAsia="仿宋" w:cs="仿宋"/>
                <w:i w:val="0"/>
                <w:iCs w:val="0"/>
                <w:color w:val="000000"/>
                <w:sz w:val="24"/>
                <w:szCs w:val="24"/>
                <w:u w:val="none"/>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7E4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产出时效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1BC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计划工期履约完成率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33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（1-延迟工期/ 原计划总工期 ）×100%×10分</w:t>
            </w:r>
          </w:p>
        </w:tc>
      </w:tr>
      <w:tr w14:paraId="3C4F6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33A2">
            <w:pPr>
              <w:jc w:val="center"/>
              <w:rPr>
                <w:rFonts w:hint="eastAsia" w:ascii="仿宋" w:hAnsi="仿宋" w:eastAsia="仿宋" w:cs="仿宋"/>
                <w:i w:val="0"/>
                <w:iCs w:val="0"/>
                <w:color w:val="000000"/>
                <w:sz w:val="24"/>
                <w:szCs w:val="24"/>
                <w:u w:val="none"/>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81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产出成本</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02C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成本节约率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E49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成本节约率=[（预算价-合同价）/预算价]×100%。成本节约率≥15%得6分，15%＞成本节约率≥10%得4分，10%＞成本节约率≥5%得2分，5%＞成本节约率≥0%得1分，成本节约率为负数不得分。</w:t>
            </w:r>
          </w:p>
        </w:tc>
      </w:tr>
      <w:tr w14:paraId="458E7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AC8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效果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（30分）</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842B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社会效益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CB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解决邻近项目的用海矛盾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4F5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通过项目工程建设，可解决邻近项目的用海矛盾问题可得满分，项目未能解决该问题不得分。</w:t>
            </w:r>
          </w:p>
        </w:tc>
      </w:tr>
      <w:tr w14:paraId="3C5C1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1E71B">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594E3">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4C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保护渔民生命财产安全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2BD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通过项目工程建设，增加避风塘面积，保护渔民生命财产安全可得满分，项目未能保护渔民生命财产安全不得分。</w:t>
            </w:r>
          </w:p>
        </w:tc>
      </w:tr>
      <w:tr w14:paraId="6778B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EF61E">
            <w:pPr>
              <w:jc w:val="center"/>
              <w:rPr>
                <w:rFonts w:hint="eastAsia" w:ascii="仿宋" w:hAnsi="仿宋" w:eastAsia="仿宋" w:cs="仿宋"/>
                <w:i w:val="0"/>
                <w:iCs w:val="0"/>
                <w:color w:val="000000"/>
                <w:sz w:val="24"/>
                <w:szCs w:val="24"/>
                <w:u w:val="none"/>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42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生态效益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9A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近海生态环境监测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48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通过项目工程建设期间，是否有进行环境监测措施，受到一次环境污染处罚或监测不合格扣一分</w:t>
            </w:r>
          </w:p>
        </w:tc>
      </w:tr>
      <w:tr w14:paraId="04A78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66392">
            <w:pPr>
              <w:jc w:val="center"/>
              <w:rPr>
                <w:rFonts w:hint="eastAsia" w:ascii="仿宋" w:hAnsi="仿宋" w:eastAsia="仿宋" w:cs="仿宋"/>
                <w:i w:val="0"/>
                <w:iCs w:val="0"/>
                <w:color w:val="000000"/>
                <w:sz w:val="24"/>
                <w:szCs w:val="24"/>
                <w:u w:val="none"/>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62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可持续影响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69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沿海防风防浪效果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D8F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通过项目工程建设，可提升沿海地区防风防浪效果，提升沿海地区防风防浪效果可得满分，项目未能解决该问题不得分。</w:t>
            </w:r>
          </w:p>
        </w:tc>
      </w:tr>
      <w:tr w14:paraId="24CA9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B7709">
            <w:pPr>
              <w:jc w:val="center"/>
              <w:rPr>
                <w:rFonts w:hint="eastAsia" w:ascii="仿宋" w:hAnsi="仿宋" w:eastAsia="仿宋" w:cs="仿宋"/>
                <w:i w:val="0"/>
                <w:iCs w:val="0"/>
                <w:color w:val="000000"/>
                <w:sz w:val="24"/>
                <w:szCs w:val="24"/>
                <w:u w:val="none"/>
              </w:rPr>
            </w:pP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47BF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社会公众或服务对象满意度（10分）</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A7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相关部门满意度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9F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工程施工过程是否受到环保、建设等相关部门的处罚，收到一项整改或处罚扣1分，扣完为止。</w:t>
            </w:r>
          </w:p>
        </w:tc>
      </w:tr>
      <w:tr w14:paraId="69B56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1ED8F">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01573">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14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安全生产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F3F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工程施工过程是否存在安全生产事故，发生一起事故扣1分，扣完为止。</w:t>
            </w:r>
          </w:p>
        </w:tc>
      </w:tr>
      <w:tr w14:paraId="11189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904A2">
            <w:pPr>
              <w:jc w:val="center"/>
              <w:rPr>
                <w:rFonts w:hint="eastAsia" w:ascii="仿宋" w:hAnsi="仿宋" w:eastAsia="仿宋" w:cs="仿宋"/>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9E05E">
            <w:pPr>
              <w:jc w:val="center"/>
              <w:rPr>
                <w:rFonts w:hint="eastAsia" w:ascii="仿宋" w:hAnsi="仿宋" w:eastAsia="仿宋" w:cs="仿宋"/>
                <w:i w:val="0"/>
                <w:iCs w:val="0"/>
                <w:color w:val="000000"/>
                <w:sz w:val="24"/>
                <w:szCs w:val="24"/>
                <w:u w:val="none"/>
              </w:rPr>
            </w:pP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E5F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群众满意度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（4分）</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9E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通过调查问卷收集群众满意度数据，对渔港建设项目工程满意度≥90%得满分，满意度＜90%每降低5%扣1分，不足5%，按比例扣分，扣完为止。</w:t>
            </w:r>
          </w:p>
        </w:tc>
      </w:tr>
    </w:tbl>
    <w:p w14:paraId="4A81B580">
      <w:pPr>
        <w:pStyle w:val="4"/>
        <w:numPr>
          <w:ilvl w:val="0"/>
          <w:numId w:val="0"/>
        </w:numPr>
        <w:rPr>
          <w:rFonts w:hint="default"/>
          <w:lang w:val="en-US" w:eastAsia="zh-CN"/>
        </w:rPr>
      </w:pPr>
    </w:p>
    <w:p w14:paraId="75C4EB75">
      <w:r>
        <w:br w:type="page"/>
      </w:r>
    </w:p>
    <w:p w14:paraId="38958AD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default" w:ascii="仿宋" w:hAnsi="仿宋" w:eastAsia="仿宋" w:cs="仿宋"/>
          <w:b/>
          <w:bCs/>
          <w:sz w:val="28"/>
          <w:szCs w:val="28"/>
          <w:lang w:val="en-US" w:eastAsia="zh-CN"/>
        </w:rPr>
      </w:pPr>
      <w:bookmarkStart w:id="24" w:name="_Toc885"/>
      <w:r>
        <w:rPr>
          <w:rFonts w:hint="eastAsia" w:ascii="仿宋" w:hAnsi="仿宋" w:eastAsia="仿宋" w:cs="仿宋"/>
          <w:b/>
          <w:bCs/>
          <w:sz w:val="28"/>
          <w:szCs w:val="28"/>
          <w:lang w:val="en-US" w:eastAsia="zh-CN"/>
        </w:rPr>
        <w:t>附录  石狮市锦尚东店一级渔港工程项目满意度问卷调查分析</w:t>
      </w:r>
      <w:bookmarkEnd w:id="24"/>
    </w:p>
    <w:p w14:paraId="68B41295">
      <w:pPr>
        <w:rPr>
          <w:rFonts w:hint="eastAsia" w:ascii="仿宋" w:hAnsi="仿宋" w:eastAsia="仿宋" w:cs="仿宋"/>
          <w:b w:val="0"/>
          <w:color w:val="000000"/>
          <w:sz w:val="24"/>
          <w:szCs w:val="24"/>
        </w:rPr>
      </w:pPr>
    </w:p>
    <w:p w14:paraId="7C2FB610">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第1题   您从事渔业生产的年限      </w:t>
      </w:r>
      <w:r>
        <w:rPr>
          <w:rFonts w:hint="eastAsia" w:ascii="仿宋" w:hAnsi="仿宋" w:eastAsia="仿宋" w:cs="仿宋"/>
          <w:b w:val="0"/>
          <w:color w:val="0066FF"/>
          <w:sz w:val="24"/>
          <w:szCs w:val="24"/>
        </w:rPr>
        <w:t>[单选题]</w:t>
      </w:r>
    </w:p>
    <w:p w14:paraId="5390A635">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76852D1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5E517064">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625868CF">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1E749E92">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638A156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15BDD47D">
            <w:pPr>
              <w:jc w:val="left"/>
              <w:rPr>
                <w:rFonts w:hint="eastAsia" w:ascii="仿宋" w:hAnsi="仿宋" w:eastAsia="仿宋" w:cs="仿宋"/>
                <w:sz w:val="24"/>
                <w:szCs w:val="24"/>
              </w:rPr>
            </w:pPr>
            <w:r>
              <w:rPr>
                <w:rFonts w:hint="eastAsia" w:ascii="仿宋" w:hAnsi="仿宋" w:eastAsia="仿宋" w:cs="仿宋"/>
                <w:sz w:val="24"/>
                <w:szCs w:val="24"/>
              </w:rPr>
              <w:t>5 年以下</w:t>
            </w:r>
          </w:p>
        </w:tc>
        <w:tc>
          <w:tcPr>
            <w:tcW w:w="1000" w:type="dxa"/>
            <w:shd w:val="clear" w:color="auto" w:fill="FFFFFF"/>
            <w:vAlign w:val="center"/>
          </w:tcPr>
          <w:p w14:paraId="1984A2D3">
            <w:pPr>
              <w:jc w:val="center"/>
              <w:rPr>
                <w:rFonts w:hint="eastAsia" w:ascii="仿宋" w:hAnsi="仿宋" w:eastAsia="仿宋" w:cs="仿宋"/>
                <w:sz w:val="24"/>
                <w:szCs w:val="24"/>
              </w:rPr>
            </w:pPr>
            <w:r>
              <w:rPr>
                <w:rFonts w:hint="eastAsia" w:ascii="仿宋" w:hAnsi="仿宋" w:eastAsia="仿宋" w:cs="仿宋"/>
                <w:sz w:val="24"/>
                <w:szCs w:val="24"/>
              </w:rPr>
              <w:t>33</w:t>
            </w:r>
          </w:p>
        </w:tc>
        <w:tc>
          <w:tcPr>
            <w:tcW w:w="3106" w:type="dxa"/>
            <w:shd w:val="clear" w:color="auto" w:fill="FFFFFF"/>
            <w:vAlign w:val="center"/>
          </w:tcPr>
          <w:p w14:paraId="645C3EC0">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61950" cy="114300"/>
                  <wp:effectExtent l="0" t="0" r="3810" b="762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362001"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990600" cy="114300"/>
                  <wp:effectExtent l="0" t="0" r="0" b="762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8"/>
                          <a:stretch>
                            <a:fillRect/>
                          </a:stretch>
                        </pic:blipFill>
                        <pic:spPr>
                          <a:xfrm>
                            <a:off x="0" y="0"/>
                            <a:ext cx="990738" cy="114316"/>
                          </a:xfrm>
                          <a:prstGeom prst="rect">
                            <a:avLst/>
                          </a:prstGeom>
                        </pic:spPr>
                      </pic:pic>
                    </a:graphicData>
                  </a:graphic>
                </wp:inline>
              </w:drawing>
            </w:r>
            <w:r>
              <w:rPr>
                <w:rFonts w:hint="eastAsia" w:ascii="仿宋" w:hAnsi="仿宋" w:eastAsia="仿宋" w:cs="仿宋"/>
                <w:sz w:val="24"/>
                <w:szCs w:val="24"/>
              </w:rPr>
              <w:t>27.27%</w:t>
            </w:r>
          </w:p>
        </w:tc>
      </w:tr>
      <w:tr w14:paraId="2D868C7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121F706C">
            <w:pPr>
              <w:jc w:val="left"/>
              <w:rPr>
                <w:rFonts w:hint="eastAsia" w:ascii="仿宋" w:hAnsi="仿宋" w:eastAsia="仿宋" w:cs="仿宋"/>
                <w:sz w:val="24"/>
                <w:szCs w:val="24"/>
              </w:rPr>
            </w:pPr>
            <w:r>
              <w:rPr>
                <w:rFonts w:hint="eastAsia" w:ascii="仿宋" w:hAnsi="仿宋" w:eastAsia="仿宋" w:cs="仿宋"/>
                <w:sz w:val="24"/>
                <w:szCs w:val="24"/>
              </w:rPr>
              <w:t>5 - 10 年</w:t>
            </w:r>
          </w:p>
        </w:tc>
        <w:tc>
          <w:tcPr>
            <w:tcW w:w="1000" w:type="dxa"/>
            <w:shd w:val="clear" w:color="auto" w:fill="FAFAFA"/>
            <w:vAlign w:val="center"/>
          </w:tcPr>
          <w:p w14:paraId="4EC24241">
            <w:pPr>
              <w:jc w:val="center"/>
              <w:rPr>
                <w:rFonts w:hint="eastAsia" w:ascii="仿宋" w:hAnsi="仿宋" w:eastAsia="仿宋" w:cs="仿宋"/>
                <w:sz w:val="24"/>
                <w:szCs w:val="24"/>
              </w:rPr>
            </w:pPr>
            <w:r>
              <w:rPr>
                <w:rFonts w:hint="eastAsia" w:ascii="仿宋" w:hAnsi="仿宋" w:eastAsia="仿宋" w:cs="仿宋"/>
                <w:sz w:val="24"/>
                <w:szCs w:val="24"/>
              </w:rPr>
              <w:t>16</w:t>
            </w:r>
          </w:p>
        </w:tc>
        <w:tc>
          <w:tcPr>
            <w:tcW w:w="3106" w:type="dxa"/>
            <w:shd w:val="clear" w:color="auto" w:fill="FAFAFA"/>
            <w:vAlign w:val="center"/>
          </w:tcPr>
          <w:p w14:paraId="26978E29">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71450" cy="114300"/>
                  <wp:effectExtent l="0" t="0" r="11430" b="762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171474"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181100" cy="114300"/>
                  <wp:effectExtent l="0" t="0" r="7620" b="762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0"/>
                          <a:stretch>
                            <a:fillRect/>
                          </a:stretch>
                        </pic:blipFill>
                        <pic:spPr>
                          <a:xfrm>
                            <a:off x="0" y="0"/>
                            <a:ext cx="1181265" cy="114316"/>
                          </a:xfrm>
                          <a:prstGeom prst="rect">
                            <a:avLst/>
                          </a:prstGeom>
                        </pic:spPr>
                      </pic:pic>
                    </a:graphicData>
                  </a:graphic>
                </wp:inline>
              </w:drawing>
            </w:r>
            <w:r>
              <w:rPr>
                <w:rFonts w:hint="eastAsia" w:ascii="仿宋" w:hAnsi="仿宋" w:eastAsia="仿宋" w:cs="仿宋"/>
                <w:sz w:val="24"/>
                <w:szCs w:val="24"/>
              </w:rPr>
              <w:t>13.22%</w:t>
            </w:r>
          </w:p>
        </w:tc>
      </w:tr>
      <w:tr w14:paraId="42790A2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B75A860">
            <w:pPr>
              <w:jc w:val="left"/>
              <w:rPr>
                <w:rFonts w:hint="eastAsia" w:ascii="仿宋" w:hAnsi="仿宋" w:eastAsia="仿宋" w:cs="仿宋"/>
                <w:sz w:val="24"/>
                <w:szCs w:val="24"/>
              </w:rPr>
            </w:pPr>
            <w:r>
              <w:rPr>
                <w:rFonts w:hint="eastAsia" w:ascii="仿宋" w:hAnsi="仿宋" w:eastAsia="仿宋" w:cs="仿宋"/>
                <w:sz w:val="24"/>
                <w:szCs w:val="24"/>
              </w:rPr>
              <w:t>10 - 20 年</w:t>
            </w:r>
          </w:p>
        </w:tc>
        <w:tc>
          <w:tcPr>
            <w:tcW w:w="1000" w:type="dxa"/>
            <w:shd w:val="clear" w:color="auto" w:fill="FFFFFF"/>
            <w:vAlign w:val="center"/>
          </w:tcPr>
          <w:p w14:paraId="3AD7A8C1">
            <w:pPr>
              <w:jc w:val="center"/>
              <w:rPr>
                <w:rFonts w:hint="eastAsia" w:ascii="仿宋" w:hAnsi="仿宋" w:eastAsia="仿宋" w:cs="仿宋"/>
                <w:sz w:val="24"/>
                <w:szCs w:val="24"/>
              </w:rPr>
            </w:pPr>
            <w:r>
              <w:rPr>
                <w:rFonts w:hint="eastAsia" w:ascii="仿宋" w:hAnsi="仿宋" w:eastAsia="仿宋" w:cs="仿宋"/>
                <w:sz w:val="24"/>
                <w:szCs w:val="24"/>
              </w:rPr>
              <w:t>40</w:t>
            </w:r>
          </w:p>
        </w:tc>
        <w:tc>
          <w:tcPr>
            <w:tcW w:w="3106" w:type="dxa"/>
            <w:shd w:val="clear" w:color="auto" w:fill="FFFFFF"/>
            <w:vAlign w:val="center"/>
          </w:tcPr>
          <w:p w14:paraId="1265FF71">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38150" cy="114300"/>
                  <wp:effectExtent l="0" t="0" r="3810" b="762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438211"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914400" cy="114300"/>
                  <wp:effectExtent l="0" t="0" r="0" b="762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914528" cy="114316"/>
                          </a:xfrm>
                          <a:prstGeom prst="rect">
                            <a:avLst/>
                          </a:prstGeom>
                        </pic:spPr>
                      </pic:pic>
                    </a:graphicData>
                  </a:graphic>
                </wp:inline>
              </w:drawing>
            </w:r>
            <w:r>
              <w:rPr>
                <w:rFonts w:hint="eastAsia" w:ascii="仿宋" w:hAnsi="仿宋" w:eastAsia="仿宋" w:cs="仿宋"/>
                <w:sz w:val="24"/>
                <w:szCs w:val="24"/>
              </w:rPr>
              <w:t>33.06%</w:t>
            </w:r>
          </w:p>
        </w:tc>
      </w:tr>
      <w:tr w14:paraId="7B72773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79A0794">
            <w:pPr>
              <w:jc w:val="left"/>
              <w:rPr>
                <w:rFonts w:hint="eastAsia" w:ascii="仿宋" w:hAnsi="仿宋" w:eastAsia="仿宋" w:cs="仿宋"/>
                <w:sz w:val="24"/>
                <w:szCs w:val="24"/>
              </w:rPr>
            </w:pPr>
            <w:r>
              <w:rPr>
                <w:rFonts w:hint="eastAsia" w:ascii="仿宋" w:hAnsi="仿宋" w:eastAsia="仿宋" w:cs="仿宋"/>
                <w:sz w:val="24"/>
                <w:szCs w:val="24"/>
              </w:rPr>
              <w:t>20 年以上</w:t>
            </w:r>
          </w:p>
        </w:tc>
        <w:tc>
          <w:tcPr>
            <w:tcW w:w="1000" w:type="dxa"/>
            <w:shd w:val="clear" w:color="auto" w:fill="FAFAFA"/>
            <w:vAlign w:val="center"/>
          </w:tcPr>
          <w:p w14:paraId="155E625D">
            <w:pPr>
              <w:jc w:val="center"/>
              <w:rPr>
                <w:rFonts w:hint="eastAsia" w:ascii="仿宋" w:hAnsi="仿宋" w:eastAsia="仿宋" w:cs="仿宋"/>
                <w:sz w:val="24"/>
                <w:szCs w:val="24"/>
              </w:rPr>
            </w:pPr>
            <w:r>
              <w:rPr>
                <w:rFonts w:hint="eastAsia" w:ascii="仿宋" w:hAnsi="仿宋" w:eastAsia="仿宋" w:cs="仿宋"/>
                <w:sz w:val="24"/>
                <w:szCs w:val="24"/>
              </w:rPr>
              <w:t>32</w:t>
            </w:r>
          </w:p>
        </w:tc>
        <w:tc>
          <w:tcPr>
            <w:tcW w:w="3106" w:type="dxa"/>
            <w:shd w:val="clear" w:color="auto" w:fill="FAFAFA"/>
            <w:vAlign w:val="center"/>
          </w:tcPr>
          <w:p w14:paraId="17E83CC2">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52425" cy="114300"/>
                  <wp:effectExtent l="0" t="0" r="13335" b="762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52474"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000125" cy="114300"/>
                  <wp:effectExtent l="0" t="0" r="5715" b="762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1000265" cy="114316"/>
                          </a:xfrm>
                          <a:prstGeom prst="rect">
                            <a:avLst/>
                          </a:prstGeom>
                        </pic:spPr>
                      </pic:pic>
                    </a:graphicData>
                  </a:graphic>
                </wp:inline>
              </w:drawing>
            </w:r>
            <w:r>
              <w:rPr>
                <w:rFonts w:hint="eastAsia" w:ascii="仿宋" w:hAnsi="仿宋" w:eastAsia="仿宋" w:cs="仿宋"/>
                <w:sz w:val="24"/>
                <w:szCs w:val="24"/>
              </w:rPr>
              <w:t>26.45%</w:t>
            </w:r>
          </w:p>
        </w:tc>
      </w:tr>
      <w:tr w14:paraId="1EE3F36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397F7303">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62BCF42F">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2B0DDD89">
            <w:pPr>
              <w:jc w:val="left"/>
              <w:rPr>
                <w:rFonts w:hint="eastAsia" w:ascii="仿宋" w:hAnsi="仿宋" w:eastAsia="仿宋" w:cs="仿宋"/>
                <w:sz w:val="24"/>
                <w:szCs w:val="24"/>
              </w:rPr>
            </w:pPr>
          </w:p>
        </w:tc>
      </w:tr>
    </w:tbl>
    <w:p w14:paraId="52887A7F">
      <w:pPr>
        <w:rPr>
          <w:rFonts w:hint="eastAsia" w:ascii="仿宋" w:hAnsi="仿宋" w:eastAsia="仿宋" w:cs="仿宋"/>
          <w:sz w:val="24"/>
          <w:szCs w:val="24"/>
        </w:rPr>
      </w:pPr>
    </w:p>
    <w:p w14:paraId="5F31C105">
      <w:pPr>
        <w:rPr>
          <w:rFonts w:hint="eastAsia" w:ascii="仿宋" w:hAnsi="仿宋" w:eastAsia="仿宋" w:cs="仿宋"/>
          <w:sz w:val="24"/>
          <w:szCs w:val="24"/>
        </w:rPr>
      </w:pPr>
    </w:p>
    <w:p w14:paraId="06B372A6">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第2题   您日常使用的渔船马力是？      </w:t>
      </w:r>
      <w:r>
        <w:rPr>
          <w:rFonts w:hint="eastAsia" w:ascii="仿宋" w:hAnsi="仿宋" w:eastAsia="仿宋" w:cs="仿宋"/>
          <w:b w:val="0"/>
          <w:color w:val="0066FF"/>
          <w:sz w:val="24"/>
          <w:szCs w:val="24"/>
        </w:rPr>
        <w:t>[单选题]</w:t>
      </w:r>
    </w:p>
    <w:p w14:paraId="41143F94">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09CC13C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26DCCCCF">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7B3D3380">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255F4772">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1049979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A224265">
            <w:pPr>
              <w:jc w:val="left"/>
              <w:rPr>
                <w:rFonts w:hint="eastAsia" w:ascii="仿宋" w:hAnsi="仿宋" w:eastAsia="仿宋" w:cs="仿宋"/>
                <w:sz w:val="24"/>
                <w:szCs w:val="24"/>
              </w:rPr>
            </w:pPr>
            <w:r>
              <w:rPr>
                <w:rFonts w:hint="eastAsia" w:ascii="仿宋" w:hAnsi="仿宋" w:eastAsia="仿宋" w:cs="仿宋"/>
                <w:sz w:val="24"/>
                <w:szCs w:val="24"/>
              </w:rPr>
              <w:t>60HP 以下</w:t>
            </w:r>
          </w:p>
        </w:tc>
        <w:tc>
          <w:tcPr>
            <w:tcW w:w="1000" w:type="dxa"/>
            <w:shd w:val="clear" w:color="auto" w:fill="FFFFFF"/>
            <w:vAlign w:val="center"/>
          </w:tcPr>
          <w:p w14:paraId="1B7F7AD8">
            <w:pPr>
              <w:jc w:val="center"/>
              <w:rPr>
                <w:rFonts w:hint="eastAsia" w:ascii="仿宋" w:hAnsi="仿宋" w:eastAsia="仿宋" w:cs="仿宋"/>
                <w:sz w:val="24"/>
                <w:szCs w:val="24"/>
              </w:rPr>
            </w:pPr>
            <w:r>
              <w:rPr>
                <w:rFonts w:hint="eastAsia" w:ascii="仿宋" w:hAnsi="仿宋" w:eastAsia="仿宋" w:cs="仿宋"/>
                <w:sz w:val="24"/>
                <w:szCs w:val="24"/>
              </w:rPr>
              <w:t>34</w:t>
            </w:r>
          </w:p>
        </w:tc>
        <w:tc>
          <w:tcPr>
            <w:tcW w:w="3106" w:type="dxa"/>
            <w:shd w:val="clear" w:color="auto" w:fill="FFFFFF"/>
            <w:vAlign w:val="center"/>
          </w:tcPr>
          <w:p w14:paraId="5E1F25BA">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71475" cy="114300"/>
                  <wp:effectExtent l="0" t="0" r="9525" b="762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371527"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981075" cy="114300"/>
                  <wp:effectExtent l="0" t="0" r="9525" b="762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981212" cy="114316"/>
                          </a:xfrm>
                          <a:prstGeom prst="rect">
                            <a:avLst/>
                          </a:prstGeom>
                        </pic:spPr>
                      </pic:pic>
                    </a:graphicData>
                  </a:graphic>
                </wp:inline>
              </w:drawing>
            </w:r>
            <w:r>
              <w:rPr>
                <w:rFonts w:hint="eastAsia" w:ascii="仿宋" w:hAnsi="仿宋" w:eastAsia="仿宋" w:cs="仿宋"/>
                <w:sz w:val="24"/>
                <w:szCs w:val="24"/>
              </w:rPr>
              <w:t>28.1%</w:t>
            </w:r>
          </w:p>
        </w:tc>
      </w:tr>
      <w:tr w14:paraId="07DC587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56D88B1">
            <w:pPr>
              <w:jc w:val="left"/>
              <w:rPr>
                <w:rFonts w:hint="eastAsia" w:ascii="仿宋" w:hAnsi="仿宋" w:eastAsia="仿宋" w:cs="仿宋"/>
                <w:sz w:val="24"/>
                <w:szCs w:val="24"/>
              </w:rPr>
            </w:pPr>
            <w:r>
              <w:rPr>
                <w:rFonts w:hint="eastAsia" w:ascii="仿宋" w:hAnsi="仿宋" w:eastAsia="仿宋" w:cs="仿宋"/>
                <w:sz w:val="24"/>
                <w:szCs w:val="24"/>
              </w:rPr>
              <w:t xml:space="preserve">60HP~200HP </w:t>
            </w:r>
          </w:p>
        </w:tc>
        <w:tc>
          <w:tcPr>
            <w:tcW w:w="1000" w:type="dxa"/>
            <w:shd w:val="clear" w:color="auto" w:fill="FAFAFA"/>
            <w:vAlign w:val="center"/>
          </w:tcPr>
          <w:p w14:paraId="48E10A89">
            <w:pPr>
              <w:jc w:val="center"/>
              <w:rPr>
                <w:rFonts w:hint="eastAsia" w:ascii="仿宋" w:hAnsi="仿宋" w:eastAsia="仿宋" w:cs="仿宋"/>
                <w:sz w:val="24"/>
                <w:szCs w:val="24"/>
              </w:rPr>
            </w:pPr>
            <w:r>
              <w:rPr>
                <w:rFonts w:hint="eastAsia" w:ascii="仿宋" w:hAnsi="仿宋" w:eastAsia="仿宋" w:cs="仿宋"/>
                <w:sz w:val="24"/>
                <w:szCs w:val="24"/>
              </w:rPr>
              <w:t>49</w:t>
            </w:r>
          </w:p>
        </w:tc>
        <w:tc>
          <w:tcPr>
            <w:tcW w:w="3106" w:type="dxa"/>
            <w:shd w:val="clear" w:color="auto" w:fill="FAFAFA"/>
            <w:vAlign w:val="center"/>
          </w:tcPr>
          <w:p w14:paraId="0DACD9C8">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542925" cy="114300"/>
                  <wp:effectExtent l="0" t="0" r="5715" b="762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543001"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809625" cy="114300"/>
                  <wp:effectExtent l="0" t="0" r="13335" b="762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8"/>
                          <a:stretch>
                            <a:fillRect/>
                          </a:stretch>
                        </pic:blipFill>
                        <pic:spPr>
                          <a:xfrm>
                            <a:off x="0" y="0"/>
                            <a:ext cx="809738" cy="114316"/>
                          </a:xfrm>
                          <a:prstGeom prst="rect">
                            <a:avLst/>
                          </a:prstGeom>
                        </pic:spPr>
                      </pic:pic>
                    </a:graphicData>
                  </a:graphic>
                </wp:inline>
              </w:drawing>
            </w:r>
            <w:r>
              <w:rPr>
                <w:rFonts w:hint="eastAsia" w:ascii="仿宋" w:hAnsi="仿宋" w:eastAsia="仿宋" w:cs="仿宋"/>
                <w:sz w:val="24"/>
                <w:szCs w:val="24"/>
              </w:rPr>
              <w:t>40.5%</w:t>
            </w:r>
          </w:p>
        </w:tc>
      </w:tr>
      <w:tr w14:paraId="2F66B28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3EDC6E83">
            <w:pPr>
              <w:jc w:val="left"/>
              <w:rPr>
                <w:rFonts w:hint="eastAsia" w:ascii="仿宋" w:hAnsi="仿宋" w:eastAsia="仿宋" w:cs="仿宋"/>
                <w:sz w:val="24"/>
                <w:szCs w:val="24"/>
              </w:rPr>
            </w:pPr>
            <w:r>
              <w:rPr>
                <w:rFonts w:hint="eastAsia" w:ascii="仿宋" w:hAnsi="仿宋" w:eastAsia="仿宋" w:cs="仿宋"/>
                <w:sz w:val="24"/>
                <w:szCs w:val="24"/>
              </w:rPr>
              <w:t xml:space="preserve">200HP~600HP </w:t>
            </w:r>
          </w:p>
        </w:tc>
        <w:tc>
          <w:tcPr>
            <w:tcW w:w="1000" w:type="dxa"/>
            <w:shd w:val="clear" w:color="auto" w:fill="FFFFFF"/>
            <w:vAlign w:val="center"/>
          </w:tcPr>
          <w:p w14:paraId="313CA1BA">
            <w:pPr>
              <w:jc w:val="center"/>
              <w:rPr>
                <w:rFonts w:hint="eastAsia" w:ascii="仿宋" w:hAnsi="仿宋" w:eastAsia="仿宋" w:cs="仿宋"/>
                <w:sz w:val="24"/>
                <w:szCs w:val="24"/>
              </w:rPr>
            </w:pPr>
            <w:r>
              <w:rPr>
                <w:rFonts w:hint="eastAsia" w:ascii="仿宋" w:hAnsi="仿宋" w:eastAsia="仿宋" w:cs="仿宋"/>
                <w:sz w:val="24"/>
                <w:szCs w:val="24"/>
              </w:rPr>
              <w:t>34</w:t>
            </w:r>
          </w:p>
        </w:tc>
        <w:tc>
          <w:tcPr>
            <w:tcW w:w="3106" w:type="dxa"/>
            <w:shd w:val="clear" w:color="auto" w:fill="FFFFFF"/>
            <w:vAlign w:val="center"/>
          </w:tcPr>
          <w:p w14:paraId="0613C5E6">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71475" cy="114300"/>
                  <wp:effectExtent l="0" t="0" r="9525" b="762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371527"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981075" cy="114300"/>
                  <wp:effectExtent l="0" t="0" r="9525" b="762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6"/>
                          <a:stretch>
                            <a:fillRect/>
                          </a:stretch>
                        </pic:blipFill>
                        <pic:spPr>
                          <a:xfrm>
                            <a:off x="0" y="0"/>
                            <a:ext cx="981212" cy="114316"/>
                          </a:xfrm>
                          <a:prstGeom prst="rect">
                            <a:avLst/>
                          </a:prstGeom>
                        </pic:spPr>
                      </pic:pic>
                    </a:graphicData>
                  </a:graphic>
                </wp:inline>
              </w:drawing>
            </w:r>
            <w:r>
              <w:rPr>
                <w:rFonts w:hint="eastAsia" w:ascii="仿宋" w:hAnsi="仿宋" w:eastAsia="仿宋" w:cs="仿宋"/>
                <w:sz w:val="24"/>
                <w:szCs w:val="24"/>
              </w:rPr>
              <w:t>28.1%</w:t>
            </w:r>
          </w:p>
        </w:tc>
      </w:tr>
      <w:tr w14:paraId="5D4D642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20CD733E">
            <w:pPr>
              <w:jc w:val="left"/>
              <w:rPr>
                <w:rFonts w:hint="eastAsia" w:ascii="仿宋" w:hAnsi="仿宋" w:eastAsia="仿宋" w:cs="仿宋"/>
                <w:sz w:val="24"/>
                <w:szCs w:val="24"/>
              </w:rPr>
            </w:pPr>
            <w:r>
              <w:rPr>
                <w:rFonts w:hint="eastAsia" w:ascii="仿宋" w:hAnsi="仿宋" w:eastAsia="仿宋" w:cs="仿宋"/>
                <w:sz w:val="24"/>
                <w:szCs w:val="24"/>
              </w:rPr>
              <w:t xml:space="preserve">600HP~1200HP </w:t>
            </w:r>
          </w:p>
        </w:tc>
        <w:tc>
          <w:tcPr>
            <w:tcW w:w="1000" w:type="dxa"/>
            <w:shd w:val="clear" w:color="auto" w:fill="FAFAFA"/>
            <w:vAlign w:val="center"/>
          </w:tcPr>
          <w:p w14:paraId="541BA767">
            <w:pPr>
              <w:jc w:val="center"/>
              <w:rPr>
                <w:rFonts w:hint="eastAsia" w:ascii="仿宋" w:hAnsi="仿宋" w:eastAsia="仿宋" w:cs="仿宋"/>
                <w:sz w:val="24"/>
                <w:szCs w:val="24"/>
              </w:rPr>
            </w:pPr>
            <w:r>
              <w:rPr>
                <w:rFonts w:hint="eastAsia" w:ascii="仿宋" w:hAnsi="仿宋" w:eastAsia="仿宋" w:cs="仿宋"/>
                <w:sz w:val="24"/>
                <w:szCs w:val="24"/>
              </w:rPr>
              <w:t>4</w:t>
            </w:r>
          </w:p>
        </w:tc>
        <w:tc>
          <w:tcPr>
            <w:tcW w:w="3106" w:type="dxa"/>
            <w:shd w:val="clear" w:color="auto" w:fill="FAFAFA"/>
            <w:vAlign w:val="center"/>
          </w:tcPr>
          <w:p w14:paraId="69E1B86C">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8100" cy="114300"/>
                  <wp:effectExtent l="0" t="0" r="7620" b="762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9"/>
                          <a:stretch>
                            <a:fillRect/>
                          </a:stretch>
                        </pic:blipFill>
                        <pic:spPr>
                          <a:xfrm>
                            <a:off x="0" y="0"/>
                            <a:ext cx="38105"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14450" cy="114300"/>
                  <wp:effectExtent l="0" t="0" r="11430" b="762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0"/>
                          <a:stretch>
                            <a:fillRect/>
                          </a:stretch>
                        </pic:blipFill>
                        <pic:spPr>
                          <a:xfrm>
                            <a:off x="0" y="0"/>
                            <a:ext cx="1314634" cy="114316"/>
                          </a:xfrm>
                          <a:prstGeom prst="rect">
                            <a:avLst/>
                          </a:prstGeom>
                        </pic:spPr>
                      </pic:pic>
                    </a:graphicData>
                  </a:graphic>
                </wp:inline>
              </w:drawing>
            </w:r>
            <w:r>
              <w:rPr>
                <w:rFonts w:hint="eastAsia" w:ascii="仿宋" w:hAnsi="仿宋" w:eastAsia="仿宋" w:cs="仿宋"/>
                <w:sz w:val="24"/>
                <w:szCs w:val="24"/>
              </w:rPr>
              <w:t>3.31%</w:t>
            </w:r>
          </w:p>
        </w:tc>
      </w:tr>
      <w:tr w14:paraId="5FF18D5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1CF756FE">
            <w:pPr>
              <w:jc w:val="left"/>
              <w:rPr>
                <w:rFonts w:hint="eastAsia" w:ascii="仿宋" w:hAnsi="仿宋" w:eastAsia="仿宋" w:cs="仿宋"/>
                <w:sz w:val="24"/>
                <w:szCs w:val="24"/>
              </w:rPr>
            </w:pPr>
            <w:r>
              <w:rPr>
                <w:rFonts w:hint="eastAsia" w:ascii="仿宋" w:hAnsi="仿宋" w:eastAsia="仿宋" w:cs="仿宋"/>
                <w:sz w:val="24"/>
                <w:szCs w:val="24"/>
              </w:rPr>
              <w:t>其他，</w:t>
            </w:r>
          </w:p>
        </w:tc>
        <w:tc>
          <w:tcPr>
            <w:tcW w:w="1000" w:type="dxa"/>
            <w:shd w:val="clear" w:color="auto" w:fill="FFFFFF"/>
            <w:vAlign w:val="center"/>
          </w:tcPr>
          <w:p w14:paraId="650CF2BA">
            <w:pPr>
              <w:jc w:val="center"/>
              <w:rPr>
                <w:rFonts w:hint="eastAsia" w:ascii="仿宋" w:hAnsi="仿宋" w:eastAsia="仿宋" w:cs="仿宋"/>
                <w:sz w:val="24"/>
                <w:szCs w:val="24"/>
              </w:rPr>
            </w:pPr>
            <w:r>
              <w:rPr>
                <w:rFonts w:hint="eastAsia" w:ascii="仿宋" w:hAnsi="仿宋" w:eastAsia="仿宋" w:cs="仿宋"/>
                <w:sz w:val="24"/>
                <w:szCs w:val="24"/>
              </w:rPr>
              <w:t>0</w:t>
            </w:r>
          </w:p>
        </w:tc>
        <w:tc>
          <w:tcPr>
            <w:tcW w:w="3106" w:type="dxa"/>
            <w:shd w:val="clear" w:color="auto" w:fill="FFFFFF"/>
            <w:vAlign w:val="center"/>
          </w:tcPr>
          <w:p w14:paraId="4E93B393">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352550" cy="114300"/>
                  <wp:effectExtent l="0" t="0" r="3810" b="762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1"/>
                          <a:stretch>
                            <a:fillRect/>
                          </a:stretch>
                        </pic:blipFill>
                        <pic:spPr>
                          <a:xfrm>
                            <a:off x="0" y="0"/>
                            <a:ext cx="1352739" cy="114316"/>
                          </a:xfrm>
                          <a:prstGeom prst="rect">
                            <a:avLst/>
                          </a:prstGeom>
                        </pic:spPr>
                      </pic:pic>
                    </a:graphicData>
                  </a:graphic>
                </wp:inline>
              </w:drawing>
            </w:r>
            <w:r>
              <w:rPr>
                <w:rFonts w:hint="eastAsia" w:ascii="仿宋" w:hAnsi="仿宋" w:eastAsia="仿宋" w:cs="仿宋"/>
                <w:sz w:val="24"/>
                <w:szCs w:val="24"/>
              </w:rPr>
              <w:t>0%</w:t>
            </w:r>
          </w:p>
        </w:tc>
      </w:tr>
      <w:tr w14:paraId="150546F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0DB701AF">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6225694F">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50B1D428">
            <w:pPr>
              <w:jc w:val="left"/>
              <w:rPr>
                <w:rFonts w:hint="eastAsia" w:ascii="仿宋" w:hAnsi="仿宋" w:eastAsia="仿宋" w:cs="仿宋"/>
                <w:sz w:val="24"/>
                <w:szCs w:val="24"/>
              </w:rPr>
            </w:pPr>
          </w:p>
        </w:tc>
      </w:tr>
    </w:tbl>
    <w:p w14:paraId="3B4FEB08">
      <w:pPr>
        <w:rPr>
          <w:rFonts w:hint="eastAsia" w:ascii="仿宋" w:hAnsi="仿宋" w:eastAsia="仿宋" w:cs="仿宋"/>
          <w:sz w:val="24"/>
          <w:szCs w:val="24"/>
        </w:rPr>
      </w:pPr>
    </w:p>
    <w:p w14:paraId="6268579B">
      <w:pPr>
        <w:rPr>
          <w:rFonts w:hint="eastAsia" w:ascii="仿宋" w:hAnsi="仿宋" w:eastAsia="仿宋" w:cs="仿宋"/>
          <w:sz w:val="24"/>
          <w:szCs w:val="24"/>
        </w:rPr>
      </w:pPr>
    </w:p>
    <w:p w14:paraId="7C7C5618">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第3题   目前东店一级渔港建设项目施工对您出海捕鱼的影响程度如何？</w:t>
      </w:r>
    </w:p>
    <w:p w14:paraId="08E1A3FD">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      </w:t>
      </w:r>
      <w:r>
        <w:rPr>
          <w:rFonts w:hint="eastAsia" w:ascii="仿宋" w:hAnsi="仿宋" w:eastAsia="仿宋" w:cs="仿宋"/>
          <w:b w:val="0"/>
          <w:color w:val="0066FF"/>
          <w:sz w:val="24"/>
          <w:szCs w:val="24"/>
        </w:rPr>
        <w:t>[单选题]</w:t>
      </w:r>
    </w:p>
    <w:p w14:paraId="085571E7">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4A6A9D0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3E50D1F2">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5B215398">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7C95B6CF">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29E724F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52C08E62">
            <w:pPr>
              <w:jc w:val="left"/>
              <w:rPr>
                <w:rFonts w:hint="eastAsia" w:ascii="仿宋" w:hAnsi="仿宋" w:eastAsia="仿宋" w:cs="仿宋"/>
                <w:sz w:val="24"/>
                <w:szCs w:val="24"/>
              </w:rPr>
            </w:pPr>
            <w:r>
              <w:rPr>
                <w:rFonts w:hint="eastAsia" w:ascii="仿宋" w:hAnsi="仿宋" w:eastAsia="仿宋" w:cs="仿宋"/>
                <w:sz w:val="24"/>
                <w:szCs w:val="24"/>
              </w:rPr>
              <w:t>无影响</w:t>
            </w:r>
          </w:p>
        </w:tc>
        <w:tc>
          <w:tcPr>
            <w:tcW w:w="1000" w:type="dxa"/>
            <w:shd w:val="clear" w:color="auto" w:fill="FFFFFF"/>
            <w:vAlign w:val="center"/>
          </w:tcPr>
          <w:p w14:paraId="3705B40B">
            <w:pPr>
              <w:jc w:val="center"/>
              <w:rPr>
                <w:rFonts w:hint="eastAsia" w:ascii="仿宋" w:hAnsi="仿宋" w:eastAsia="仿宋" w:cs="仿宋"/>
                <w:sz w:val="24"/>
                <w:szCs w:val="24"/>
              </w:rPr>
            </w:pPr>
            <w:r>
              <w:rPr>
                <w:rFonts w:hint="eastAsia" w:ascii="仿宋" w:hAnsi="仿宋" w:eastAsia="仿宋" w:cs="仿宋"/>
                <w:sz w:val="24"/>
                <w:szCs w:val="24"/>
              </w:rPr>
              <w:t>58</w:t>
            </w:r>
          </w:p>
        </w:tc>
        <w:tc>
          <w:tcPr>
            <w:tcW w:w="3106" w:type="dxa"/>
            <w:shd w:val="clear" w:color="auto" w:fill="FFFFFF"/>
            <w:vAlign w:val="center"/>
          </w:tcPr>
          <w:p w14:paraId="37EE4465">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647700" cy="114300"/>
                  <wp:effectExtent l="0" t="0" r="7620" b="762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2"/>
                          <a:stretch>
                            <a:fillRect/>
                          </a:stretch>
                        </pic:blipFill>
                        <pic:spPr>
                          <a:xfrm>
                            <a:off x="0" y="0"/>
                            <a:ext cx="647790"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704850" cy="114300"/>
                  <wp:effectExtent l="0" t="0" r="11430" b="762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3"/>
                          <a:stretch>
                            <a:fillRect/>
                          </a:stretch>
                        </pic:blipFill>
                        <pic:spPr>
                          <a:xfrm>
                            <a:off x="0" y="0"/>
                            <a:ext cx="704948" cy="114316"/>
                          </a:xfrm>
                          <a:prstGeom prst="rect">
                            <a:avLst/>
                          </a:prstGeom>
                        </pic:spPr>
                      </pic:pic>
                    </a:graphicData>
                  </a:graphic>
                </wp:inline>
              </w:drawing>
            </w:r>
            <w:r>
              <w:rPr>
                <w:rFonts w:hint="eastAsia" w:ascii="仿宋" w:hAnsi="仿宋" w:eastAsia="仿宋" w:cs="仿宋"/>
                <w:sz w:val="24"/>
                <w:szCs w:val="24"/>
              </w:rPr>
              <w:t>47.93%</w:t>
            </w:r>
          </w:p>
        </w:tc>
      </w:tr>
      <w:tr w14:paraId="2A70573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67CAFD4">
            <w:pPr>
              <w:jc w:val="left"/>
              <w:rPr>
                <w:rFonts w:hint="eastAsia" w:ascii="仿宋" w:hAnsi="仿宋" w:eastAsia="仿宋" w:cs="仿宋"/>
                <w:sz w:val="24"/>
                <w:szCs w:val="24"/>
              </w:rPr>
            </w:pPr>
            <w:r>
              <w:rPr>
                <w:rFonts w:hint="eastAsia" w:ascii="仿宋" w:hAnsi="仿宋" w:eastAsia="仿宋" w:cs="仿宋"/>
                <w:sz w:val="24"/>
                <w:szCs w:val="24"/>
              </w:rPr>
              <w:t>轻微影响</w:t>
            </w:r>
          </w:p>
        </w:tc>
        <w:tc>
          <w:tcPr>
            <w:tcW w:w="1000" w:type="dxa"/>
            <w:shd w:val="clear" w:color="auto" w:fill="FAFAFA"/>
            <w:vAlign w:val="center"/>
          </w:tcPr>
          <w:p w14:paraId="636318E8">
            <w:pPr>
              <w:jc w:val="center"/>
              <w:rPr>
                <w:rFonts w:hint="eastAsia" w:ascii="仿宋" w:hAnsi="仿宋" w:eastAsia="仿宋" w:cs="仿宋"/>
                <w:sz w:val="24"/>
                <w:szCs w:val="24"/>
              </w:rPr>
            </w:pPr>
            <w:r>
              <w:rPr>
                <w:rFonts w:hint="eastAsia" w:ascii="仿宋" w:hAnsi="仿宋" w:eastAsia="仿宋" w:cs="仿宋"/>
                <w:sz w:val="24"/>
                <w:szCs w:val="24"/>
              </w:rPr>
              <w:t>58</w:t>
            </w:r>
          </w:p>
        </w:tc>
        <w:tc>
          <w:tcPr>
            <w:tcW w:w="3106" w:type="dxa"/>
            <w:shd w:val="clear" w:color="auto" w:fill="FAFAFA"/>
            <w:vAlign w:val="center"/>
          </w:tcPr>
          <w:p w14:paraId="7B61BAC1">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647700" cy="114300"/>
                  <wp:effectExtent l="0" t="0" r="7620" b="762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2"/>
                          <a:stretch>
                            <a:fillRect/>
                          </a:stretch>
                        </pic:blipFill>
                        <pic:spPr>
                          <a:xfrm>
                            <a:off x="0" y="0"/>
                            <a:ext cx="647790"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704850" cy="114300"/>
                  <wp:effectExtent l="0" t="0" r="11430" b="762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3"/>
                          <a:stretch>
                            <a:fillRect/>
                          </a:stretch>
                        </pic:blipFill>
                        <pic:spPr>
                          <a:xfrm>
                            <a:off x="0" y="0"/>
                            <a:ext cx="704948" cy="114316"/>
                          </a:xfrm>
                          <a:prstGeom prst="rect">
                            <a:avLst/>
                          </a:prstGeom>
                        </pic:spPr>
                      </pic:pic>
                    </a:graphicData>
                  </a:graphic>
                </wp:inline>
              </w:drawing>
            </w:r>
            <w:r>
              <w:rPr>
                <w:rFonts w:hint="eastAsia" w:ascii="仿宋" w:hAnsi="仿宋" w:eastAsia="仿宋" w:cs="仿宋"/>
                <w:sz w:val="24"/>
                <w:szCs w:val="24"/>
              </w:rPr>
              <w:t>47.93%</w:t>
            </w:r>
          </w:p>
        </w:tc>
      </w:tr>
      <w:tr w14:paraId="1FF2175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56991AB2">
            <w:pPr>
              <w:jc w:val="left"/>
              <w:rPr>
                <w:rFonts w:hint="eastAsia" w:ascii="仿宋" w:hAnsi="仿宋" w:eastAsia="仿宋" w:cs="仿宋"/>
                <w:sz w:val="24"/>
                <w:szCs w:val="24"/>
              </w:rPr>
            </w:pPr>
            <w:r>
              <w:rPr>
                <w:rFonts w:hint="eastAsia" w:ascii="仿宋" w:hAnsi="仿宋" w:eastAsia="仿宋" w:cs="仿宋"/>
                <w:sz w:val="24"/>
                <w:szCs w:val="24"/>
              </w:rPr>
              <w:t>较大影响，影响原因：</w:t>
            </w:r>
          </w:p>
        </w:tc>
        <w:tc>
          <w:tcPr>
            <w:tcW w:w="1000" w:type="dxa"/>
            <w:shd w:val="clear" w:color="auto" w:fill="FFFFFF"/>
            <w:vAlign w:val="center"/>
          </w:tcPr>
          <w:p w14:paraId="289A6B5A">
            <w:pPr>
              <w:jc w:val="center"/>
              <w:rPr>
                <w:rFonts w:hint="eastAsia" w:ascii="仿宋" w:hAnsi="仿宋" w:eastAsia="仿宋" w:cs="仿宋"/>
                <w:sz w:val="24"/>
                <w:szCs w:val="24"/>
              </w:rPr>
            </w:pPr>
            <w:r>
              <w:rPr>
                <w:rFonts w:hint="eastAsia" w:ascii="仿宋" w:hAnsi="仿宋" w:eastAsia="仿宋" w:cs="仿宋"/>
                <w:sz w:val="24"/>
                <w:szCs w:val="24"/>
              </w:rPr>
              <w:t>3</w:t>
            </w:r>
          </w:p>
        </w:tc>
        <w:tc>
          <w:tcPr>
            <w:tcW w:w="3106" w:type="dxa"/>
            <w:shd w:val="clear" w:color="auto" w:fill="FFFFFF"/>
            <w:vAlign w:val="center"/>
          </w:tcPr>
          <w:p w14:paraId="7E2D961E">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28575" cy="114300"/>
                  <wp:effectExtent l="0" t="0" r="1905" b="762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4"/>
                          <a:stretch>
                            <a:fillRect/>
                          </a:stretch>
                        </pic:blipFill>
                        <pic:spPr>
                          <a:xfrm>
                            <a:off x="0" y="0"/>
                            <a:ext cx="28579"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23975" cy="114300"/>
                  <wp:effectExtent l="0" t="0" r="1905" b="762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5"/>
                          <a:stretch>
                            <a:fillRect/>
                          </a:stretch>
                        </pic:blipFill>
                        <pic:spPr>
                          <a:xfrm>
                            <a:off x="0" y="0"/>
                            <a:ext cx="1324160" cy="114316"/>
                          </a:xfrm>
                          <a:prstGeom prst="rect">
                            <a:avLst/>
                          </a:prstGeom>
                        </pic:spPr>
                      </pic:pic>
                    </a:graphicData>
                  </a:graphic>
                </wp:inline>
              </w:drawing>
            </w:r>
            <w:r>
              <w:rPr>
                <w:rFonts w:hint="eastAsia" w:ascii="仿宋" w:hAnsi="仿宋" w:eastAsia="仿宋" w:cs="仿宋"/>
                <w:sz w:val="24"/>
                <w:szCs w:val="24"/>
              </w:rPr>
              <w:t>2.48%</w:t>
            </w:r>
          </w:p>
        </w:tc>
      </w:tr>
      <w:tr w14:paraId="269A39D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769F70E">
            <w:pPr>
              <w:jc w:val="left"/>
              <w:rPr>
                <w:rFonts w:hint="eastAsia" w:ascii="仿宋" w:hAnsi="仿宋" w:eastAsia="仿宋" w:cs="仿宋"/>
                <w:sz w:val="24"/>
                <w:szCs w:val="24"/>
              </w:rPr>
            </w:pPr>
            <w:r>
              <w:rPr>
                <w:rFonts w:hint="eastAsia" w:ascii="仿宋" w:hAnsi="仿宋" w:eastAsia="仿宋" w:cs="仿宋"/>
                <w:sz w:val="24"/>
                <w:szCs w:val="24"/>
              </w:rPr>
              <w:t>严重影响，影响原因：</w:t>
            </w:r>
          </w:p>
        </w:tc>
        <w:tc>
          <w:tcPr>
            <w:tcW w:w="1000" w:type="dxa"/>
            <w:shd w:val="clear" w:color="auto" w:fill="FAFAFA"/>
            <w:vAlign w:val="center"/>
          </w:tcPr>
          <w:p w14:paraId="32600325">
            <w:pPr>
              <w:jc w:val="center"/>
              <w:rPr>
                <w:rFonts w:hint="eastAsia" w:ascii="仿宋" w:hAnsi="仿宋" w:eastAsia="仿宋" w:cs="仿宋"/>
                <w:sz w:val="24"/>
                <w:szCs w:val="24"/>
              </w:rPr>
            </w:pPr>
            <w:r>
              <w:rPr>
                <w:rFonts w:hint="eastAsia" w:ascii="仿宋" w:hAnsi="仿宋" w:eastAsia="仿宋" w:cs="仿宋"/>
                <w:sz w:val="24"/>
                <w:szCs w:val="24"/>
              </w:rPr>
              <w:t>2</w:t>
            </w:r>
          </w:p>
        </w:tc>
        <w:tc>
          <w:tcPr>
            <w:tcW w:w="3106" w:type="dxa"/>
            <w:shd w:val="clear" w:color="auto" w:fill="FAFAFA"/>
            <w:vAlign w:val="center"/>
          </w:tcPr>
          <w:p w14:paraId="374A9299">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9050" cy="114300"/>
                  <wp:effectExtent l="0" t="0" r="11430" b="762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6"/>
                          <a:stretch>
                            <a:fillRect/>
                          </a:stretch>
                        </pic:blipFill>
                        <pic:spPr>
                          <a:xfrm>
                            <a:off x="0" y="0"/>
                            <a:ext cx="19053"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33500" cy="114300"/>
                  <wp:effectExtent l="0" t="0" r="7620" b="762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7"/>
                          <a:stretch>
                            <a:fillRect/>
                          </a:stretch>
                        </pic:blipFill>
                        <pic:spPr>
                          <a:xfrm>
                            <a:off x="0" y="0"/>
                            <a:ext cx="1333686" cy="114316"/>
                          </a:xfrm>
                          <a:prstGeom prst="rect">
                            <a:avLst/>
                          </a:prstGeom>
                        </pic:spPr>
                      </pic:pic>
                    </a:graphicData>
                  </a:graphic>
                </wp:inline>
              </w:drawing>
            </w:r>
            <w:r>
              <w:rPr>
                <w:rFonts w:hint="eastAsia" w:ascii="仿宋" w:hAnsi="仿宋" w:eastAsia="仿宋" w:cs="仿宋"/>
                <w:sz w:val="24"/>
                <w:szCs w:val="24"/>
              </w:rPr>
              <w:t>1.65%</w:t>
            </w:r>
          </w:p>
        </w:tc>
      </w:tr>
      <w:tr w14:paraId="020BEBE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67C39296">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7C4F0D7E">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62007CA5">
            <w:pPr>
              <w:jc w:val="left"/>
              <w:rPr>
                <w:rFonts w:hint="eastAsia" w:ascii="仿宋" w:hAnsi="仿宋" w:eastAsia="仿宋" w:cs="仿宋"/>
                <w:sz w:val="24"/>
                <w:szCs w:val="24"/>
              </w:rPr>
            </w:pPr>
          </w:p>
        </w:tc>
      </w:tr>
    </w:tbl>
    <w:p w14:paraId="6FC5C08A">
      <w:pPr>
        <w:rPr>
          <w:rFonts w:hint="eastAsia" w:ascii="仿宋" w:hAnsi="仿宋" w:eastAsia="仿宋" w:cs="仿宋"/>
          <w:sz w:val="24"/>
          <w:szCs w:val="24"/>
        </w:rPr>
      </w:pPr>
    </w:p>
    <w:p w14:paraId="2A497C2C">
      <w:pPr>
        <w:rPr>
          <w:rFonts w:hint="eastAsia" w:ascii="仿宋" w:hAnsi="仿宋" w:eastAsia="仿宋" w:cs="仿宋"/>
          <w:sz w:val="24"/>
          <w:szCs w:val="24"/>
        </w:rPr>
      </w:pPr>
    </w:p>
    <w:p w14:paraId="47771EDF">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第4题   您认为东店一级渔港建设项目是否具有防范台风灾害的不利影响的效果？         </w:t>
      </w:r>
      <w:r>
        <w:rPr>
          <w:rFonts w:hint="eastAsia" w:ascii="仿宋" w:hAnsi="仿宋" w:eastAsia="仿宋" w:cs="仿宋"/>
          <w:b w:val="0"/>
          <w:color w:val="0066FF"/>
          <w:sz w:val="24"/>
          <w:szCs w:val="24"/>
        </w:rPr>
        <w:t>[单选题]</w:t>
      </w:r>
    </w:p>
    <w:p w14:paraId="06769BEB">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19D4AD4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3247138F">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5462A6FB">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5596AD41">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1A9E235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44E53743">
            <w:pPr>
              <w:jc w:val="left"/>
              <w:rPr>
                <w:rFonts w:hint="eastAsia" w:ascii="仿宋" w:hAnsi="仿宋" w:eastAsia="仿宋" w:cs="仿宋"/>
                <w:sz w:val="24"/>
                <w:szCs w:val="24"/>
              </w:rPr>
            </w:pPr>
            <w:r>
              <w:rPr>
                <w:rFonts w:hint="eastAsia" w:ascii="仿宋" w:hAnsi="仿宋" w:eastAsia="仿宋" w:cs="仿宋"/>
                <w:sz w:val="24"/>
                <w:szCs w:val="24"/>
              </w:rPr>
              <w:t>显著有效</w:t>
            </w:r>
          </w:p>
        </w:tc>
        <w:tc>
          <w:tcPr>
            <w:tcW w:w="1000" w:type="dxa"/>
            <w:shd w:val="clear" w:color="auto" w:fill="FFFFFF"/>
            <w:vAlign w:val="center"/>
          </w:tcPr>
          <w:p w14:paraId="2D25905A">
            <w:pPr>
              <w:jc w:val="center"/>
              <w:rPr>
                <w:rFonts w:hint="eastAsia" w:ascii="仿宋" w:hAnsi="仿宋" w:eastAsia="仿宋" w:cs="仿宋"/>
                <w:sz w:val="24"/>
                <w:szCs w:val="24"/>
              </w:rPr>
            </w:pPr>
            <w:r>
              <w:rPr>
                <w:rFonts w:hint="eastAsia" w:ascii="仿宋" w:hAnsi="仿宋" w:eastAsia="仿宋" w:cs="仿宋"/>
                <w:sz w:val="24"/>
                <w:szCs w:val="24"/>
              </w:rPr>
              <w:t>65</w:t>
            </w:r>
          </w:p>
        </w:tc>
        <w:tc>
          <w:tcPr>
            <w:tcW w:w="3106" w:type="dxa"/>
            <w:shd w:val="clear" w:color="auto" w:fill="FFFFFF"/>
            <w:vAlign w:val="center"/>
          </w:tcPr>
          <w:p w14:paraId="6EA91296">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723900" cy="114300"/>
                  <wp:effectExtent l="0" t="0" r="7620" b="762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8"/>
                          <a:stretch>
                            <a:fillRect/>
                          </a:stretch>
                        </pic:blipFill>
                        <pic:spPr>
                          <a:xfrm>
                            <a:off x="0" y="0"/>
                            <a:ext cx="724001"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628650" cy="114300"/>
                  <wp:effectExtent l="0" t="0" r="11430" b="762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9"/>
                          <a:stretch>
                            <a:fillRect/>
                          </a:stretch>
                        </pic:blipFill>
                        <pic:spPr>
                          <a:xfrm>
                            <a:off x="0" y="0"/>
                            <a:ext cx="628738" cy="114316"/>
                          </a:xfrm>
                          <a:prstGeom prst="rect">
                            <a:avLst/>
                          </a:prstGeom>
                        </pic:spPr>
                      </pic:pic>
                    </a:graphicData>
                  </a:graphic>
                </wp:inline>
              </w:drawing>
            </w:r>
            <w:r>
              <w:rPr>
                <w:rFonts w:hint="eastAsia" w:ascii="仿宋" w:hAnsi="仿宋" w:eastAsia="仿宋" w:cs="仿宋"/>
                <w:sz w:val="24"/>
                <w:szCs w:val="24"/>
              </w:rPr>
              <w:t>53.72%</w:t>
            </w:r>
          </w:p>
        </w:tc>
      </w:tr>
      <w:tr w14:paraId="64ABB71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44A3955">
            <w:pPr>
              <w:jc w:val="left"/>
              <w:rPr>
                <w:rFonts w:hint="eastAsia" w:ascii="仿宋" w:hAnsi="仿宋" w:eastAsia="仿宋" w:cs="仿宋"/>
                <w:sz w:val="24"/>
                <w:szCs w:val="24"/>
              </w:rPr>
            </w:pPr>
            <w:r>
              <w:rPr>
                <w:rFonts w:hint="eastAsia" w:ascii="仿宋" w:hAnsi="仿宋" w:eastAsia="仿宋" w:cs="仿宋"/>
                <w:sz w:val="24"/>
                <w:szCs w:val="24"/>
              </w:rPr>
              <w:t>比较有效</w:t>
            </w:r>
          </w:p>
        </w:tc>
        <w:tc>
          <w:tcPr>
            <w:tcW w:w="1000" w:type="dxa"/>
            <w:shd w:val="clear" w:color="auto" w:fill="FAFAFA"/>
            <w:vAlign w:val="center"/>
          </w:tcPr>
          <w:p w14:paraId="66B51D1D">
            <w:pPr>
              <w:jc w:val="center"/>
              <w:rPr>
                <w:rFonts w:hint="eastAsia" w:ascii="仿宋" w:hAnsi="仿宋" w:eastAsia="仿宋" w:cs="仿宋"/>
                <w:sz w:val="24"/>
                <w:szCs w:val="24"/>
              </w:rPr>
            </w:pPr>
            <w:r>
              <w:rPr>
                <w:rFonts w:hint="eastAsia" w:ascii="仿宋" w:hAnsi="仿宋" w:eastAsia="仿宋" w:cs="仿宋"/>
                <w:sz w:val="24"/>
                <w:szCs w:val="24"/>
              </w:rPr>
              <w:t>46</w:t>
            </w:r>
          </w:p>
        </w:tc>
        <w:tc>
          <w:tcPr>
            <w:tcW w:w="3106" w:type="dxa"/>
            <w:shd w:val="clear" w:color="auto" w:fill="FAFAFA"/>
            <w:vAlign w:val="center"/>
          </w:tcPr>
          <w:p w14:paraId="48371CA4">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504825" cy="114300"/>
                  <wp:effectExtent l="0" t="0" r="13335" b="762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30"/>
                          <a:stretch>
                            <a:fillRect/>
                          </a:stretch>
                        </pic:blipFill>
                        <pic:spPr>
                          <a:xfrm>
                            <a:off x="0" y="0"/>
                            <a:ext cx="504895"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847725" cy="114300"/>
                  <wp:effectExtent l="0" t="0" r="5715" b="762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31"/>
                          <a:stretch>
                            <a:fillRect/>
                          </a:stretch>
                        </pic:blipFill>
                        <pic:spPr>
                          <a:xfrm>
                            <a:off x="0" y="0"/>
                            <a:ext cx="847843" cy="114316"/>
                          </a:xfrm>
                          <a:prstGeom prst="rect">
                            <a:avLst/>
                          </a:prstGeom>
                        </pic:spPr>
                      </pic:pic>
                    </a:graphicData>
                  </a:graphic>
                </wp:inline>
              </w:drawing>
            </w:r>
            <w:r>
              <w:rPr>
                <w:rFonts w:hint="eastAsia" w:ascii="仿宋" w:hAnsi="仿宋" w:eastAsia="仿宋" w:cs="仿宋"/>
                <w:sz w:val="24"/>
                <w:szCs w:val="24"/>
              </w:rPr>
              <w:t>38.02%</w:t>
            </w:r>
          </w:p>
        </w:tc>
      </w:tr>
      <w:tr w14:paraId="0FC2D4C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3D6D6BBB">
            <w:pPr>
              <w:jc w:val="left"/>
              <w:rPr>
                <w:rFonts w:hint="eastAsia" w:ascii="仿宋" w:hAnsi="仿宋" w:eastAsia="仿宋" w:cs="仿宋"/>
                <w:sz w:val="24"/>
                <w:szCs w:val="24"/>
              </w:rPr>
            </w:pPr>
            <w:r>
              <w:rPr>
                <w:rFonts w:hint="eastAsia" w:ascii="仿宋" w:hAnsi="仿宋" w:eastAsia="仿宋" w:cs="仿宋"/>
                <w:sz w:val="24"/>
                <w:szCs w:val="24"/>
              </w:rPr>
              <w:t>有一定效果</w:t>
            </w:r>
          </w:p>
        </w:tc>
        <w:tc>
          <w:tcPr>
            <w:tcW w:w="1000" w:type="dxa"/>
            <w:shd w:val="clear" w:color="auto" w:fill="FFFFFF"/>
            <w:vAlign w:val="center"/>
          </w:tcPr>
          <w:p w14:paraId="53CD8118">
            <w:pPr>
              <w:jc w:val="center"/>
              <w:rPr>
                <w:rFonts w:hint="eastAsia" w:ascii="仿宋" w:hAnsi="仿宋" w:eastAsia="仿宋" w:cs="仿宋"/>
                <w:sz w:val="24"/>
                <w:szCs w:val="24"/>
              </w:rPr>
            </w:pPr>
            <w:r>
              <w:rPr>
                <w:rFonts w:hint="eastAsia" w:ascii="仿宋" w:hAnsi="仿宋" w:eastAsia="仿宋" w:cs="仿宋"/>
                <w:sz w:val="24"/>
                <w:szCs w:val="24"/>
              </w:rPr>
              <w:t>8</w:t>
            </w:r>
          </w:p>
        </w:tc>
        <w:tc>
          <w:tcPr>
            <w:tcW w:w="3106" w:type="dxa"/>
            <w:shd w:val="clear" w:color="auto" w:fill="FFFFFF"/>
            <w:vAlign w:val="center"/>
          </w:tcPr>
          <w:p w14:paraId="34D5605B">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85725" cy="114300"/>
                  <wp:effectExtent l="0" t="0" r="5715" b="762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32"/>
                          <a:stretch>
                            <a:fillRect/>
                          </a:stretch>
                        </pic:blipFill>
                        <pic:spPr>
                          <a:xfrm>
                            <a:off x="0" y="0"/>
                            <a:ext cx="85737"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266825" cy="114300"/>
                  <wp:effectExtent l="0" t="0" r="13335" b="762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33"/>
                          <a:stretch>
                            <a:fillRect/>
                          </a:stretch>
                        </pic:blipFill>
                        <pic:spPr>
                          <a:xfrm>
                            <a:off x="0" y="0"/>
                            <a:ext cx="1267002" cy="114316"/>
                          </a:xfrm>
                          <a:prstGeom prst="rect">
                            <a:avLst/>
                          </a:prstGeom>
                        </pic:spPr>
                      </pic:pic>
                    </a:graphicData>
                  </a:graphic>
                </wp:inline>
              </w:drawing>
            </w:r>
            <w:r>
              <w:rPr>
                <w:rFonts w:hint="eastAsia" w:ascii="仿宋" w:hAnsi="仿宋" w:eastAsia="仿宋" w:cs="仿宋"/>
                <w:sz w:val="24"/>
                <w:szCs w:val="24"/>
              </w:rPr>
              <w:t>6.61%</w:t>
            </w:r>
          </w:p>
        </w:tc>
      </w:tr>
      <w:tr w14:paraId="70E8950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4E28A7F6">
            <w:pPr>
              <w:jc w:val="left"/>
              <w:rPr>
                <w:rFonts w:hint="eastAsia" w:ascii="仿宋" w:hAnsi="仿宋" w:eastAsia="仿宋" w:cs="仿宋"/>
                <w:sz w:val="24"/>
                <w:szCs w:val="24"/>
              </w:rPr>
            </w:pPr>
            <w:r>
              <w:rPr>
                <w:rFonts w:hint="eastAsia" w:ascii="仿宋" w:hAnsi="仿宋" w:eastAsia="仿宋" w:cs="仿宋"/>
                <w:sz w:val="24"/>
                <w:szCs w:val="24"/>
              </w:rPr>
              <w:t>效果甚微</w:t>
            </w:r>
          </w:p>
        </w:tc>
        <w:tc>
          <w:tcPr>
            <w:tcW w:w="1000" w:type="dxa"/>
            <w:shd w:val="clear" w:color="auto" w:fill="FAFAFA"/>
            <w:vAlign w:val="center"/>
          </w:tcPr>
          <w:p w14:paraId="06DFB8EC">
            <w:pPr>
              <w:jc w:val="center"/>
              <w:rPr>
                <w:rFonts w:hint="eastAsia" w:ascii="仿宋" w:hAnsi="仿宋" w:eastAsia="仿宋" w:cs="仿宋"/>
                <w:sz w:val="24"/>
                <w:szCs w:val="24"/>
              </w:rPr>
            </w:pPr>
            <w:r>
              <w:rPr>
                <w:rFonts w:hint="eastAsia" w:ascii="仿宋" w:hAnsi="仿宋" w:eastAsia="仿宋" w:cs="仿宋"/>
                <w:sz w:val="24"/>
                <w:szCs w:val="24"/>
              </w:rPr>
              <w:t>1</w:t>
            </w:r>
          </w:p>
        </w:tc>
        <w:tc>
          <w:tcPr>
            <w:tcW w:w="3106" w:type="dxa"/>
            <w:shd w:val="clear" w:color="auto" w:fill="FAFAFA"/>
            <w:vAlign w:val="center"/>
          </w:tcPr>
          <w:p w14:paraId="0D9F128C">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9525" cy="114300"/>
                  <wp:effectExtent l="0" t="0" r="5715" b="6985"/>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4"/>
                          <a:stretch>
                            <a:fillRect/>
                          </a:stretch>
                        </pic:blipFill>
                        <pic:spPr>
                          <a:xfrm>
                            <a:off x="0" y="0"/>
                            <a:ext cx="9526"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43025" cy="114300"/>
                  <wp:effectExtent l="0" t="0" r="13335" b="762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5"/>
                          <a:stretch>
                            <a:fillRect/>
                          </a:stretch>
                        </pic:blipFill>
                        <pic:spPr>
                          <a:xfrm>
                            <a:off x="0" y="0"/>
                            <a:ext cx="1343212" cy="114316"/>
                          </a:xfrm>
                          <a:prstGeom prst="rect">
                            <a:avLst/>
                          </a:prstGeom>
                        </pic:spPr>
                      </pic:pic>
                    </a:graphicData>
                  </a:graphic>
                </wp:inline>
              </w:drawing>
            </w:r>
            <w:r>
              <w:rPr>
                <w:rFonts w:hint="eastAsia" w:ascii="仿宋" w:hAnsi="仿宋" w:eastAsia="仿宋" w:cs="仿宋"/>
                <w:sz w:val="24"/>
                <w:szCs w:val="24"/>
              </w:rPr>
              <w:t>0.83%</w:t>
            </w:r>
          </w:p>
        </w:tc>
      </w:tr>
      <w:tr w14:paraId="6385EDC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11665338">
            <w:pPr>
              <w:jc w:val="left"/>
              <w:rPr>
                <w:rFonts w:hint="eastAsia" w:ascii="仿宋" w:hAnsi="仿宋" w:eastAsia="仿宋" w:cs="仿宋"/>
                <w:sz w:val="24"/>
                <w:szCs w:val="24"/>
              </w:rPr>
            </w:pPr>
            <w:r>
              <w:rPr>
                <w:rFonts w:hint="eastAsia" w:ascii="仿宋" w:hAnsi="仿宋" w:eastAsia="仿宋" w:cs="仿宋"/>
                <w:sz w:val="24"/>
                <w:szCs w:val="24"/>
              </w:rPr>
              <w:t>没有效果</w:t>
            </w:r>
          </w:p>
        </w:tc>
        <w:tc>
          <w:tcPr>
            <w:tcW w:w="1000" w:type="dxa"/>
            <w:shd w:val="clear" w:color="auto" w:fill="FFFFFF"/>
            <w:vAlign w:val="center"/>
          </w:tcPr>
          <w:p w14:paraId="52670721">
            <w:pPr>
              <w:jc w:val="center"/>
              <w:rPr>
                <w:rFonts w:hint="eastAsia" w:ascii="仿宋" w:hAnsi="仿宋" w:eastAsia="仿宋" w:cs="仿宋"/>
                <w:sz w:val="24"/>
                <w:szCs w:val="24"/>
              </w:rPr>
            </w:pPr>
            <w:r>
              <w:rPr>
                <w:rFonts w:hint="eastAsia" w:ascii="仿宋" w:hAnsi="仿宋" w:eastAsia="仿宋" w:cs="仿宋"/>
                <w:sz w:val="24"/>
                <w:szCs w:val="24"/>
              </w:rPr>
              <w:t>1</w:t>
            </w:r>
          </w:p>
        </w:tc>
        <w:tc>
          <w:tcPr>
            <w:tcW w:w="3106" w:type="dxa"/>
            <w:shd w:val="clear" w:color="auto" w:fill="FFFFFF"/>
            <w:vAlign w:val="center"/>
          </w:tcPr>
          <w:p w14:paraId="3716C332">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9525" cy="114300"/>
                  <wp:effectExtent l="0" t="0" r="5715" b="6985"/>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34"/>
                          <a:stretch>
                            <a:fillRect/>
                          </a:stretch>
                        </pic:blipFill>
                        <pic:spPr>
                          <a:xfrm>
                            <a:off x="0" y="0"/>
                            <a:ext cx="9526"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43025" cy="114300"/>
                  <wp:effectExtent l="0" t="0" r="13335" b="762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35"/>
                          <a:stretch>
                            <a:fillRect/>
                          </a:stretch>
                        </pic:blipFill>
                        <pic:spPr>
                          <a:xfrm>
                            <a:off x="0" y="0"/>
                            <a:ext cx="1343212" cy="114316"/>
                          </a:xfrm>
                          <a:prstGeom prst="rect">
                            <a:avLst/>
                          </a:prstGeom>
                        </pic:spPr>
                      </pic:pic>
                    </a:graphicData>
                  </a:graphic>
                </wp:inline>
              </w:drawing>
            </w:r>
            <w:r>
              <w:rPr>
                <w:rFonts w:hint="eastAsia" w:ascii="仿宋" w:hAnsi="仿宋" w:eastAsia="仿宋" w:cs="仿宋"/>
                <w:sz w:val="24"/>
                <w:szCs w:val="24"/>
              </w:rPr>
              <w:t>0.83%</w:t>
            </w:r>
          </w:p>
        </w:tc>
      </w:tr>
      <w:tr w14:paraId="22B851E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214DA287">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0CB895FB">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1E019B73">
            <w:pPr>
              <w:jc w:val="left"/>
              <w:rPr>
                <w:rFonts w:hint="eastAsia" w:ascii="仿宋" w:hAnsi="仿宋" w:eastAsia="仿宋" w:cs="仿宋"/>
                <w:sz w:val="24"/>
                <w:szCs w:val="24"/>
              </w:rPr>
            </w:pPr>
          </w:p>
        </w:tc>
      </w:tr>
    </w:tbl>
    <w:p w14:paraId="42519E6E">
      <w:pPr>
        <w:rPr>
          <w:rFonts w:hint="eastAsia" w:ascii="仿宋" w:hAnsi="仿宋" w:eastAsia="仿宋" w:cs="仿宋"/>
          <w:sz w:val="24"/>
          <w:szCs w:val="24"/>
        </w:rPr>
      </w:pPr>
    </w:p>
    <w:p w14:paraId="1EB8E74C">
      <w:pPr>
        <w:rPr>
          <w:rFonts w:hint="eastAsia" w:ascii="仿宋" w:hAnsi="仿宋" w:eastAsia="仿宋" w:cs="仿宋"/>
          <w:sz w:val="24"/>
          <w:szCs w:val="24"/>
        </w:rPr>
      </w:pPr>
    </w:p>
    <w:p w14:paraId="15EDE8EF">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第5题   您认为东店一级渔港建设项目是否影响近海生态环境？      </w:t>
      </w:r>
      <w:r>
        <w:rPr>
          <w:rFonts w:hint="eastAsia" w:ascii="仿宋" w:hAnsi="仿宋" w:eastAsia="仿宋" w:cs="仿宋"/>
          <w:b w:val="0"/>
          <w:color w:val="0066FF"/>
          <w:sz w:val="24"/>
          <w:szCs w:val="24"/>
        </w:rPr>
        <w:t>[单选题]</w:t>
      </w:r>
    </w:p>
    <w:p w14:paraId="6E5AA670">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43F34B7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7B6FE3AB">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32A357D1">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1C140C3E">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0F26D39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2D1DC397">
            <w:pPr>
              <w:jc w:val="left"/>
              <w:rPr>
                <w:rFonts w:hint="eastAsia" w:ascii="仿宋" w:hAnsi="仿宋" w:eastAsia="仿宋" w:cs="仿宋"/>
                <w:sz w:val="24"/>
                <w:szCs w:val="24"/>
              </w:rPr>
            </w:pPr>
            <w:r>
              <w:rPr>
                <w:rFonts w:hint="eastAsia" w:ascii="仿宋" w:hAnsi="仿宋" w:eastAsia="仿宋" w:cs="仿宋"/>
                <w:sz w:val="24"/>
                <w:szCs w:val="24"/>
              </w:rPr>
              <w:t>无影响</w:t>
            </w:r>
          </w:p>
        </w:tc>
        <w:tc>
          <w:tcPr>
            <w:tcW w:w="1000" w:type="dxa"/>
            <w:shd w:val="clear" w:color="auto" w:fill="FFFFFF"/>
            <w:vAlign w:val="center"/>
          </w:tcPr>
          <w:p w14:paraId="4C0C6C53">
            <w:pPr>
              <w:jc w:val="center"/>
              <w:rPr>
                <w:rFonts w:hint="eastAsia" w:ascii="仿宋" w:hAnsi="仿宋" w:eastAsia="仿宋" w:cs="仿宋"/>
                <w:sz w:val="24"/>
                <w:szCs w:val="24"/>
              </w:rPr>
            </w:pPr>
            <w:r>
              <w:rPr>
                <w:rFonts w:hint="eastAsia" w:ascii="仿宋" w:hAnsi="仿宋" w:eastAsia="仿宋" w:cs="仿宋"/>
                <w:sz w:val="24"/>
                <w:szCs w:val="24"/>
              </w:rPr>
              <w:t>84</w:t>
            </w:r>
          </w:p>
        </w:tc>
        <w:tc>
          <w:tcPr>
            <w:tcW w:w="3106" w:type="dxa"/>
            <w:shd w:val="clear" w:color="auto" w:fill="FFFFFF"/>
            <w:vAlign w:val="center"/>
          </w:tcPr>
          <w:p w14:paraId="26EA69C6">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933450" cy="114300"/>
                  <wp:effectExtent l="0" t="0" r="11430" b="7620"/>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36"/>
                          <a:stretch>
                            <a:fillRect/>
                          </a:stretch>
                        </pic:blipFill>
                        <pic:spPr>
                          <a:xfrm>
                            <a:off x="0" y="0"/>
                            <a:ext cx="933580"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419100" cy="114300"/>
                  <wp:effectExtent l="0" t="0" r="7620" b="762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37"/>
                          <a:stretch>
                            <a:fillRect/>
                          </a:stretch>
                        </pic:blipFill>
                        <pic:spPr>
                          <a:xfrm>
                            <a:off x="0" y="0"/>
                            <a:ext cx="419159" cy="114316"/>
                          </a:xfrm>
                          <a:prstGeom prst="rect">
                            <a:avLst/>
                          </a:prstGeom>
                        </pic:spPr>
                      </pic:pic>
                    </a:graphicData>
                  </a:graphic>
                </wp:inline>
              </w:drawing>
            </w:r>
            <w:r>
              <w:rPr>
                <w:rFonts w:hint="eastAsia" w:ascii="仿宋" w:hAnsi="仿宋" w:eastAsia="仿宋" w:cs="仿宋"/>
                <w:sz w:val="24"/>
                <w:szCs w:val="24"/>
              </w:rPr>
              <w:t>69.42%</w:t>
            </w:r>
          </w:p>
        </w:tc>
      </w:tr>
      <w:tr w14:paraId="5580C2E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79D2C89A">
            <w:pPr>
              <w:jc w:val="left"/>
              <w:rPr>
                <w:rFonts w:hint="eastAsia" w:ascii="仿宋" w:hAnsi="仿宋" w:eastAsia="仿宋" w:cs="仿宋"/>
                <w:sz w:val="24"/>
                <w:szCs w:val="24"/>
              </w:rPr>
            </w:pPr>
            <w:r>
              <w:rPr>
                <w:rFonts w:hint="eastAsia" w:ascii="仿宋" w:hAnsi="仿宋" w:eastAsia="仿宋" w:cs="仿宋"/>
                <w:sz w:val="24"/>
                <w:szCs w:val="24"/>
              </w:rPr>
              <w:t>轻微影响</w:t>
            </w:r>
          </w:p>
        </w:tc>
        <w:tc>
          <w:tcPr>
            <w:tcW w:w="1000" w:type="dxa"/>
            <w:shd w:val="clear" w:color="auto" w:fill="FAFAFA"/>
            <w:vAlign w:val="center"/>
          </w:tcPr>
          <w:p w14:paraId="0E6A1B89">
            <w:pPr>
              <w:jc w:val="center"/>
              <w:rPr>
                <w:rFonts w:hint="eastAsia" w:ascii="仿宋" w:hAnsi="仿宋" w:eastAsia="仿宋" w:cs="仿宋"/>
                <w:sz w:val="24"/>
                <w:szCs w:val="24"/>
              </w:rPr>
            </w:pPr>
            <w:r>
              <w:rPr>
                <w:rFonts w:hint="eastAsia" w:ascii="仿宋" w:hAnsi="仿宋" w:eastAsia="仿宋" w:cs="仿宋"/>
                <w:sz w:val="24"/>
                <w:szCs w:val="24"/>
              </w:rPr>
              <w:t>29</w:t>
            </w:r>
          </w:p>
        </w:tc>
        <w:tc>
          <w:tcPr>
            <w:tcW w:w="3106" w:type="dxa"/>
            <w:shd w:val="clear" w:color="auto" w:fill="FAFAFA"/>
            <w:vAlign w:val="center"/>
          </w:tcPr>
          <w:p w14:paraId="647D5B3D">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23850" cy="114300"/>
                  <wp:effectExtent l="0" t="0" r="11430" b="762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38"/>
                          <a:stretch>
                            <a:fillRect/>
                          </a:stretch>
                        </pic:blipFill>
                        <pic:spPr>
                          <a:xfrm>
                            <a:off x="0" y="0"/>
                            <a:ext cx="323895"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028700" cy="114300"/>
                  <wp:effectExtent l="0" t="0" r="7620" b="762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39"/>
                          <a:stretch>
                            <a:fillRect/>
                          </a:stretch>
                        </pic:blipFill>
                        <pic:spPr>
                          <a:xfrm>
                            <a:off x="0" y="0"/>
                            <a:ext cx="1028844" cy="114316"/>
                          </a:xfrm>
                          <a:prstGeom prst="rect">
                            <a:avLst/>
                          </a:prstGeom>
                        </pic:spPr>
                      </pic:pic>
                    </a:graphicData>
                  </a:graphic>
                </wp:inline>
              </w:drawing>
            </w:r>
            <w:r>
              <w:rPr>
                <w:rFonts w:hint="eastAsia" w:ascii="仿宋" w:hAnsi="仿宋" w:eastAsia="仿宋" w:cs="仿宋"/>
                <w:sz w:val="24"/>
                <w:szCs w:val="24"/>
              </w:rPr>
              <w:t>23.97%</w:t>
            </w:r>
          </w:p>
        </w:tc>
      </w:tr>
      <w:tr w14:paraId="7D88BC0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651BC496">
            <w:pPr>
              <w:jc w:val="left"/>
              <w:rPr>
                <w:rFonts w:hint="eastAsia" w:ascii="仿宋" w:hAnsi="仿宋" w:eastAsia="仿宋" w:cs="仿宋"/>
                <w:sz w:val="24"/>
                <w:szCs w:val="24"/>
              </w:rPr>
            </w:pPr>
            <w:r>
              <w:rPr>
                <w:rFonts w:hint="eastAsia" w:ascii="仿宋" w:hAnsi="仿宋" w:eastAsia="仿宋" w:cs="仿宋"/>
                <w:sz w:val="24"/>
                <w:szCs w:val="24"/>
              </w:rPr>
              <w:t>较大影响，影响原因：</w:t>
            </w:r>
          </w:p>
        </w:tc>
        <w:tc>
          <w:tcPr>
            <w:tcW w:w="1000" w:type="dxa"/>
            <w:shd w:val="clear" w:color="auto" w:fill="FFFFFF"/>
            <w:vAlign w:val="center"/>
          </w:tcPr>
          <w:p w14:paraId="465D37A1">
            <w:pPr>
              <w:jc w:val="center"/>
              <w:rPr>
                <w:rFonts w:hint="eastAsia" w:ascii="仿宋" w:hAnsi="仿宋" w:eastAsia="仿宋" w:cs="仿宋"/>
                <w:sz w:val="24"/>
                <w:szCs w:val="24"/>
              </w:rPr>
            </w:pPr>
            <w:r>
              <w:rPr>
                <w:rFonts w:hint="eastAsia" w:ascii="仿宋" w:hAnsi="仿宋" w:eastAsia="仿宋" w:cs="仿宋"/>
                <w:sz w:val="24"/>
                <w:szCs w:val="24"/>
              </w:rPr>
              <w:t>6</w:t>
            </w:r>
          </w:p>
        </w:tc>
        <w:tc>
          <w:tcPr>
            <w:tcW w:w="3106" w:type="dxa"/>
            <w:shd w:val="clear" w:color="auto" w:fill="FFFFFF"/>
            <w:vAlign w:val="center"/>
          </w:tcPr>
          <w:p w14:paraId="1443469E">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66675" cy="114300"/>
                  <wp:effectExtent l="0" t="0" r="9525" b="762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40"/>
                          <a:stretch>
                            <a:fillRect/>
                          </a:stretch>
                        </pic:blipFill>
                        <pic:spPr>
                          <a:xfrm>
                            <a:off x="0" y="0"/>
                            <a:ext cx="66684"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285875" cy="114300"/>
                  <wp:effectExtent l="0" t="0" r="9525" b="762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41"/>
                          <a:stretch>
                            <a:fillRect/>
                          </a:stretch>
                        </pic:blipFill>
                        <pic:spPr>
                          <a:xfrm>
                            <a:off x="0" y="0"/>
                            <a:ext cx="1286055" cy="114316"/>
                          </a:xfrm>
                          <a:prstGeom prst="rect">
                            <a:avLst/>
                          </a:prstGeom>
                        </pic:spPr>
                      </pic:pic>
                    </a:graphicData>
                  </a:graphic>
                </wp:inline>
              </w:drawing>
            </w:r>
            <w:r>
              <w:rPr>
                <w:rFonts w:hint="eastAsia" w:ascii="仿宋" w:hAnsi="仿宋" w:eastAsia="仿宋" w:cs="仿宋"/>
                <w:sz w:val="24"/>
                <w:szCs w:val="24"/>
              </w:rPr>
              <w:t>4.96%</w:t>
            </w:r>
          </w:p>
        </w:tc>
      </w:tr>
      <w:tr w14:paraId="575F63D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40849E35">
            <w:pPr>
              <w:jc w:val="left"/>
              <w:rPr>
                <w:rFonts w:hint="eastAsia" w:ascii="仿宋" w:hAnsi="仿宋" w:eastAsia="仿宋" w:cs="仿宋"/>
                <w:sz w:val="24"/>
                <w:szCs w:val="24"/>
              </w:rPr>
            </w:pPr>
            <w:r>
              <w:rPr>
                <w:rFonts w:hint="eastAsia" w:ascii="仿宋" w:hAnsi="仿宋" w:eastAsia="仿宋" w:cs="仿宋"/>
                <w:sz w:val="24"/>
                <w:szCs w:val="24"/>
              </w:rPr>
              <w:t>严重影响，影响原因：</w:t>
            </w:r>
          </w:p>
        </w:tc>
        <w:tc>
          <w:tcPr>
            <w:tcW w:w="1000" w:type="dxa"/>
            <w:shd w:val="clear" w:color="auto" w:fill="FAFAFA"/>
            <w:vAlign w:val="center"/>
          </w:tcPr>
          <w:p w14:paraId="69317269">
            <w:pPr>
              <w:jc w:val="center"/>
              <w:rPr>
                <w:rFonts w:hint="eastAsia" w:ascii="仿宋" w:hAnsi="仿宋" w:eastAsia="仿宋" w:cs="仿宋"/>
                <w:sz w:val="24"/>
                <w:szCs w:val="24"/>
              </w:rPr>
            </w:pPr>
            <w:r>
              <w:rPr>
                <w:rFonts w:hint="eastAsia" w:ascii="仿宋" w:hAnsi="仿宋" w:eastAsia="仿宋" w:cs="仿宋"/>
                <w:sz w:val="24"/>
                <w:szCs w:val="24"/>
              </w:rPr>
              <w:t>2</w:t>
            </w:r>
          </w:p>
        </w:tc>
        <w:tc>
          <w:tcPr>
            <w:tcW w:w="3106" w:type="dxa"/>
            <w:shd w:val="clear" w:color="auto" w:fill="FAFAFA"/>
            <w:vAlign w:val="center"/>
          </w:tcPr>
          <w:p w14:paraId="122DCB75">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9050" cy="114300"/>
                  <wp:effectExtent l="0" t="0" r="11430" b="7620"/>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26"/>
                          <a:stretch>
                            <a:fillRect/>
                          </a:stretch>
                        </pic:blipFill>
                        <pic:spPr>
                          <a:xfrm>
                            <a:off x="0" y="0"/>
                            <a:ext cx="19053"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33500" cy="114300"/>
                  <wp:effectExtent l="0" t="0" r="7620" b="762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7"/>
                          <a:stretch>
                            <a:fillRect/>
                          </a:stretch>
                        </pic:blipFill>
                        <pic:spPr>
                          <a:xfrm>
                            <a:off x="0" y="0"/>
                            <a:ext cx="1333686" cy="114316"/>
                          </a:xfrm>
                          <a:prstGeom prst="rect">
                            <a:avLst/>
                          </a:prstGeom>
                        </pic:spPr>
                      </pic:pic>
                    </a:graphicData>
                  </a:graphic>
                </wp:inline>
              </w:drawing>
            </w:r>
            <w:r>
              <w:rPr>
                <w:rFonts w:hint="eastAsia" w:ascii="仿宋" w:hAnsi="仿宋" w:eastAsia="仿宋" w:cs="仿宋"/>
                <w:sz w:val="24"/>
                <w:szCs w:val="24"/>
              </w:rPr>
              <w:t>1.65%</w:t>
            </w:r>
          </w:p>
        </w:tc>
      </w:tr>
      <w:tr w14:paraId="0F09252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113167FC">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3BCB422F">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38101CCE">
            <w:pPr>
              <w:jc w:val="left"/>
              <w:rPr>
                <w:rFonts w:hint="eastAsia" w:ascii="仿宋" w:hAnsi="仿宋" w:eastAsia="仿宋" w:cs="仿宋"/>
                <w:sz w:val="24"/>
                <w:szCs w:val="24"/>
              </w:rPr>
            </w:pPr>
          </w:p>
        </w:tc>
      </w:tr>
    </w:tbl>
    <w:p w14:paraId="01B1AB39">
      <w:pPr>
        <w:rPr>
          <w:rFonts w:hint="eastAsia" w:ascii="仿宋" w:hAnsi="仿宋" w:eastAsia="仿宋" w:cs="仿宋"/>
          <w:sz w:val="24"/>
          <w:szCs w:val="24"/>
        </w:rPr>
      </w:pPr>
    </w:p>
    <w:p w14:paraId="29252B56">
      <w:pPr>
        <w:rPr>
          <w:rFonts w:hint="eastAsia" w:ascii="仿宋" w:hAnsi="仿宋" w:eastAsia="仿宋" w:cs="仿宋"/>
          <w:sz w:val="24"/>
          <w:szCs w:val="24"/>
        </w:rPr>
      </w:pPr>
    </w:p>
    <w:p w14:paraId="5BF10AB8">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第6题   您认为东店一级渔港建设项目建成后，对您的渔业收入影响如何？      </w:t>
      </w:r>
      <w:r>
        <w:rPr>
          <w:rFonts w:hint="eastAsia" w:ascii="仿宋" w:hAnsi="仿宋" w:eastAsia="仿宋" w:cs="仿宋"/>
          <w:b w:val="0"/>
          <w:color w:val="0066FF"/>
          <w:sz w:val="24"/>
          <w:szCs w:val="24"/>
        </w:rPr>
        <w:t>[单选题]</w:t>
      </w:r>
    </w:p>
    <w:p w14:paraId="2D7E5920">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059BC8B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7D74A88D">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0AC583E7">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00C91B88">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4C54C3C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C8817EE">
            <w:pPr>
              <w:jc w:val="left"/>
              <w:rPr>
                <w:rFonts w:hint="eastAsia" w:ascii="仿宋" w:hAnsi="仿宋" w:eastAsia="仿宋" w:cs="仿宋"/>
                <w:sz w:val="24"/>
                <w:szCs w:val="24"/>
              </w:rPr>
            </w:pPr>
            <w:r>
              <w:rPr>
                <w:rFonts w:hint="eastAsia" w:ascii="仿宋" w:hAnsi="仿宋" w:eastAsia="仿宋" w:cs="仿宋"/>
                <w:sz w:val="24"/>
                <w:szCs w:val="24"/>
              </w:rPr>
              <w:t>显著增加</w:t>
            </w:r>
          </w:p>
        </w:tc>
        <w:tc>
          <w:tcPr>
            <w:tcW w:w="1000" w:type="dxa"/>
            <w:shd w:val="clear" w:color="auto" w:fill="FFFFFF"/>
            <w:vAlign w:val="center"/>
          </w:tcPr>
          <w:p w14:paraId="3397EF07">
            <w:pPr>
              <w:jc w:val="center"/>
              <w:rPr>
                <w:rFonts w:hint="eastAsia" w:ascii="仿宋" w:hAnsi="仿宋" w:eastAsia="仿宋" w:cs="仿宋"/>
                <w:sz w:val="24"/>
                <w:szCs w:val="24"/>
              </w:rPr>
            </w:pPr>
            <w:r>
              <w:rPr>
                <w:rFonts w:hint="eastAsia" w:ascii="仿宋" w:hAnsi="仿宋" w:eastAsia="仿宋" w:cs="仿宋"/>
                <w:sz w:val="24"/>
                <w:szCs w:val="24"/>
              </w:rPr>
              <w:t>38</w:t>
            </w:r>
          </w:p>
        </w:tc>
        <w:tc>
          <w:tcPr>
            <w:tcW w:w="3106" w:type="dxa"/>
            <w:shd w:val="clear" w:color="auto" w:fill="FFFFFF"/>
            <w:vAlign w:val="center"/>
          </w:tcPr>
          <w:p w14:paraId="54B57B73">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19100" cy="114300"/>
                  <wp:effectExtent l="0" t="0" r="7620" b="762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42"/>
                          <a:stretch>
                            <a:fillRect/>
                          </a:stretch>
                        </pic:blipFill>
                        <pic:spPr>
                          <a:xfrm>
                            <a:off x="0" y="0"/>
                            <a:ext cx="419159"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933450" cy="114300"/>
                  <wp:effectExtent l="0" t="0" r="11430" b="762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43"/>
                          <a:stretch>
                            <a:fillRect/>
                          </a:stretch>
                        </pic:blipFill>
                        <pic:spPr>
                          <a:xfrm>
                            <a:off x="0" y="0"/>
                            <a:ext cx="933580" cy="114316"/>
                          </a:xfrm>
                          <a:prstGeom prst="rect">
                            <a:avLst/>
                          </a:prstGeom>
                        </pic:spPr>
                      </pic:pic>
                    </a:graphicData>
                  </a:graphic>
                </wp:inline>
              </w:drawing>
            </w:r>
            <w:r>
              <w:rPr>
                <w:rFonts w:hint="eastAsia" w:ascii="仿宋" w:hAnsi="仿宋" w:eastAsia="仿宋" w:cs="仿宋"/>
                <w:sz w:val="24"/>
                <w:szCs w:val="24"/>
              </w:rPr>
              <w:t>31.4%</w:t>
            </w:r>
          </w:p>
        </w:tc>
      </w:tr>
      <w:tr w14:paraId="38D87A9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69338EF">
            <w:pPr>
              <w:jc w:val="left"/>
              <w:rPr>
                <w:rFonts w:hint="eastAsia" w:ascii="仿宋" w:hAnsi="仿宋" w:eastAsia="仿宋" w:cs="仿宋"/>
                <w:sz w:val="24"/>
                <w:szCs w:val="24"/>
              </w:rPr>
            </w:pPr>
            <w:r>
              <w:rPr>
                <w:rFonts w:hint="eastAsia" w:ascii="仿宋" w:hAnsi="仿宋" w:eastAsia="仿宋" w:cs="仿宋"/>
                <w:sz w:val="24"/>
                <w:szCs w:val="24"/>
              </w:rPr>
              <w:t>有所增加</w:t>
            </w:r>
          </w:p>
        </w:tc>
        <w:tc>
          <w:tcPr>
            <w:tcW w:w="1000" w:type="dxa"/>
            <w:shd w:val="clear" w:color="auto" w:fill="FAFAFA"/>
            <w:vAlign w:val="center"/>
          </w:tcPr>
          <w:p w14:paraId="38652900">
            <w:pPr>
              <w:jc w:val="center"/>
              <w:rPr>
                <w:rFonts w:hint="eastAsia" w:ascii="仿宋" w:hAnsi="仿宋" w:eastAsia="仿宋" w:cs="仿宋"/>
                <w:sz w:val="24"/>
                <w:szCs w:val="24"/>
              </w:rPr>
            </w:pPr>
            <w:r>
              <w:rPr>
                <w:rFonts w:hint="eastAsia" w:ascii="仿宋" w:hAnsi="仿宋" w:eastAsia="仿宋" w:cs="仿宋"/>
                <w:sz w:val="24"/>
                <w:szCs w:val="24"/>
              </w:rPr>
              <w:t>44</w:t>
            </w:r>
          </w:p>
        </w:tc>
        <w:tc>
          <w:tcPr>
            <w:tcW w:w="3106" w:type="dxa"/>
            <w:shd w:val="clear" w:color="auto" w:fill="FAFAFA"/>
            <w:vAlign w:val="center"/>
          </w:tcPr>
          <w:p w14:paraId="441E2CEC">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85775" cy="114300"/>
                  <wp:effectExtent l="0" t="0" r="1905" b="7620"/>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44"/>
                          <a:stretch>
                            <a:fillRect/>
                          </a:stretch>
                        </pic:blipFill>
                        <pic:spPr>
                          <a:xfrm>
                            <a:off x="0" y="0"/>
                            <a:ext cx="485843"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866775" cy="114300"/>
                  <wp:effectExtent l="0" t="0" r="1905" b="762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45"/>
                          <a:stretch>
                            <a:fillRect/>
                          </a:stretch>
                        </pic:blipFill>
                        <pic:spPr>
                          <a:xfrm>
                            <a:off x="0" y="0"/>
                            <a:ext cx="866896" cy="114316"/>
                          </a:xfrm>
                          <a:prstGeom prst="rect">
                            <a:avLst/>
                          </a:prstGeom>
                        </pic:spPr>
                      </pic:pic>
                    </a:graphicData>
                  </a:graphic>
                </wp:inline>
              </w:drawing>
            </w:r>
            <w:r>
              <w:rPr>
                <w:rFonts w:hint="eastAsia" w:ascii="仿宋" w:hAnsi="仿宋" w:eastAsia="仿宋" w:cs="仿宋"/>
                <w:sz w:val="24"/>
                <w:szCs w:val="24"/>
              </w:rPr>
              <w:t>36.36%</w:t>
            </w:r>
          </w:p>
        </w:tc>
      </w:tr>
      <w:tr w14:paraId="3108B75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3886D9FA">
            <w:pPr>
              <w:jc w:val="left"/>
              <w:rPr>
                <w:rFonts w:hint="eastAsia" w:ascii="仿宋" w:hAnsi="仿宋" w:eastAsia="仿宋" w:cs="仿宋"/>
                <w:sz w:val="24"/>
                <w:szCs w:val="24"/>
              </w:rPr>
            </w:pPr>
            <w:r>
              <w:rPr>
                <w:rFonts w:hint="eastAsia" w:ascii="仿宋" w:hAnsi="仿宋" w:eastAsia="仿宋" w:cs="仿宋"/>
                <w:sz w:val="24"/>
                <w:szCs w:val="24"/>
              </w:rPr>
              <w:t>基本不变</w:t>
            </w:r>
          </w:p>
        </w:tc>
        <w:tc>
          <w:tcPr>
            <w:tcW w:w="1000" w:type="dxa"/>
            <w:shd w:val="clear" w:color="auto" w:fill="FFFFFF"/>
            <w:vAlign w:val="center"/>
          </w:tcPr>
          <w:p w14:paraId="6B768903">
            <w:pPr>
              <w:jc w:val="center"/>
              <w:rPr>
                <w:rFonts w:hint="eastAsia" w:ascii="仿宋" w:hAnsi="仿宋" w:eastAsia="仿宋" w:cs="仿宋"/>
                <w:sz w:val="24"/>
                <w:szCs w:val="24"/>
              </w:rPr>
            </w:pPr>
            <w:r>
              <w:rPr>
                <w:rFonts w:hint="eastAsia" w:ascii="仿宋" w:hAnsi="仿宋" w:eastAsia="仿宋" w:cs="仿宋"/>
                <w:sz w:val="24"/>
                <w:szCs w:val="24"/>
              </w:rPr>
              <w:t>38</w:t>
            </w:r>
          </w:p>
        </w:tc>
        <w:tc>
          <w:tcPr>
            <w:tcW w:w="3106" w:type="dxa"/>
            <w:shd w:val="clear" w:color="auto" w:fill="FFFFFF"/>
            <w:vAlign w:val="center"/>
          </w:tcPr>
          <w:p w14:paraId="3442B32C">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19100" cy="114300"/>
                  <wp:effectExtent l="0" t="0" r="7620" b="7620"/>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42"/>
                          <a:stretch>
                            <a:fillRect/>
                          </a:stretch>
                        </pic:blipFill>
                        <pic:spPr>
                          <a:xfrm>
                            <a:off x="0" y="0"/>
                            <a:ext cx="419159"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933450" cy="114300"/>
                  <wp:effectExtent l="0" t="0" r="11430" b="762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43"/>
                          <a:stretch>
                            <a:fillRect/>
                          </a:stretch>
                        </pic:blipFill>
                        <pic:spPr>
                          <a:xfrm>
                            <a:off x="0" y="0"/>
                            <a:ext cx="933580" cy="114316"/>
                          </a:xfrm>
                          <a:prstGeom prst="rect">
                            <a:avLst/>
                          </a:prstGeom>
                        </pic:spPr>
                      </pic:pic>
                    </a:graphicData>
                  </a:graphic>
                </wp:inline>
              </w:drawing>
            </w:r>
            <w:r>
              <w:rPr>
                <w:rFonts w:hint="eastAsia" w:ascii="仿宋" w:hAnsi="仿宋" w:eastAsia="仿宋" w:cs="仿宋"/>
                <w:sz w:val="24"/>
                <w:szCs w:val="24"/>
              </w:rPr>
              <w:t>31.4%</w:t>
            </w:r>
          </w:p>
        </w:tc>
      </w:tr>
      <w:tr w14:paraId="73A2608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712A7AA">
            <w:pPr>
              <w:jc w:val="left"/>
              <w:rPr>
                <w:rFonts w:hint="eastAsia" w:ascii="仿宋" w:hAnsi="仿宋" w:eastAsia="仿宋" w:cs="仿宋"/>
                <w:sz w:val="24"/>
                <w:szCs w:val="24"/>
              </w:rPr>
            </w:pPr>
            <w:r>
              <w:rPr>
                <w:rFonts w:hint="eastAsia" w:ascii="仿宋" w:hAnsi="仿宋" w:eastAsia="仿宋" w:cs="仿宋"/>
                <w:sz w:val="24"/>
                <w:szCs w:val="24"/>
              </w:rPr>
              <w:t>可能减少，减少的原因：</w:t>
            </w:r>
          </w:p>
        </w:tc>
        <w:tc>
          <w:tcPr>
            <w:tcW w:w="1000" w:type="dxa"/>
            <w:shd w:val="clear" w:color="auto" w:fill="FAFAFA"/>
            <w:vAlign w:val="center"/>
          </w:tcPr>
          <w:p w14:paraId="2C7A84D8">
            <w:pPr>
              <w:jc w:val="center"/>
              <w:rPr>
                <w:rFonts w:hint="eastAsia" w:ascii="仿宋" w:hAnsi="仿宋" w:eastAsia="仿宋" w:cs="仿宋"/>
                <w:sz w:val="24"/>
                <w:szCs w:val="24"/>
              </w:rPr>
            </w:pPr>
            <w:r>
              <w:rPr>
                <w:rFonts w:hint="eastAsia" w:ascii="仿宋" w:hAnsi="仿宋" w:eastAsia="仿宋" w:cs="仿宋"/>
                <w:sz w:val="24"/>
                <w:szCs w:val="24"/>
              </w:rPr>
              <w:t>1</w:t>
            </w:r>
          </w:p>
        </w:tc>
        <w:tc>
          <w:tcPr>
            <w:tcW w:w="3106" w:type="dxa"/>
            <w:shd w:val="clear" w:color="auto" w:fill="FAFAFA"/>
            <w:vAlign w:val="center"/>
          </w:tcPr>
          <w:p w14:paraId="05F7F16B">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9525" cy="114300"/>
                  <wp:effectExtent l="0" t="0" r="5715" b="6985"/>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34"/>
                          <a:stretch>
                            <a:fillRect/>
                          </a:stretch>
                        </pic:blipFill>
                        <pic:spPr>
                          <a:xfrm>
                            <a:off x="0" y="0"/>
                            <a:ext cx="9526"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43025" cy="114300"/>
                  <wp:effectExtent l="0" t="0" r="13335" b="762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35"/>
                          <a:stretch>
                            <a:fillRect/>
                          </a:stretch>
                        </pic:blipFill>
                        <pic:spPr>
                          <a:xfrm>
                            <a:off x="0" y="0"/>
                            <a:ext cx="1343212" cy="114316"/>
                          </a:xfrm>
                          <a:prstGeom prst="rect">
                            <a:avLst/>
                          </a:prstGeom>
                        </pic:spPr>
                      </pic:pic>
                    </a:graphicData>
                  </a:graphic>
                </wp:inline>
              </w:drawing>
            </w:r>
            <w:r>
              <w:rPr>
                <w:rFonts w:hint="eastAsia" w:ascii="仿宋" w:hAnsi="仿宋" w:eastAsia="仿宋" w:cs="仿宋"/>
                <w:sz w:val="24"/>
                <w:szCs w:val="24"/>
              </w:rPr>
              <w:t>0.83%</w:t>
            </w:r>
          </w:p>
        </w:tc>
      </w:tr>
      <w:tr w14:paraId="73E74F5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186BF65E">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528DC62A">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4BB0C0B0">
            <w:pPr>
              <w:jc w:val="left"/>
              <w:rPr>
                <w:rFonts w:hint="eastAsia" w:ascii="仿宋" w:hAnsi="仿宋" w:eastAsia="仿宋" w:cs="仿宋"/>
                <w:sz w:val="24"/>
                <w:szCs w:val="24"/>
              </w:rPr>
            </w:pPr>
          </w:p>
        </w:tc>
      </w:tr>
    </w:tbl>
    <w:p w14:paraId="68154CF6">
      <w:pPr>
        <w:rPr>
          <w:rFonts w:hint="eastAsia" w:ascii="仿宋" w:hAnsi="仿宋" w:eastAsia="仿宋" w:cs="仿宋"/>
          <w:sz w:val="24"/>
          <w:szCs w:val="24"/>
        </w:rPr>
      </w:pPr>
    </w:p>
    <w:p w14:paraId="6C1D3003">
      <w:pPr>
        <w:rPr>
          <w:rFonts w:hint="eastAsia" w:ascii="仿宋" w:hAnsi="仿宋" w:eastAsia="仿宋" w:cs="仿宋"/>
          <w:sz w:val="24"/>
          <w:szCs w:val="24"/>
        </w:rPr>
      </w:pPr>
    </w:p>
    <w:p w14:paraId="5E4956BC">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第7题   东店一级渔港建设项目施工造成的主要困扰是（可多选）：      </w:t>
      </w:r>
      <w:r>
        <w:rPr>
          <w:rFonts w:hint="eastAsia" w:ascii="仿宋" w:hAnsi="仿宋" w:eastAsia="仿宋" w:cs="仿宋"/>
          <w:b w:val="0"/>
          <w:color w:val="0066FF"/>
          <w:sz w:val="24"/>
          <w:szCs w:val="24"/>
        </w:rPr>
        <w:t>[多选题]</w:t>
      </w:r>
    </w:p>
    <w:p w14:paraId="224D5258">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4B7E33A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766528F1">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30DABFD1">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2557ECF2">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5E0A10B8">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50D03C2E">
            <w:pPr>
              <w:jc w:val="left"/>
              <w:rPr>
                <w:rFonts w:hint="eastAsia" w:ascii="仿宋" w:hAnsi="仿宋" w:eastAsia="仿宋" w:cs="仿宋"/>
                <w:sz w:val="24"/>
                <w:szCs w:val="24"/>
              </w:rPr>
            </w:pPr>
            <w:r>
              <w:rPr>
                <w:rFonts w:hint="eastAsia" w:ascii="仿宋" w:hAnsi="仿宋" w:eastAsia="仿宋" w:cs="仿宋"/>
                <w:sz w:val="24"/>
                <w:szCs w:val="24"/>
              </w:rPr>
              <w:t>码头临时封闭，停泊不便</w:t>
            </w:r>
          </w:p>
        </w:tc>
        <w:tc>
          <w:tcPr>
            <w:tcW w:w="1000" w:type="dxa"/>
            <w:shd w:val="clear" w:color="auto" w:fill="FFFFFF"/>
            <w:vAlign w:val="center"/>
          </w:tcPr>
          <w:p w14:paraId="35819F50">
            <w:pPr>
              <w:jc w:val="center"/>
              <w:rPr>
                <w:rFonts w:hint="eastAsia" w:ascii="仿宋" w:hAnsi="仿宋" w:eastAsia="仿宋" w:cs="仿宋"/>
                <w:sz w:val="24"/>
                <w:szCs w:val="24"/>
              </w:rPr>
            </w:pPr>
            <w:r>
              <w:rPr>
                <w:rFonts w:hint="eastAsia" w:ascii="仿宋" w:hAnsi="仿宋" w:eastAsia="仿宋" w:cs="仿宋"/>
                <w:sz w:val="24"/>
                <w:szCs w:val="24"/>
              </w:rPr>
              <w:t>45</w:t>
            </w:r>
          </w:p>
        </w:tc>
        <w:tc>
          <w:tcPr>
            <w:tcW w:w="3106" w:type="dxa"/>
            <w:shd w:val="clear" w:color="auto" w:fill="FFFFFF"/>
            <w:vAlign w:val="center"/>
          </w:tcPr>
          <w:p w14:paraId="6AE2A34F">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95300" cy="114300"/>
                  <wp:effectExtent l="0" t="0" r="7620" b="7620"/>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46"/>
                          <a:stretch>
                            <a:fillRect/>
                          </a:stretch>
                        </pic:blipFill>
                        <pic:spPr>
                          <a:xfrm>
                            <a:off x="0" y="0"/>
                            <a:ext cx="495369"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857250" cy="114300"/>
                  <wp:effectExtent l="0" t="0" r="11430" b="762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47"/>
                          <a:stretch>
                            <a:fillRect/>
                          </a:stretch>
                        </pic:blipFill>
                        <pic:spPr>
                          <a:xfrm>
                            <a:off x="0" y="0"/>
                            <a:ext cx="857370" cy="114316"/>
                          </a:xfrm>
                          <a:prstGeom prst="rect">
                            <a:avLst/>
                          </a:prstGeom>
                        </pic:spPr>
                      </pic:pic>
                    </a:graphicData>
                  </a:graphic>
                </wp:inline>
              </w:drawing>
            </w:r>
            <w:r>
              <w:rPr>
                <w:rFonts w:hint="eastAsia" w:ascii="仿宋" w:hAnsi="仿宋" w:eastAsia="仿宋" w:cs="仿宋"/>
                <w:sz w:val="24"/>
                <w:szCs w:val="24"/>
              </w:rPr>
              <w:t>37.19%</w:t>
            </w:r>
          </w:p>
        </w:tc>
      </w:tr>
      <w:tr w14:paraId="0BE9653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4571A8C5">
            <w:pPr>
              <w:jc w:val="left"/>
              <w:rPr>
                <w:rFonts w:hint="eastAsia" w:ascii="仿宋" w:hAnsi="仿宋" w:eastAsia="仿宋" w:cs="仿宋"/>
                <w:sz w:val="24"/>
                <w:szCs w:val="24"/>
              </w:rPr>
            </w:pPr>
            <w:r>
              <w:rPr>
                <w:rFonts w:hint="eastAsia" w:ascii="仿宋" w:hAnsi="仿宋" w:eastAsia="仿宋" w:cs="仿宋"/>
                <w:sz w:val="24"/>
                <w:szCs w:val="24"/>
              </w:rPr>
              <w:t>航道施工导致出航受限</w:t>
            </w:r>
          </w:p>
        </w:tc>
        <w:tc>
          <w:tcPr>
            <w:tcW w:w="1000" w:type="dxa"/>
            <w:shd w:val="clear" w:color="auto" w:fill="FAFAFA"/>
            <w:vAlign w:val="center"/>
          </w:tcPr>
          <w:p w14:paraId="59753BBE">
            <w:pPr>
              <w:jc w:val="center"/>
              <w:rPr>
                <w:rFonts w:hint="eastAsia" w:ascii="仿宋" w:hAnsi="仿宋" w:eastAsia="仿宋" w:cs="仿宋"/>
                <w:sz w:val="24"/>
                <w:szCs w:val="24"/>
              </w:rPr>
            </w:pPr>
            <w:r>
              <w:rPr>
                <w:rFonts w:hint="eastAsia" w:ascii="仿宋" w:hAnsi="仿宋" w:eastAsia="仿宋" w:cs="仿宋"/>
                <w:sz w:val="24"/>
                <w:szCs w:val="24"/>
              </w:rPr>
              <w:t>32</w:t>
            </w:r>
          </w:p>
        </w:tc>
        <w:tc>
          <w:tcPr>
            <w:tcW w:w="3106" w:type="dxa"/>
            <w:shd w:val="clear" w:color="auto" w:fill="FAFAFA"/>
            <w:vAlign w:val="center"/>
          </w:tcPr>
          <w:p w14:paraId="65C3CEED">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52425" cy="114300"/>
                  <wp:effectExtent l="0" t="0" r="13335" b="762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13"/>
                          <a:stretch>
                            <a:fillRect/>
                          </a:stretch>
                        </pic:blipFill>
                        <pic:spPr>
                          <a:xfrm>
                            <a:off x="0" y="0"/>
                            <a:ext cx="352474"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000125" cy="114300"/>
                  <wp:effectExtent l="0" t="0" r="5715" b="762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4"/>
                          <a:stretch>
                            <a:fillRect/>
                          </a:stretch>
                        </pic:blipFill>
                        <pic:spPr>
                          <a:xfrm>
                            <a:off x="0" y="0"/>
                            <a:ext cx="1000265" cy="114316"/>
                          </a:xfrm>
                          <a:prstGeom prst="rect">
                            <a:avLst/>
                          </a:prstGeom>
                        </pic:spPr>
                      </pic:pic>
                    </a:graphicData>
                  </a:graphic>
                </wp:inline>
              </w:drawing>
            </w:r>
            <w:r>
              <w:rPr>
                <w:rFonts w:hint="eastAsia" w:ascii="仿宋" w:hAnsi="仿宋" w:eastAsia="仿宋" w:cs="仿宋"/>
                <w:sz w:val="24"/>
                <w:szCs w:val="24"/>
              </w:rPr>
              <w:t>26.45%</w:t>
            </w:r>
          </w:p>
        </w:tc>
      </w:tr>
      <w:tr w14:paraId="7ED6600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1035B639">
            <w:pPr>
              <w:jc w:val="left"/>
              <w:rPr>
                <w:rFonts w:hint="eastAsia" w:ascii="仿宋" w:hAnsi="仿宋" w:eastAsia="仿宋" w:cs="仿宋"/>
                <w:sz w:val="24"/>
                <w:szCs w:val="24"/>
              </w:rPr>
            </w:pPr>
            <w:r>
              <w:rPr>
                <w:rFonts w:hint="eastAsia" w:ascii="仿宋" w:hAnsi="仿宋" w:eastAsia="仿宋" w:cs="仿宋"/>
                <w:sz w:val="24"/>
                <w:szCs w:val="24"/>
              </w:rPr>
              <w:t>噪音影响休息</w:t>
            </w:r>
          </w:p>
        </w:tc>
        <w:tc>
          <w:tcPr>
            <w:tcW w:w="1000" w:type="dxa"/>
            <w:shd w:val="clear" w:color="auto" w:fill="FFFFFF"/>
            <w:vAlign w:val="center"/>
          </w:tcPr>
          <w:p w14:paraId="3EC58063">
            <w:pPr>
              <w:jc w:val="center"/>
              <w:rPr>
                <w:rFonts w:hint="eastAsia" w:ascii="仿宋" w:hAnsi="仿宋" w:eastAsia="仿宋" w:cs="仿宋"/>
                <w:sz w:val="24"/>
                <w:szCs w:val="24"/>
              </w:rPr>
            </w:pPr>
            <w:r>
              <w:rPr>
                <w:rFonts w:hint="eastAsia" w:ascii="仿宋" w:hAnsi="仿宋" w:eastAsia="仿宋" w:cs="仿宋"/>
                <w:sz w:val="24"/>
                <w:szCs w:val="24"/>
              </w:rPr>
              <w:t>10</w:t>
            </w:r>
          </w:p>
        </w:tc>
        <w:tc>
          <w:tcPr>
            <w:tcW w:w="3106" w:type="dxa"/>
            <w:shd w:val="clear" w:color="auto" w:fill="FFFFFF"/>
            <w:vAlign w:val="center"/>
          </w:tcPr>
          <w:p w14:paraId="4C467189">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04775" cy="114300"/>
                  <wp:effectExtent l="0" t="0" r="1905" b="7620"/>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48"/>
                          <a:stretch>
                            <a:fillRect/>
                          </a:stretch>
                        </pic:blipFill>
                        <pic:spPr>
                          <a:xfrm>
                            <a:off x="0" y="0"/>
                            <a:ext cx="104790"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247775" cy="114300"/>
                  <wp:effectExtent l="0" t="0" r="1905" b="762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49"/>
                          <a:stretch>
                            <a:fillRect/>
                          </a:stretch>
                        </pic:blipFill>
                        <pic:spPr>
                          <a:xfrm>
                            <a:off x="0" y="0"/>
                            <a:ext cx="1247949" cy="114316"/>
                          </a:xfrm>
                          <a:prstGeom prst="rect">
                            <a:avLst/>
                          </a:prstGeom>
                        </pic:spPr>
                      </pic:pic>
                    </a:graphicData>
                  </a:graphic>
                </wp:inline>
              </w:drawing>
            </w:r>
            <w:r>
              <w:rPr>
                <w:rFonts w:hint="eastAsia" w:ascii="仿宋" w:hAnsi="仿宋" w:eastAsia="仿宋" w:cs="仿宋"/>
                <w:sz w:val="24"/>
                <w:szCs w:val="24"/>
              </w:rPr>
              <w:t>8.26%</w:t>
            </w:r>
          </w:p>
        </w:tc>
      </w:tr>
      <w:tr w14:paraId="0A51030F">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680BBBB5">
            <w:pPr>
              <w:jc w:val="left"/>
              <w:rPr>
                <w:rFonts w:hint="eastAsia" w:ascii="仿宋" w:hAnsi="仿宋" w:eastAsia="仿宋" w:cs="仿宋"/>
                <w:sz w:val="24"/>
                <w:szCs w:val="24"/>
              </w:rPr>
            </w:pPr>
            <w:r>
              <w:rPr>
                <w:rFonts w:hint="eastAsia" w:ascii="仿宋" w:hAnsi="仿宋" w:eastAsia="仿宋" w:cs="仿宋"/>
                <w:sz w:val="24"/>
                <w:szCs w:val="24"/>
              </w:rPr>
              <w:t>其他，</w:t>
            </w:r>
          </w:p>
        </w:tc>
        <w:tc>
          <w:tcPr>
            <w:tcW w:w="1000" w:type="dxa"/>
            <w:shd w:val="clear" w:color="auto" w:fill="FAFAFA"/>
            <w:vAlign w:val="center"/>
          </w:tcPr>
          <w:p w14:paraId="0D3E9104">
            <w:pPr>
              <w:jc w:val="center"/>
              <w:rPr>
                <w:rFonts w:hint="eastAsia" w:ascii="仿宋" w:hAnsi="仿宋" w:eastAsia="仿宋" w:cs="仿宋"/>
                <w:sz w:val="24"/>
                <w:szCs w:val="24"/>
              </w:rPr>
            </w:pPr>
            <w:r>
              <w:rPr>
                <w:rFonts w:hint="eastAsia" w:ascii="仿宋" w:hAnsi="仿宋" w:eastAsia="仿宋" w:cs="仿宋"/>
                <w:sz w:val="24"/>
                <w:szCs w:val="24"/>
              </w:rPr>
              <w:t>39</w:t>
            </w:r>
          </w:p>
        </w:tc>
        <w:tc>
          <w:tcPr>
            <w:tcW w:w="3106" w:type="dxa"/>
            <w:shd w:val="clear" w:color="auto" w:fill="FAFAFA"/>
            <w:vAlign w:val="center"/>
          </w:tcPr>
          <w:p w14:paraId="1ABD5888">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28625" cy="114300"/>
                  <wp:effectExtent l="0" t="0" r="13335" b="7620"/>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50"/>
                          <a:stretch>
                            <a:fillRect/>
                          </a:stretch>
                        </pic:blipFill>
                        <pic:spPr>
                          <a:xfrm>
                            <a:off x="0" y="0"/>
                            <a:ext cx="428685"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923925" cy="114300"/>
                  <wp:effectExtent l="0" t="0" r="5715" b="762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51"/>
                          <a:stretch>
                            <a:fillRect/>
                          </a:stretch>
                        </pic:blipFill>
                        <pic:spPr>
                          <a:xfrm>
                            <a:off x="0" y="0"/>
                            <a:ext cx="924054" cy="114316"/>
                          </a:xfrm>
                          <a:prstGeom prst="rect">
                            <a:avLst/>
                          </a:prstGeom>
                        </pic:spPr>
                      </pic:pic>
                    </a:graphicData>
                  </a:graphic>
                </wp:inline>
              </w:drawing>
            </w:r>
            <w:r>
              <w:rPr>
                <w:rFonts w:hint="eastAsia" w:ascii="仿宋" w:hAnsi="仿宋" w:eastAsia="仿宋" w:cs="仿宋"/>
                <w:sz w:val="24"/>
                <w:szCs w:val="24"/>
              </w:rPr>
              <w:t>32.23%</w:t>
            </w:r>
          </w:p>
        </w:tc>
      </w:tr>
      <w:tr w14:paraId="7C0D936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7FE0EC6B">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0DC5C6C2">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046887ED">
            <w:pPr>
              <w:jc w:val="left"/>
              <w:rPr>
                <w:rFonts w:hint="eastAsia" w:ascii="仿宋" w:hAnsi="仿宋" w:eastAsia="仿宋" w:cs="仿宋"/>
                <w:sz w:val="24"/>
                <w:szCs w:val="24"/>
              </w:rPr>
            </w:pPr>
          </w:p>
        </w:tc>
      </w:tr>
    </w:tbl>
    <w:p w14:paraId="0D8A3E2E">
      <w:pPr>
        <w:rPr>
          <w:rFonts w:hint="eastAsia" w:ascii="仿宋" w:hAnsi="仿宋" w:eastAsia="仿宋" w:cs="仿宋"/>
          <w:sz w:val="24"/>
          <w:szCs w:val="24"/>
        </w:rPr>
      </w:pPr>
    </w:p>
    <w:p w14:paraId="0BD2EFED">
      <w:pPr>
        <w:rPr>
          <w:rFonts w:hint="eastAsia" w:ascii="仿宋" w:hAnsi="仿宋" w:eastAsia="仿宋" w:cs="仿宋"/>
          <w:sz w:val="24"/>
          <w:szCs w:val="24"/>
        </w:rPr>
      </w:pPr>
    </w:p>
    <w:p w14:paraId="63F3AC2D">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第8题   您期待政府在东店一级渔港建设项目管理中加强哪些方面（可多选）      </w:t>
      </w:r>
      <w:r>
        <w:rPr>
          <w:rFonts w:hint="eastAsia" w:ascii="仿宋" w:hAnsi="仿宋" w:eastAsia="仿宋" w:cs="仿宋"/>
          <w:b w:val="0"/>
          <w:color w:val="0066FF"/>
          <w:sz w:val="24"/>
          <w:szCs w:val="24"/>
        </w:rPr>
        <w:t>[多选题]</w:t>
      </w:r>
    </w:p>
    <w:p w14:paraId="5E6B4ED8">
      <w:pPr>
        <w:rPr>
          <w:rFonts w:hint="eastAsia" w:ascii="仿宋" w:hAnsi="仿宋" w:eastAsia="仿宋" w:cs="仿宋"/>
          <w:sz w:val="24"/>
          <w:szCs w:val="24"/>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5815A76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505728D6">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7EF5E579">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4496C9C2">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34DAF12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372E18E7">
            <w:pPr>
              <w:jc w:val="left"/>
              <w:rPr>
                <w:rFonts w:hint="eastAsia" w:ascii="仿宋" w:hAnsi="仿宋" w:eastAsia="仿宋" w:cs="仿宋"/>
                <w:sz w:val="24"/>
                <w:szCs w:val="24"/>
              </w:rPr>
            </w:pPr>
            <w:r>
              <w:rPr>
                <w:rFonts w:hint="eastAsia" w:ascii="仿宋" w:hAnsi="仿宋" w:eastAsia="仿宋" w:cs="仿宋"/>
                <w:sz w:val="24"/>
                <w:szCs w:val="24"/>
              </w:rPr>
              <w:t>降低停泊和交易费用</w:t>
            </w:r>
          </w:p>
        </w:tc>
        <w:tc>
          <w:tcPr>
            <w:tcW w:w="1000" w:type="dxa"/>
            <w:shd w:val="clear" w:color="auto" w:fill="FFFFFF"/>
            <w:vAlign w:val="center"/>
          </w:tcPr>
          <w:p w14:paraId="5391A930">
            <w:pPr>
              <w:jc w:val="center"/>
              <w:rPr>
                <w:rFonts w:hint="eastAsia" w:ascii="仿宋" w:hAnsi="仿宋" w:eastAsia="仿宋" w:cs="仿宋"/>
                <w:sz w:val="24"/>
                <w:szCs w:val="24"/>
              </w:rPr>
            </w:pPr>
            <w:r>
              <w:rPr>
                <w:rFonts w:hint="eastAsia" w:ascii="仿宋" w:hAnsi="仿宋" w:eastAsia="仿宋" w:cs="仿宋"/>
                <w:sz w:val="24"/>
                <w:szCs w:val="24"/>
              </w:rPr>
              <w:t>16</w:t>
            </w:r>
          </w:p>
        </w:tc>
        <w:tc>
          <w:tcPr>
            <w:tcW w:w="3106" w:type="dxa"/>
            <w:shd w:val="clear" w:color="auto" w:fill="FFFFFF"/>
            <w:vAlign w:val="center"/>
          </w:tcPr>
          <w:p w14:paraId="71E588E8">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71450" cy="114300"/>
                  <wp:effectExtent l="0" t="0" r="11430" b="7620"/>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9"/>
                          <a:stretch>
                            <a:fillRect/>
                          </a:stretch>
                        </pic:blipFill>
                        <pic:spPr>
                          <a:xfrm>
                            <a:off x="0" y="0"/>
                            <a:ext cx="171474"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181100" cy="114300"/>
                  <wp:effectExtent l="0" t="0" r="7620" b="762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10"/>
                          <a:stretch>
                            <a:fillRect/>
                          </a:stretch>
                        </pic:blipFill>
                        <pic:spPr>
                          <a:xfrm>
                            <a:off x="0" y="0"/>
                            <a:ext cx="1181265" cy="114316"/>
                          </a:xfrm>
                          <a:prstGeom prst="rect">
                            <a:avLst/>
                          </a:prstGeom>
                        </pic:spPr>
                      </pic:pic>
                    </a:graphicData>
                  </a:graphic>
                </wp:inline>
              </w:drawing>
            </w:r>
            <w:r>
              <w:rPr>
                <w:rFonts w:hint="eastAsia" w:ascii="仿宋" w:hAnsi="仿宋" w:eastAsia="仿宋" w:cs="仿宋"/>
                <w:sz w:val="24"/>
                <w:szCs w:val="24"/>
              </w:rPr>
              <w:t>13.22%</w:t>
            </w:r>
          </w:p>
        </w:tc>
      </w:tr>
      <w:tr w14:paraId="7127D1E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2F32C91">
            <w:pPr>
              <w:jc w:val="left"/>
              <w:rPr>
                <w:rFonts w:hint="eastAsia" w:ascii="仿宋" w:hAnsi="仿宋" w:eastAsia="仿宋" w:cs="仿宋"/>
                <w:sz w:val="24"/>
                <w:szCs w:val="24"/>
              </w:rPr>
            </w:pPr>
            <w:r>
              <w:rPr>
                <w:rFonts w:hint="eastAsia" w:ascii="仿宋" w:hAnsi="仿宋" w:eastAsia="仿宋" w:cs="仿宋"/>
                <w:sz w:val="24"/>
                <w:szCs w:val="24"/>
              </w:rPr>
              <w:t>打击非法捕捞，保障公平</w:t>
            </w:r>
          </w:p>
        </w:tc>
        <w:tc>
          <w:tcPr>
            <w:tcW w:w="1000" w:type="dxa"/>
            <w:shd w:val="clear" w:color="auto" w:fill="FAFAFA"/>
            <w:vAlign w:val="center"/>
          </w:tcPr>
          <w:p w14:paraId="0B1AB957">
            <w:pPr>
              <w:jc w:val="center"/>
              <w:rPr>
                <w:rFonts w:hint="eastAsia" w:ascii="仿宋" w:hAnsi="仿宋" w:eastAsia="仿宋" w:cs="仿宋"/>
                <w:sz w:val="24"/>
                <w:szCs w:val="24"/>
              </w:rPr>
            </w:pPr>
            <w:r>
              <w:rPr>
                <w:rFonts w:hint="eastAsia" w:ascii="仿宋" w:hAnsi="仿宋" w:eastAsia="仿宋" w:cs="仿宋"/>
                <w:sz w:val="24"/>
                <w:szCs w:val="24"/>
              </w:rPr>
              <w:t>18</w:t>
            </w:r>
          </w:p>
        </w:tc>
        <w:tc>
          <w:tcPr>
            <w:tcW w:w="3106" w:type="dxa"/>
            <w:shd w:val="clear" w:color="auto" w:fill="FAFAFA"/>
            <w:vAlign w:val="center"/>
          </w:tcPr>
          <w:p w14:paraId="3A7F1127">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200025" cy="114300"/>
                  <wp:effectExtent l="0" t="0" r="13335" b="7620"/>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52"/>
                          <a:stretch>
                            <a:fillRect/>
                          </a:stretch>
                        </pic:blipFill>
                        <pic:spPr>
                          <a:xfrm>
                            <a:off x="0" y="0"/>
                            <a:ext cx="200053"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152525" cy="114300"/>
                  <wp:effectExtent l="0" t="0" r="5715" b="762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53"/>
                          <a:stretch>
                            <a:fillRect/>
                          </a:stretch>
                        </pic:blipFill>
                        <pic:spPr>
                          <a:xfrm>
                            <a:off x="0" y="0"/>
                            <a:ext cx="1152686" cy="114316"/>
                          </a:xfrm>
                          <a:prstGeom prst="rect">
                            <a:avLst/>
                          </a:prstGeom>
                        </pic:spPr>
                      </pic:pic>
                    </a:graphicData>
                  </a:graphic>
                </wp:inline>
              </w:drawing>
            </w:r>
            <w:r>
              <w:rPr>
                <w:rFonts w:hint="eastAsia" w:ascii="仿宋" w:hAnsi="仿宋" w:eastAsia="仿宋" w:cs="仿宋"/>
                <w:sz w:val="24"/>
                <w:szCs w:val="24"/>
              </w:rPr>
              <w:t>14.88%</w:t>
            </w:r>
          </w:p>
        </w:tc>
      </w:tr>
      <w:tr w14:paraId="0C4C7D1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DBDE1D8">
            <w:pPr>
              <w:jc w:val="left"/>
              <w:rPr>
                <w:rFonts w:hint="eastAsia" w:ascii="仿宋" w:hAnsi="仿宋" w:eastAsia="仿宋" w:cs="仿宋"/>
                <w:sz w:val="24"/>
                <w:szCs w:val="24"/>
              </w:rPr>
            </w:pPr>
            <w:r>
              <w:rPr>
                <w:rFonts w:hint="eastAsia" w:ascii="仿宋" w:hAnsi="仿宋" w:eastAsia="仿宋" w:cs="仿宋"/>
                <w:sz w:val="24"/>
                <w:szCs w:val="24"/>
              </w:rPr>
              <w:t>提供渔业技术培训</w:t>
            </w:r>
          </w:p>
        </w:tc>
        <w:tc>
          <w:tcPr>
            <w:tcW w:w="1000" w:type="dxa"/>
            <w:shd w:val="clear" w:color="auto" w:fill="FFFFFF"/>
            <w:vAlign w:val="center"/>
          </w:tcPr>
          <w:p w14:paraId="1C82340A">
            <w:pPr>
              <w:jc w:val="center"/>
              <w:rPr>
                <w:rFonts w:hint="eastAsia" w:ascii="仿宋" w:hAnsi="仿宋" w:eastAsia="仿宋" w:cs="仿宋"/>
                <w:sz w:val="24"/>
                <w:szCs w:val="24"/>
              </w:rPr>
            </w:pPr>
            <w:r>
              <w:rPr>
                <w:rFonts w:hint="eastAsia" w:ascii="仿宋" w:hAnsi="仿宋" w:eastAsia="仿宋" w:cs="仿宋"/>
                <w:sz w:val="24"/>
                <w:szCs w:val="24"/>
              </w:rPr>
              <w:t>31</w:t>
            </w:r>
          </w:p>
        </w:tc>
        <w:tc>
          <w:tcPr>
            <w:tcW w:w="3106" w:type="dxa"/>
            <w:shd w:val="clear" w:color="auto" w:fill="FFFFFF"/>
            <w:vAlign w:val="center"/>
          </w:tcPr>
          <w:p w14:paraId="46E966CD">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342900" cy="114300"/>
                  <wp:effectExtent l="0" t="0" r="7620" b="7620"/>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54"/>
                          <a:stretch>
                            <a:fillRect/>
                          </a:stretch>
                        </pic:blipFill>
                        <pic:spPr>
                          <a:xfrm>
                            <a:off x="0" y="0"/>
                            <a:ext cx="342948"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009650" cy="114300"/>
                  <wp:effectExtent l="0" t="0" r="11430" b="762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55"/>
                          <a:stretch>
                            <a:fillRect/>
                          </a:stretch>
                        </pic:blipFill>
                        <pic:spPr>
                          <a:xfrm>
                            <a:off x="0" y="0"/>
                            <a:ext cx="1009791" cy="114316"/>
                          </a:xfrm>
                          <a:prstGeom prst="rect">
                            <a:avLst/>
                          </a:prstGeom>
                        </pic:spPr>
                      </pic:pic>
                    </a:graphicData>
                  </a:graphic>
                </wp:inline>
              </w:drawing>
            </w:r>
            <w:r>
              <w:rPr>
                <w:rFonts w:hint="eastAsia" w:ascii="仿宋" w:hAnsi="仿宋" w:eastAsia="仿宋" w:cs="仿宋"/>
                <w:sz w:val="24"/>
                <w:szCs w:val="24"/>
              </w:rPr>
              <w:t>25.62%</w:t>
            </w:r>
          </w:p>
        </w:tc>
      </w:tr>
      <w:tr w14:paraId="6FAA9E2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C1BDCFD">
            <w:pPr>
              <w:jc w:val="left"/>
              <w:rPr>
                <w:rFonts w:hint="eastAsia" w:ascii="仿宋" w:hAnsi="仿宋" w:eastAsia="仿宋" w:cs="仿宋"/>
                <w:sz w:val="24"/>
                <w:szCs w:val="24"/>
              </w:rPr>
            </w:pPr>
            <w:r>
              <w:rPr>
                <w:rFonts w:hint="eastAsia" w:ascii="仿宋" w:hAnsi="仿宋" w:eastAsia="仿宋" w:cs="仿宋"/>
                <w:sz w:val="24"/>
                <w:szCs w:val="24"/>
              </w:rPr>
              <w:t>改善港区卫生环境</w:t>
            </w:r>
          </w:p>
        </w:tc>
        <w:tc>
          <w:tcPr>
            <w:tcW w:w="1000" w:type="dxa"/>
            <w:shd w:val="clear" w:color="auto" w:fill="FAFAFA"/>
            <w:vAlign w:val="center"/>
          </w:tcPr>
          <w:p w14:paraId="7148172C">
            <w:pPr>
              <w:jc w:val="center"/>
              <w:rPr>
                <w:rFonts w:hint="eastAsia" w:ascii="仿宋" w:hAnsi="仿宋" w:eastAsia="仿宋" w:cs="仿宋"/>
                <w:sz w:val="24"/>
                <w:szCs w:val="24"/>
              </w:rPr>
            </w:pPr>
            <w:r>
              <w:rPr>
                <w:rFonts w:hint="eastAsia" w:ascii="仿宋" w:hAnsi="仿宋" w:eastAsia="仿宋" w:cs="仿宋"/>
                <w:sz w:val="24"/>
                <w:szCs w:val="24"/>
              </w:rPr>
              <w:t>14</w:t>
            </w:r>
          </w:p>
        </w:tc>
        <w:tc>
          <w:tcPr>
            <w:tcW w:w="3106" w:type="dxa"/>
            <w:shd w:val="clear" w:color="auto" w:fill="FAFAFA"/>
            <w:vAlign w:val="center"/>
          </w:tcPr>
          <w:p w14:paraId="33D29D9E">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52400" cy="114300"/>
                  <wp:effectExtent l="0" t="0" r="0" b="7620"/>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56"/>
                          <a:stretch>
                            <a:fillRect/>
                          </a:stretch>
                        </pic:blipFill>
                        <pic:spPr>
                          <a:xfrm>
                            <a:off x="0" y="0"/>
                            <a:ext cx="152421"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200150" cy="114300"/>
                  <wp:effectExtent l="0" t="0" r="3810" b="762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57"/>
                          <a:stretch>
                            <a:fillRect/>
                          </a:stretch>
                        </pic:blipFill>
                        <pic:spPr>
                          <a:xfrm>
                            <a:off x="0" y="0"/>
                            <a:ext cx="1200318" cy="114316"/>
                          </a:xfrm>
                          <a:prstGeom prst="rect">
                            <a:avLst/>
                          </a:prstGeom>
                        </pic:spPr>
                      </pic:pic>
                    </a:graphicData>
                  </a:graphic>
                </wp:inline>
              </w:drawing>
            </w:r>
            <w:r>
              <w:rPr>
                <w:rFonts w:hint="eastAsia" w:ascii="仿宋" w:hAnsi="仿宋" w:eastAsia="仿宋" w:cs="仿宋"/>
                <w:sz w:val="24"/>
                <w:szCs w:val="24"/>
              </w:rPr>
              <w:t>11.57%</w:t>
            </w:r>
          </w:p>
        </w:tc>
      </w:tr>
      <w:tr w14:paraId="7FF6C15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75E803F">
            <w:pPr>
              <w:jc w:val="left"/>
              <w:rPr>
                <w:rFonts w:hint="eastAsia" w:ascii="仿宋" w:hAnsi="仿宋" w:eastAsia="仿宋" w:cs="仿宋"/>
                <w:sz w:val="24"/>
                <w:szCs w:val="24"/>
              </w:rPr>
            </w:pPr>
            <w:r>
              <w:rPr>
                <w:rFonts w:hint="eastAsia" w:ascii="仿宋" w:hAnsi="仿宋" w:eastAsia="仿宋" w:cs="仿宋"/>
                <w:sz w:val="24"/>
                <w:szCs w:val="24"/>
              </w:rPr>
              <w:t>其他，</w:t>
            </w:r>
          </w:p>
        </w:tc>
        <w:tc>
          <w:tcPr>
            <w:tcW w:w="1000" w:type="dxa"/>
            <w:shd w:val="clear" w:color="auto" w:fill="FFFFFF"/>
            <w:vAlign w:val="center"/>
          </w:tcPr>
          <w:p w14:paraId="6CA3CF0A">
            <w:pPr>
              <w:jc w:val="center"/>
              <w:rPr>
                <w:rFonts w:hint="eastAsia" w:ascii="仿宋" w:hAnsi="仿宋" w:eastAsia="仿宋" w:cs="仿宋"/>
                <w:sz w:val="24"/>
                <w:szCs w:val="24"/>
              </w:rPr>
            </w:pPr>
            <w:r>
              <w:rPr>
                <w:rFonts w:hint="eastAsia" w:ascii="仿宋" w:hAnsi="仿宋" w:eastAsia="仿宋" w:cs="仿宋"/>
                <w:sz w:val="24"/>
                <w:szCs w:val="24"/>
              </w:rPr>
              <w:t>49</w:t>
            </w:r>
          </w:p>
        </w:tc>
        <w:tc>
          <w:tcPr>
            <w:tcW w:w="3106" w:type="dxa"/>
            <w:shd w:val="clear" w:color="auto" w:fill="FFFFFF"/>
            <w:vAlign w:val="center"/>
          </w:tcPr>
          <w:p w14:paraId="6B6B1A29">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542925" cy="114300"/>
                  <wp:effectExtent l="0" t="0" r="5715" b="7620"/>
                  <wp:docPr id="100068" name="图片 1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8" name="图片 100068"/>
                          <pic:cNvPicPr>
                            <a:picLocks noChangeAspect="1"/>
                          </pic:cNvPicPr>
                        </pic:nvPicPr>
                        <pic:blipFill>
                          <a:blip r:embed="rId17"/>
                          <a:stretch>
                            <a:fillRect/>
                          </a:stretch>
                        </pic:blipFill>
                        <pic:spPr>
                          <a:xfrm>
                            <a:off x="0" y="0"/>
                            <a:ext cx="543001"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809625" cy="114300"/>
                  <wp:effectExtent l="0" t="0" r="13335" b="762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18"/>
                          <a:stretch>
                            <a:fillRect/>
                          </a:stretch>
                        </pic:blipFill>
                        <pic:spPr>
                          <a:xfrm>
                            <a:off x="0" y="0"/>
                            <a:ext cx="809738" cy="114316"/>
                          </a:xfrm>
                          <a:prstGeom prst="rect">
                            <a:avLst/>
                          </a:prstGeom>
                        </pic:spPr>
                      </pic:pic>
                    </a:graphicData>
                  </a:graphic>
                </wp:inline>
              </w:drawing>
            </w:r>
            <w:r>
              <w:rPr>
                <w:rFonts w:hint="eastAsia" w:ascii="仿宋" w:hAnsi="仿宋" w:eastAsia="仿宋" w:cs="仿宋"/>
                <w:sz w:val="24"/>
                <w:szCs w:val="24"/>
              </w:rPr>
              <w:t>40.5%</w:t>
            </w:r>
          </w:p>
        </w:tc>
      </w:tr>
      <w:tr w14:paraId="4D6D977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1328EB39">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11076E39">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71AC9EBD">
            <w:pPr>
              <w:jc w:val="left"/>
              <w:rPr>
                <w:rFonts w:hint="eastAsia" w:ascii="仿宋" w:hAnsi="仿宋" w:eastAsia="仿宋" w:cs="仿宋"/>
                <w:sz w:val="24"/>
                <w:szCs w:val="24"/>
              </w:rPr>
            </w:pPr>
          </w:p>
        </w:tc>
      </w:tr>
    </w:tbl>
    <w:p w14:paraId="500AF8E5">
      <w:pPr>
        <w:rPr>
          <w:rFonts w:hint="eastAsia" w:ascii="仿宋" w:hAnsi="仿宋" w:eastAsia="仿宋" w:cs="仿宋"/>
          <w:sz w:val="24"/>
          <w:szCs w:val="24"/>
        </w:rPr>
      </w:pPr>
    </w:p>
    <w:p w14:paraId="57A0DE01">
      <w:pPr>
        <w:rPr>
          <w:rFonts w:hint="eastAsia" w:ascii="仿宋" w:hAnsi="仿宋" w:eastAsia="仿宋" w:cs="仿宋"/>
          <w:sz w:val="24"/>
          <w:szCs w:val="24"/>
        </w:rPr>
      </w:pPr>
    </w:p>
    <w:p w14:paraId="7E460008">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第9题   您对东店一级渔港建设项目是否满意？满分为10分，您打几分？      </w:t>
      </w:r>
      <w:r>
        <w:rPr>
          <w:rFonts w:hint="eastAsia" w:ascii="仿宋" w:hAnsi="仿宋" w:eastAsia="仿宋" w:cs="仿宋"/>
          <w:b w:val="0"/>
          <w:color w:val="0066FF"/>
          <w:sz w:val="24"/>
          <w:szCs w:val="24"/>
        </w:rPr>
        <w:t>[量表题]</w:t>
      </w: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697"/>
        <w:gridCol w:w="1118"/>
        <w:gridCol w:w="3473"/>
      </w:tblGrid>
      <w:tr w14:paraId="20ECAB3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60616118">
            <w:pPr>
              <w:jc w:val="left"/>
              <w:rPr>
                <w:rFonts w:hint="eastAsia" w:ascii="仿宋" w:hAnsi="仿宋" w:eastAsia="仿宋" w:cs="仿宋"/>
                <w:sz w:val="24"/>
                <w:szCs w:val="24"/>
              </w:rPr>
            </w:pPr>
            <w:r>
              <w:rPr>
                <w:rFonts w:hint="eastAsia" w:ascii="仿宋" w:hAnsi="仿宋" w:eastAsia="仿宋" w:cs="仿宋"/>
                <w:sz w:val="24"/>
                <w:szCs w:val="24"/>
              </w:rPr>
              <w:t>选项</w:t>
            </w:r>
          </w:p>
        </w:tc>
        <w:tc>
          <w:tcPr>
            <w:tcW w:w="1000" w:type="dxa"/>
            <w:shd w:val="clear" w:color="auto" w:fill="F5F5F5"/>
            <w:vAlign w:val="center"/>
          </w:tcPr>
          <w:p w14:paraId="715C7F6C">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3106" w:type="dxa"/>
            <w:shd w:val="clear" w:color="auto" w:fill="F5F5F5"/>
            <w:vAlign w:val="center"/>
          </w:tcPr>
          <w:p w14:paraId="1DDDEA47">
            <w:pPr>
              <w:jc w:val="left"/>
              <w:rPr>
                <w:rFonts w:hint="eastAsia" w:ascii="仿宋" w:hAnsi="仿宋" w:eastAsia="仿宋" w:cs="仿宋"/>
                <w:sz w:val="24"/>
                <w:szCs w:val="24"/>
              </w:rPr>
            </w:pPr>
            <w:r>
              <w:rPr>
                <w:rFonts w:hint="eastAsia" w:ascii="仿宋" w:hAnsi="仿宋" w:eastAsia="仿宋" w:cs="仿宋"/>
                <w:sz w:val="24"/>
                <w:szCs w:val="24"/>
              </w:rPr>
              <w:t>比例</w:t>
            </w:r>
          </w:p>
        </w:tc>
      </w:tr>
      <w:tr w14:paraId="56C8D53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01F018DD">
            <w:pPr>
              <w:jc w:val="left"/>
              <w:rPr>
                <w:rFonts w:hint="eastAsia" w:ascii="仿宋" w:hAnsi="仿宋" w:eastAsia="仿宋" w:cs="仿宋"/>
                <w:sz w:val="24"/>
                <w:szCs w:val="24"/>
              </w:rPr>
            </w:pPr>
            <w:r>
              <w:rPr>
                <w:rFonts w:hint="eastAsia" w:ascii="仿宋" w:hAnsi="仿宋" w:eastAsia="仿宋" w:cs="仿宋"/>
                <w:sz w:val="24"/>
                <w:szCs w:val="24"/>
              </w:rPr>
              <w:t>1</w:t>
            </w:r>
          </w:p>
        </w:tc>
        <w:tc>
          <w:tcPr>
            <w:tcW w:w="1000" w:type="dxa"/>
            <w:shd w:val="clear" w:color="auto" w:fill="FFFFFF"/>
            <w:vAlign w:val="center"/>
          </w:tcPr>
          <w:p w14:paraId="7E9DF34C">
            <w:pPr>
              <w:jc w:val="center"/>
              <w:rPr>
                <w:rFonts w:hint="eastAsia" w:ascii="仿宋" w:hAnsi="仿宋" w:eastAsia="仿宋" w:cs="仿宋"/>
                <w:sz w:val="24"/>
                <w:szCs w:val="24"/>
              </w:rPr>
            </w:pPr>
            <w:r>
              <w:rPr>
                <w:rFonts w:hint="eastAsia" w:ascii="仿宋" w:hAnsi="仿宋" w:eastAsia="仿宋" w:cs="仿宋"/>
                <w:sz w:val="24"/>
                <w:szCs w:val="24"/>
              </w:rPr>
              <w:t>0</w:t>
            </w:r>
          </w:p>
        </w:tc>
        <w:tc>
          <w:tcPr>
            <w:tcW w:w="3106" w:type="dxa"/>
            <w:shd w:val="clear" w:color="auto" w:fill="FFFFFF"/>
            <w:vAlign w:val="center"/>
          </w:tcPr>
          <w:p w14:paraId="208B822E">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352550" cy="114300"/>
                  <wp:effectExtent l="0" t="0" r="3810" b="7620"/>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21"/>
                          <a:stretch>
                            <a:fillRect/>
                          </a:stretch>
                        </pic:blipFill>
                        <pic:spPr>
                          <a:xfrm>
                            <a:off x="0" y="0"/>
                            <a:ext cx="1352739" cy="114316"/>
                          </a:xfrm>
                          <a:prstGeom prst="rect">
                            <a:avLst/>
                          </a:prstGeom>
                        </pic:spPr>
                      </pic:pic>
                    </a:graphicData>
                  </a:graphic>
                </wp:inline>
              </w:drawing>
            </w:r>
            <w:r>
              <w:rPr>
                <w:rFonts w:hint="eastAsia" w:ascii="仿宋" w:hAnsi="仿宋" w:eastAsia="仿宋" w:cs="仿宋"/>
                <w:sz w:val="24"/>
                <w:szCs w:val="24"/>
              </w:rPr>
              <w:t>0%</w:t>
            </w:r>
          </w:p>
        </w:tc>
      </w:tr>
      <w:tr w14:paraId="3A96C34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247E611">
            <w:pPr>
              <w:jc w:val="left"/>
              <w:rPr>
                <w:rFonts w:hint="eastAsia" w:ascii="仿宋" w:hAnsi="仿宋" w:eastAsia="仿宋" w:cs="仿宋"/>
                <w:sz w:val="24"/>
                <w:szCs w:val="24"/>
              </w:rPr>
            </w:pPr>
            <w:r>
              <w:rPr>
                <w:rFonts w:hint="eastAsia" w:ascii="仿宋" w:hAnsi="仿宋" w:eastAsia="仿宋" w:cs="仿宋"/>
                <w:sz w:val="24"/>
                <w:szCs w:val="24"/>
              </w:rPr>
              <w:t>2</w:t>
            </w:r>
          </w:p>
        </w:tc>
        <w:tc>
          <w:tcPr>
            <w:tcW w:w="1000" w:type="dxa"/>
            <w:shd w:val="clear" w:color="auto" w:fill="FAFAFA"/>
            <w:vAlign w:val="center"/>
          </w:tcPr>
          <w:p w14:paraId="7518CD0F">
            <w:pPr>
              <w:jc w:val="center"/>
              <w:rPr>
                <w:rFonts w:hint="eastAsia" w:ascii="仿宋" w:hAnsi="仿宋" w:eastAsia="仿宋" w:cs="仿宋"/>
                <w:sz w:val="24"/>
                <w:szCs w:val="24"/>
              </w:rPr>
            </w:pPr>
            <w:r>
              <w:rPr>
                <w:rFonts w:hint="eastAsia" w:ascii="仿宋" w:hAnsi="仿宋" w:eastAsia="仿宋" w:cs="仿宋"/>
                <w:sz w:val="24"/>
                <w:szCs w:val="24"/>
              </w:rPr>
              <w:t>0</w:t>
            </w:r>
          </w:p>
        </w:tc>
        <w:tc>
          <w:tcPr>
            <w:tcW w:w="3106" w:type="dxa"/>
            <w:shd w:val="clear" w:color="auto" w:fill="FAFAFA"/>
            <w:vAlign w:val="center"/>
          </w:tcPr>
          <w:p w14:paraId="68DC9AE9">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352550" cy="114300"/>
                  <wp:effectExtent l="0" t="0" r="3810" b="762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21"/>
                          <a:stretch>
                            <a:fillRect/>
                          </a:stretch>
                        </pic:blipFill>
                        <pic:spPr>
                          <a:xfrm>
                            <a:off x="0" y="0"/>
                            <a:ext cx="1352739" cy="114316"/>
                          </a:xfrm>
                          <a:prstGeom prst="rect">
                            <a:avLst/>
                          </a:prstGeom>
                        </pic:spPr>
                      </pic:pic>
                    </a:graphicData>
                  </a:graphic>
                </wp:inline>
              </w:drawing>
            </w:r>
            <w:r>
              <w:rPr>
                <w:rFonts w:hint="eastAsia" w:ascii="仿宋" w:hAnsi="仿宋" w:eastAsia="仿宋" w:cs="仿宋"/>
                <w:sz w:val="24"/>
                <w:szCs w:val="24"/>
              </w:rPr>
              <w:t>0%</w:t>
            </w:r>
          </w:p>
        </w:tc>
      </w:tr>
      <w:tr w14:paraId="6EF6AB6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60160CD2">
            <w:pPr>
              <w:jc w:val="left"/>
              <w:rPr>
                <w:rFonts w:hint="eastAsia" w:ascii="仿宋" w:hAnsi="仿宋" w:eastAsia="仿宋" w:cs="仿宋"/>
                <w:sz w:val="24"/>
                <w:szCs w:val="24"/>
              </w:rPr>
            </w:pPr>
            <w:r>
              <w:rPr>
                <w:rFonts w:hint="eastAsia" w:ascii="仿宋" w:hAnsi="仿宋" w:eastAsia="仿宋" w:cs="仿宋"/>
                <w:sz w:val="24"/>
                <w:szCs w:val="24"/>
              </w:rPr>
              <w:t>3</w:t>
            </w:r>
          </w:p>
        </w:tc>
        <w:tc>
          <w:tcPr>
            <w:tcW w:w="1000" w:type="dxa"/>
            <w:shd w:val="clear" w:color="auto" w:fill="FFFFFF"/>
            <w:vAlign w:val="center"/>
          </w:tcPr>
          <w:p w14:paraId="564E3F5A">
            <w:pPr>
              <w:jc w:val="center"/>
              <w:rPr>
                <w:rFonts w:hint="eastAsia" w:ascii="仿宋" w:hAnsi="仿宋" w:eastAsia="仿宋" w:cs="仿宋"/>
                <w:sz w:val="24"/>
                <w:szCs w:val="24"/>
              </w:rPr>
            </w:pPr>
            <w:r>
              <w:rPr>
                <w:rFonts w:hint="eastAsia" w:ascii="仿宋" w:hAnsi="仿宋" w:eastAsia="仿宋" w:cs="仿宋"/>
                <w:sz w:val="24"/>
                <w:szCs w:val="24"/>
              </w:rPr>
              <w:t>0</w:t>
            </w:r>
          </w:p>
        </w:tc>
        <w:tc>
          <w:tcPr>
            <w:tcW w:w="3106" w:type="dxa"/>
            <w:shd w:val="clear" w:color="auto" w:fill="FFFFFF"/>
            <w:vAlign w:val="center"/>
          </w:tcPr>
          <w:p w14:paraId="3294EB03">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352550" cy="114300"/>
                  <wp:effectExtent l="0" t="0" r="3810" b="7620"/>
                  <wp:docPr id="100072" name="图片 10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2" name="图片 100072"/>
                          <pic:cNvPicPr>
                            <a:picLocks noChangeAspect="1"/>
                          </pic:cNvPicPr>
                        </pic:nvPicPr>
                        <pic:blipFill>
                          <a:blip r:embed="rId21"/>
                          <a:stretch>
                            <a:fillRect/>
                          </a:stretch>
                        </pic:blipFill>
                        <pic:spPr>
                          <a:xfrm>
                            <a:off x="0" y="0"/>
                            <a:ext cx="1352739" cy="114316"/>
                          </a:xfrm>
                          <a:prstGeom prst="rect">
                            <a:avLst/>
                          </a:prstGeom>
                        </pic:spPr>
                      </pic:pic>
                    </a:graphicData>
                  </a:graphic>
                </wp:inline>
              </w:drawing>
            </w:r>
            <w:r>
              <w:rPr>
                <w:rFonts w:hint="eastAsia" w:ascii="仿宋" w:hAnsi="仿宋" w:eastAsia="仿宋" w:cs="仿宋"/>
                <w:sz w:val="24"/>
                <w:szCs w:val="24"/>
              </w:rPr>
              <w:t>0%</w:t>
            </w:r>
          </w:p>
        </w:tc>
      </w:tr>
      <w:tr w14:paraId="5BDE0D5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DFFB99D">
            <w:pPr>
              <w:jc w:val="left"/>
              <w:rPr>
                <w:rFonts w:hint="eastAsia" w:ascii="仿宋" w:hAnsi="仿宋" w:eastAsia="仿宋" w:cs="仿宋"/>
                <w:sz w:val="24"/>
                <w:szCs w:val="24"/>
              </w:rPr>
            </w:pPr>
            <w:r>
              <w:rPr>
                <w:rFonts w:hint="eastAsia" w:ascii="仿宋" w:hAnsi="仿宋" w:eastAsia="仿宋" w:cs="仿宋"/>
                <w:sz w:val="24"/>
                <w:szCs w:val="24"/>
              </w:rPr>
              <w:t>4</w:t>
            </w:r>
          </w:p>
        </w:tc>
        <w:tc>
          <w:tcPr>
            <w:tcW w:w="1000" w:type="dxa"/>
            <w:shd w:val="clear" w:color="auto" w:fill="FAFAFA"/>
            <w:vAlign w:val="center"/>
          </w:tcPr>
          <w:p w14:paraId="433371AB">
            <w:pPr>
              <w:jc w:val="center"/>
              <w:rPr>
                <w:rFonts w:hint="eastAsia" w:ascii="仿宋" w:hAnsi="仿宋" w:eastAsia="仿宋" w:cs="仿宋"/>
                <w:sz w:val="24"/>
                <w:szCs w:val="24"/>
              </w:rPr>
            </w:pPr>
            <w:r>
              <w:rPr>
                <w:rFonts w:hint="eastAsia" w:ascii="仿宋" w:hAnsi="仿宋" w:eastAsia="仿宋" w:cs="仿宋"/>
                <w:sz w:val="24"/>
                <w:szCs w:val="24"/>
              </w:rPr>
              <w:t>0</w:t>
            </w:r>
          </w:p>
        </w:tc>
        <w:tc>
          <w:tcPr>
            <w:tcW w:w="3106" w:type="dxa"/>
            <w:shd w:val="clear" w:color="auto" w:fill="FAFAFA"/>
            <w:vAlign w:val="center"/>
          </w:tcPr>
          <w:p w14:paraId="6F7B24EB">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352550" cy="114300"/>
                  <wp:effectExtent l="0" t="0" r="3810" b="762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1"/>
                          <a:stretch>
                            <a:fillRect/>
                          </a:stretch>
                        </pic:blipFill>
                        <pic:spPr>
                          <a:xfrm>
                            <a:off x="0" y="0"/>
                            <a:ext cx="1352739" cy="114316"/>
                          </a:xfrm>
                          <a:prstGeom prst="rect">
                            <a:avLst/>
                          </a:prstGeom>
                        </pic:spPr>
                      </pic:pic>
                    </a:graphicData>
                  </a:graphic>
                </wp:inline>
              </w:drawing>
            </w:r>
            <w:r>
              <w:rPr>
                <w:rFonts w:hint="eastAsia" w:ascii="仿宋" w:hAnsi="仿宋" w:eastAsia="仿宋" w:cs="仿宋"/>
                <w:sz w:val="24"/>
                <w:szCs w:val="24"/>
              </w:rPr>
              <w:t>0%</w:t>
            </w:r>
          </w:p>
        </w:tc>
      </w:tr>
      <w:tr w14:paraId="48AC0E5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4C1FC091">
            <w:pPr>
              <w:jc w:val="left"/>
              <w:rPr>
                <w:rFonts w:hint="eastAsia" w:ascii="仿宋" w:hAnsi="仿宋" w:eastAsia="仿宋" w:cs="仿宋"/>
                <w:sz w:val="24"/>
                <w:szCs w:val="24"/>
              </w:rPr>
            </w:pPr>
            <w:r>
              <w:rPr>
                <w:rFonts w:hint="eastAsia" w:ascii="仿宋" w:hAnsi="仿宋" w:eastAsia="仿宋" w:cs="仿宋"/>
                <w:sz w:val="24"/>
                <w:szCs w:val="24"/>
              </w:rPr>
              <w:t>5</w:t>
            </w:r>
          </w:p>
        </w:tc>
        <w:tc>
          <w:tcPr>
            <w:tcW w:w="1000" w:type="dxa"/>
            <w:shd w:val="clear" w:color="auto" w:fill="FFFFFF"/>
            <w:vAlign w:val="center"/>
          </w:tcPr>
          <w:p w14:paraId="265E3EF7">
            <w:pPr>
              <w:jc w:val="center"/>
              <w:rPr>
                <w:rFonts w:hint="eastAsia" w:ascii="仿宋" w:hAnsi="仿宋" w:eastAsia="仿宋" w:cs="仿宋"/>
                <w:sz w:val="24"/>
                <w:szCs w:val="24"/>
              </w:rPr>
            </w:pPr>
            <w:r>
              <w:rPr>
                <w:rFonts w:hint="eastAsia" w:ascii="仿宋" w:hAnsi="仿宋" w:eastAsia="仿宋" w:cs="仿宋"/>
                <w:sz w:val="24"/>
                <w:szCs w:val="24"/>
              </w:rPr>
              <w:t>0</w:t>
            </w:r>
          </w:p>
        </w:tc>
        <w:tc>
          <w:tcPr>
            <w:tcW w:w="3106" w:type="dxa"/>
            <w:shd w:val="clear" w:color="auto" w:fill="FFFFFF"/>
            <w:vAlign w:val="center"/>
          </w:tcPr>
          <w:p w14:paraId="54E91552">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352550" cy="114300"/>
                  <wp:effectExtent l="0" t="0" r="3810" b="7620"/>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4" name="图片 100074"/>
                          <pic:cNvPicPr>
                            <a:picLocks noChangeAspect="1"/>
                          </pic:cNvPicPr>
                        </pic:nvPicPr>
                        <pic:blipFill>
                          <a:blip r:embed="rId21"/>
                          <a:stretch>
                            <a:fillRect/>
                          </a:stretch>
                        </pic:blipFill>
                        <pic:spPr>
                          <a:xfrm>
                            <a:off x="0" y="0"/>
                            <a:ext cx="1352739" cy="114316"/>
                          </a:xfrm>
                          <a:prstGeom prst="rect">
                            <a:avLst/>
                          </a:prstGeom>
                        </pic:spPr>
                      </pic:pic>
                    </a:graphicData>
                  </a:graphic>
                </wp:inline>
              </w:drawing>
            </w:r>
            <w:r>
              <w:rPr>
                <w:rFonts w:hint="eastAsia" w:ascii="仿宋" w:hAnsi="仿宋" w:eastAsia="仿宋" w:cs="仿宋"/>
                <w:sz w:val="24"/>
                <w:szCs w:val="24"/>
              </w:rPr>
              <w:t>0%</w:t>
            </w:r>
          </w:p>
        </w:tc>
      </w:tr>
      <w:tr w14:paraId="3C98BE0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289EAE0">
            <w:pPr>
              <w:jc w:val="left"/>
              <w:rPr>
                <w:rFonts w:hint="eastAsia" w:ascii="仿宋" w:hAnsi="仿宋" w:eastAsia="仿宋" w:cs="仿宋"/>
                <w:sz w:val="24"/>
                <w:szCs w:val="24"/>
              </w:rPr>
            </w:pPr>
            <w:r>
              <w:rPr>
                <w:rFonts w:hint="eastAsia" w:ascii="仿宋" w:hAnsi="仿宋" w:eastAsia="仿宋" w:cs="仿宋"/>
                <w:sz w:val="24"/>
                <w:szCs w:val="24"/>
              </w:rPr>
              <w:t>6</w:t>
            </w:r>
          </w:p>
        </w:tc>
        <w:tc>
          <w:tcPr>
            <w:tcW w:w="1000" w:type="dxa"/>
            <w:shd w:val="clear" w:color="auto" w:fill="FAFAFA"/>
            <w:vAlign w:val="center"/>
          </w:tcPr>
          <w:p w14:paraId="19B82737">
            <w:pPr>
              <w:jc w:val="center"/>
              <w:rPr>
                <w:rFonts w:hint="eastAsia" w:ascii="仿宋" w:hAnsi="仿宋" w:eastAsia="仿宋" w:cs="仿宋"/>
                <w:sz w:val="24"/>
                <w:szCs w:val="24"/>
              </w:rPr>
            </w:pPr>
            <w:r>
              <w:rPr>
                <w:rFonts w:hint="eastAsia" w:ascii="仿宋" w:hAnsi="仿宋" w:eastAsia="仿宋" w:cs="仿宋"/>
                <w:sz w:val="24"/>
                <w:szCs w:val="24"/>
              </w:rPr>
              <w:t>0</w:t>
            </w:r>
          </w:p>
        </w:tc>
        <w:tc>
          <w:tcPr>
            <w:tcW w:w="3106" w:type="dxa"/>
            <w:shd w:val="clear" w:color="auto" w:fill="FAFAFA"/>
            <w:vAlign w:val="center"/>
          </w:tcPr>
          <w:p w14:paraId="063CBA99">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352550" cy="114300"/>
                  <wp:effectExtent l="0" t="0" r="3810" b="762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21"/>
                          <a:stretch>
                            <a:fillRect/>
                          </a:stretch>
                        </pic:blipFill>
                        <pic:spPr>
                          <a:xfrm>
                            <a:off x="0" y="0"/>
                            <a:ext cx="1352739" cy="114316"/>
                          </a:xfrm>
                          <a:prstGeom prst="rect">
                            <a:avLst/>
                          </a:prstGeom>
                        </pic:spPr>
                      </pic:pic>
                    </a:graphicData>
                  </a:graphic>
                </wp:inline>
              </w:drawing>
            </w:r>
            <w:r>
              <w:rPr>
                <w:rFonts w:hint="eastAsia" w:ascii="仿宋" w:hAnsi="仿宋" w:eastAsia="仿宋" w:cs="仿宋"/>
                <w:sz w:val="24"/>
                <w:szCs w:val="24"/>
              </w:rPr>
              <w:t>0%</w:t>
            </w:r>
          </w:p>
        </w:tc>
      </w:tr>
      <w:tr w14:paraId="5165D48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48283B3">
            <w:pPr>
              <w:jc w:val="left"/>
              <w:rPr>
                <w:rFonts w:hint="eastAsia" w:ascii="仿宋" w:hAnsi="仿宋" w:eastAsia="仿宋" w:cs="仿宋"/>
                <w:sz w:val="24"/>
                <w:szCs w:val="24"/>
              </w:rPr>
            </w:pPr>
            <w:r>
              <w:rPr>
                <w:rFonts w:hint="eastAsia" w:ascii="仿宋" w:hAnsi="仿宋" w:eastAsia="仿宋" w:cs="仿宋"/>
                <w:sz w:val="24"/>
                <w:szCs w:val="24"/>
              </w:rPr>
              <w:t>7</w:t>
            </w:r>
          </w:p>
        </w:tc>
        <w:tc>
          <w:tcPr>
            <w:tcW w:w="1000" w:type="dxa"/>
            <w:shd w:val="clear" w:color="auto" w:fill="FFFFFF"/>
            <w:vAlign w:val="center"/>
          </w:tcPr>
          <w:p w14:paraId="6BFDBF49">
            <w:pPr>
              <w:jc w:val="center"/>
              <w:rPr>
                <w:rFonts w:hint="eastAsia" w:ascii="仿宋" w:hAnsi="仿宋" w:eastAsia="仿宋" w:cs="仿宋"/>
                <w:sz w:val="24"/>
                <w:szCs w:val="24"/>
              </w:rPr>
            </w:pPr>
            <w:r>
              <w:rPr>
                <w:rFonts w:hint="eastAsia" w:ascii="仿宋" w:hAnsi="仿宋" w:eastAsia="仿宋" w:cs="仿宋"/>
                <w:sz w:val="24"/>
                <w:szCs w:val="24"/>
              </w:rPr>
              <w:t>5</w:t>
            </w:r>
          </w:p>
        </w:tc>
        <w:tc>
          <w:tcPr>
            <w:tcW w:w="3106" w:type="dxa"/>
            <w:shd w:val="clear" w:color="auto" w:fill="FFFFFF"/>
            <w:vAlign w:val="center"/>
          </w:tcPr>
          <w:p w14:paraId="15C73576">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7625" cy="114300"/>
                  <wp:effectExtent l="0" t="0" r="13335" b="7620"/>
                  <wp:docPr id="100076" name="图片 10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6" name="图片 100076"/>
                          <pic:cNvPicPr>
                            <a:picLocks noChangeAspect="1"/>
                          </pic:cNvPicPr>
                        </pic:nvPicPr>
                        <pic:blipFill>
                          <a:blip r:embed="rId58"/>
                          <a:stretch>
                            <a:fillRect/>
                          </a:stretch>
                        </pic:blipFill>
                        <pic:spPr>
                          <a:xfrm>
                            <a:off x="0" y="0"/>
                            <a:ext cx="47632"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304925" cy="114300"/>
                  <wp:effectExtent l="0" t="0" r="5715" b="762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59"/>
                          <a:stretch>
                            <a:fillRect/>
                          </a:stretch>
                        </pic:blipFill>
                        <pic:spPr>
                          <a:xfrm>
                            <a:off x="0" y="0"/>
                            <a:ext cx="1305107" cy="114316"/>
                          </a:xfrm>
                          <a:prstGeom prst="rect">
                            <a:avLst/>
                          </a:prstGeom>
                        </pic:spPr>
                      </pic:pic>
                    </a:graphicData>
                  </a:graphic>
                </wp:inline>
              </w:drawing>
            </w:r>
            <w:r>
              <w:rPr>
                <w:rFonts w:hint="eastAsia" w:ascii="仿宋" w:hAnsi="仿宋" w:eastAsia="仿宋" w:cs="仿宋"/>
                <w:sz w:val="24"/>
                <w:szCs w:val="24"/>
              </w:rPr>
              <w:t>4.13%</w:t>
            </w:r>
          </w:p>
        </w:tc>
      </w:tr>
      <w:tr w14:paraId="5027624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DA80C7F">
            <w:pPr>
              <w:jc w:val="left"/>
              <w:rPr>
                <w:rFonts w:hint="eastAsia" w:ascii="仿宋" w:hAnsi="仿宋" w:eastAsia="仿宋" w:cs="仿宋"/>
                <w:sz w:val="24"/>
                <w:szCs w:val="24"/>
              </w:rPr>
            </w:pPr>
            <w:r>
              <w:rPr>
                <w:rFonts w:hint="eastAsia" w:ascii="仿宋" w:hAnsi="仿宋" w:eastAsia="仿宋" w:cs="仿宋"/>
                <w:sz w:val="24"/>
                <w:szCs w:val="24"/>
              </w:rPr>
              <w:t>8</w:t>
            </w:r>
          </w:p>
        </w:tc>
        <w:tc>
          <w:tcPr>
            <w:tcW w:w="1000" w:type="dxa"/>
            <w:shd w:val="clear" w:color="auto" w:fill="FAFAFA"/>
            <w:vAlign w:val="center"/>
          </w:tcPr>
          <w:p w14:paraId="1BEC9168">
            <w:pPr>
              <w:jc w:val="center"/>
              <w:rPr>
                <w:rFonts w:hint="eastAsia" w:ascii="仿宋" w:hAnsi="仿宋" w:eastAsia="仿宋" w:cs="仿宋"/>
                <w:sz w:val="24"/>
                <w:szCs w:val="24"/>
              </w:rPr>
            </w:pPr>
            <w:r>
              <w:rPr>
                <w:rFonts w:hint="eastAsia" w:ascii="仿宋" w:hAnsi="仿宋" w:eastAsia="仿宋" w:cs="仿宋"/>
                <w:sz w:val="24"/>
                <w:szCs w:val="24"/>
              </w:rPr>
              <w:t>9</w:t>
            </w:r>
          </w:p>
        </w:tc>
        <w:tc>
          <w:tcPr>
            <w:tcW w:w="3106" w:type="dxa"/>
            <w:shd w:val="clear" w:color="auto" w:fill="FAFAFA"/>
            <w:vAlign w:val="center"/>
          </w:tcPr>
          <w:p w14:paraId="16F0E8DE">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95250" cy="114300"/>
                  <wp:effectExtent l="0" t="0" r="11430" b="7620"/>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8" name="图片 100078"/>
                          <pic:cNvPicPr>
                            <a:picLocks noChangeAspect="1"/>
                          </pic:cNvPicPr>
                        </pic:nvPicPr>
                        <pic:blipFill>
                          <a:blip r:embed="rId60"/>
                          <a:stretch>
                            <a:fillRect/>
                          </a:stretch>
                        </pic:blipFill>
                        <pic:spPr>
                          <a:xfrm>
                            <a:off x="0" y="0"/>
                            <a:ext cx="95263"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257300" cy="114300"/>
                  <wp:effectExtent l="0" t="0" r="7620" b="762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61"/>
                          <a:stretch>
                            <a:fillRect/>
                          </a:stretch>
                        </pic:blipFill>
                        <pic:spPr>
                          <a:xfrm>
                            <a:off x="0" y="0"/>
                            <a:ext cx="1257476" cy="114316"/>
                          </a:xfrm>
                          <a:prstGeom prst="rect">
                            <a:avLst/>
                          </a:prstGeom>
                        </pic:spPr>
                      </pic:pic>
                    </a:graphicData>
                  </a:graphic>
                </wp:inline>
              </w:drawing>
            </w:r>
            <w:r>
              <w:rPr>
                <w:rFonts w:hint="eastAsia" w:ascii="仿宋" w:hAnsi="仿宋" w:eastAsia="仿宋" w:cs="仿宋"/>
                <w:sz w:val="24"/>
                <w:szCs w:val="24"/>
              </w:rPr>
              <w:t>7.44%</w:t>
            </w:r>
          </w:p>
        </w:tc>
      </w:tr>
      <w:tr w14:paraId="485B901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2E42E073">
            <w:pPr>
              <w:jc w:val="left"/>
              <w:rPr>
                <w:rFonts w:hint="eastAsia" w:ascii="仿宋" w:hAnsi="仿宋" w:eastAsia="仿宋" w:cs="仿宋"/>
                <w:sz w:val="24"/>
                <w:szCs w:val="24"/>
              </w:rPr>
            </w:pPr>
            <w:r>
              <w:rPr>
                <w:rFonts w:hint="eastAsia" w:ascii="仿宋" w:hAnsi="仿宋" w:eastAsia="仿宋" w:cs="仿宋"/>
                <w:sz w:val="24"/>
                <w:szCs w:val="24"/>
              </w:rPr>
              <w:t>9</w:t>
            </w:r>
          </w:p>
        </w:tc>
        <w:tc>
          <w:tcPr>
            <w:tcW w:w="1000" w:type="dxa"/>
            <w:shd w:val="clear" w:color="auto" w:fill="FFFFFF"/>
            <w:vAlign w:val="center"/>
          </w:tcPr>
          <w:p w14:paraId="0F251C9F">
            <w:pPr>
              <w:jc w:val="center"/>
              <w:rPr>
                <w:rFonts w:hint="eastAsia" w:ascii="仿宋" w:hAnsi="仿宋" w:eastAsia="仿宋" w:cs="仿宋"/>
                <w:sz w:val="24"/>
                <w:szCs w:val="24"/>
              </w:rPr>
            </w:pPr>
            <w:r>
              <w:rPr>
                <w:rFonts w:hint="eastAsia" w:ascii="仿宋" w:hAnsi="仿宋" w:eastAsia="仿宋" w:cs="仿宋"/>
                <w:sz w:val="24"/>
                <w:szCs w:val="24"/>
              </w:rPr>
              <w:t>11</w:t>
            </w:r>
          </w:p>
        </w:tc>
        <w:tc>
          <w:tcPr>
            <w:tcW w:w="3106" w:type="dxa"/>
            <w:shd w:val="clear" w:color="auto" w:fill="FFFFFF"/>
            <w:vAlign w:val="center"/>
          </w:tcPr>
          <w:p w14:paraId="5BA34D66">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14300" cy="114300"/>
                  <wp:effectExtent l="0" t="0" r="7620" b="7620"/>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0" name="图片 100080"/>
                          <pic:cNvPicPr>
                            <a:picLocks noChangeAspect="1"/>
                          </pic:cNvPicPr>
                        </pic:nvPicPr>
                        <pic:blipFill>
                          <a:blip r:embed="rId62"/>
                          <a:stretch>
                            <a:fillRect/>
                          </a:stretch>
                        </pic:blipFill>
                        <pic:spPr>
                          <a:xfrm>
                            <a:off x="0" y="0"/>
                            <a:ext cx="114316"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1238250" cy="114300"/>
                  <wp:effectExtent l="0" t="0" r="11430" b="762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63"/>
                          <a:stretch>
                            <a:fillRect/>
                          </a:stretch>
                        </pic:blipFill>
                        <pic:spPr>
                          <a:xfrm>
                            <a:off x="0" y="0"/>
                            <a:ext cx="1238423" cy="114316"/>
                          </a:xfrm>
                          <a:prstGeom prst="rect">
                            <a:avLst/>
                          </a:prstGeom>
                        </pic:spPr>
                      </pic:pic>
                    </a:graphicData>
                  </a:graphic>
                </wp:inline>
              </w:drawing>
            </w:r>
            <w:r>
              <w:rPr>
                <w:rFonts w:hint="eastAsia" w:ascii="仿宋" w:hAnsi="仿宋" w:eastAsia="仿宋" w:cs="仿宋"/>
                <w:sz w:val="24"/>
                <w:szCs w:val="24"/>
              </w:rPr>
              <w:t>9.09%</w:t>
            </w:r>
          </w:p>
        </w:tc>
      </w:tr>
      <w:tr w14:paraId="180501F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7338D483">
            <w:pPr>
              <w:jc w:val="left"/>
              <w:rPr>
                <w:rFonts w:hint="eastAsia" w:ascii="仿宋" w:hAnsi="仿宋" w:eastAsia="仿宋" w:cs="仿宋"/>
                <w:sz w:val="24"/>
                <w:szCs w:val="24"/>
              </w:rPr>
            </w:pPr>
            <w:r>
              <w:rPr>
                <w:rFonts w:hint="eastAsia" w:ascii="仿宋" w:hAnsi="仿宋" w:eastAsia="仿宋" w:cs="仿宋"/>
                <w:sz w:val="24"/>
                <w:szCs w:val="24"/>
              </w:rPr>
              <w:t>10</w:t>
            </w:r>
          </w:p>
        </w:tc>
        <w:tc>
          <w:tcPr>
            <w:tcW w:w="1000" w:type="dxa"/>
            <w:shd w:val="clear" w:color="auto" w:fill="FAFAFA"/>
            <w:vAlign w:val="center"/>
          </w:tcPr>
          <w:p w14:paraId="42C06E6E">
            <w:pPr>
              <w:jc w:val="center"/>
              <w:rPr>
                <w:rFonts w:hint="eastAsia" w:ascii="仿宋" w:hAnsi="仿宋" w:eastAsia="仿宋" w:cs="仿宋"/>
                <w:sz w:val="24"/>
                <w:szCs w:val="24"/>
              </w:rPr>
            </w:pPr>
            <w:r>
              <w:rPr>
                <w:rFonts w:hint="eastAsia" w:ascii="仿宋" w:hAnsi="仿宋" w:eastAsia="仿宋" w:cs="仿宋"/>
                <w:sz w:val="24"/>
                <w:szCs w:val="24"/>
              </w:rPr>
              <w:t>96</w:t>
            </w:r>
          </w:p>
        </w:tc>
        <w:tc>
          <w:tcPr>
            <w:tcW w:w="3106" w:type="dxa"/>
            <w:shd w:val="clear" w:color="auto" w:fill="FAFAFA"/>
            <w:vAlign w:val="center"/>
          </w:tcPr>
          <w:p w14:paraId="6732614C">
            <w:pPr>
              <w:jc w:val="left"/>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1066800" cy="114300"/>
                  <wp:effectExtent l="0" t="0" r="0" b="7620"/>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64"/>
                          <a:stretch>
                            <a:fillRect/>
                          </a:stretch>
                        </pic:blipFill>
                        <pic:spPr>
                          <a:xfrm>
                            <a:off x="0" y="0"/>
                            <a:ext cx="1066949" cy="114316"/>
                          </a:xfrm>
                          <a:prstGeom prst="rect">
                            <a:avLst/>
                          </a:prstGeom>
                        </pic:spPr>
                      </pic:pic>
                    </a:graphicData>
                  </a:graphic>
                </wp:inline>
              </w:drawing>
            </w:r>
            <w:r>
              <w:rPr>
                <w:rFonts w:hint="eastAsia" w:ascii="仿宋" w:hAnsi="仿宋" w:eastAsia="仿宋" w:cs="仿宋"/>
                <w:sz w:val="24"/>
                <w:szCs w:val="24"/>
              </w:rPr>
              <w:drawing>
                <wp:inline distT="0" distB="0" distL="114300" distR="114300">
                  <wp:extent cx="285750" cy="114300"/>
                  <wp:effectExtent l="0" t="0" r="3810" b="762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65"/>
                          <a:stretch>
                            <a:fillRect/>
                          </a:stretch>
                        </pic:blipFill>
                        <pic:spPr>
                          <a:xfrm>
                            <a:off x="0" y="0"/>
                            <a:ext cx="285790" cy="114316"/>
                          </a:xfrm>
                          <a:prstGeom prst="rect">
                            <a:avLst/>
                          </a:prstGeom>
                        </pic:spPr>
                      </pic:pic>
                    </a:graphicData>
                  </a:graphic>
                </wp:inline>
              </w:drawing>
            </w:r>
            <w:r>
              <w:rPr>
                <w:rFonts w:hint="eastAsia" w:ascii="仿宋" w:hAnsi="仿宋" w:eastAsia="仿宋" w:cs="仿宋"/>
                <w:sz w:val="24"/>
                <w:szCs w:val="24"/>
              </w:rPr>
              <w:t>79.34%</w:t>
            </w:r>
          </w:p>
        </w:tc>
      </w:tr>
      <w:tr w14:paraId="72B7837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091F2E41">
            <w:pPr>
              <w:jc w:val="left"/>
              <w:rPr>
                <w:rFonts w:hint="eastAsia" w:ascii="仿宋" w:hAnsi="仿宋" w:eastAsia="仿宋" w:cs="仿宋"/>
                <w:sz w:val="24"/>
                <w:szCs w:val="24"/>
              </w:rPr>
            </w:pPr>
            <w:r>
              <w:rPr>
                <w:rFonts w:hint="eastAsia" w:ascii="仿宋" w:hAnsi="仿宋" w:eastAsia="仿宋" w:cs="仿宋"/>
                <w:sz w:val="24"/>
                <w:szCs w:val="24"/>
              </w:rPr>
              <w:t>本题有效填写人次</w:t>
            </w:r>
          </w:p>
        </w:tc>
        <w:tc>
          <w:tcPr>
            <w:tcW w:w="1000" w:type="dxa"/>
            <w:shd w:val="clear" w:color="auto" w:fill="F5F5F5"/>
            <w:vAlign w:val="center"/>
          </w:tcPr>
          <w:p w14:paraId="2EE4499E">
            <w:pPr>
              <w:jc w:val="center"/>
              <w:rPr>
                <w:rFonts w:hint="eastAsia" w:ascii="仿宋" w:hAnsi="仿宋" w:eastAsia="仿宋" w:cs="仿宋"/>
                <w:sz w:val="24"/>
                <w:szCs w:val="24"/>
              </w:rPr>
            </w:pPr>
            <w:r>
              <w:rPr>
                <w:rFonts w:hint="eastAsia" w:ascii="仿宋" w:hAnsi="仿宋" w:eastAsia="仿宋" w:cs="仿宋"/>
                <w:sz w:val="24"/>
                <w:szCs w:val="24"/>
              </w:rPr>
              <w:t>121</w:t>
            </w:r>
          </w:p>
        </w:tc>
        <w:tc>
          <w:tcPr>
            <w:tcW w:w="3106" w:type="dxa"/>
            <w:shd w:val="clear" w:color="auto" w:fill="F5F5F5"/>
            <w:vAlign w:val="center"/>
          </w:tcPr>
          <w:p w14:paraId="744A01F8">
            <w:pPr>
              <w:jc w:val="left"/>
              <w:rPr>
                <w:rFonts w:hint="eastAsia" w:ascii="仿宋" w:hAnsi="仿宋" w:eastAsia="仿宋" w:cs="仿宋"/>
                <w:sz w:val="24"/>
                <w:szCs w:val="24"/>
              </w:rPr>
            </w:pPr>
          </w:p>
        </w:tc>
      </w:tr>
    </w:tbl>
    <w:p w14:paraId="26AE24F3">
      <w:pPr>
        <w:rPr>
          <w:rFonts w:hint="eastAsia" w:ascii="仿宋" w:hAnsi="仿宋" w:eastAsia="仿宋" w:cs="仿宋"/>
          <w:sz w:val="24"/>
          <w:szCs w:val="24"/>
        </w:rPr>
      </w:pPr>
    </w:p>
    <w:p w14:paraId="1ADFB2CE">
      <w:pPr>
        <w:rPr>
          <w:rFonts w:hint="eastAsia" w:ascii="仿宋" w:hAnsi="仿宋" w:eastAsia="仿宋" w:cs="仿宋"/>
          <w:sz w:val="24"/>
          <w:szCs w:val="24"/>
        </w:rPr>
      </w:pPr>
    </w:p>
    <w:p w14:paraId="4818223A">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第10题   对于东店一级渔港建设项目的建设或后续运营，您有哪些具体建议？      </w:t>
      </w:r>
      <w:r>
        <w:rPr>
          <w:rFonts w:hint="eastAsia" w:ascii="仿宋" w:hAnsi="仿宋" w:eastAsia="仿宋" w:cs="仿宋"/>
          <w:b w:val="0"/>
          <w:color w:val="0066FF"/>
          <w:sz w:val="24"/>
          <w:szCs w:val="24"/>
        </w:rPr>
        <w:t>[填空题]</w:t>
      </w:r>
    </w:p>
    <w:p w14:paraId="56F5C7D0">
      <w:pPr>
        <w:pStyle w:val="3"/>
        <w:rPr>
          <w:rFonts w:hint="eastAsia" w:ascii="仿宋" w:hAnsi="仿宋" w:eastAsia="仿宋" w:cs="仿宋"/>
          <w:sz w:val="24"/>
          <w:szCs w:val="24"/>
        </w:rPr>
      </w:pPr>
    </w:p>
    <w:sectPr>
      <w:footerReference r:id="rId4" w:type="default"/>
      <w:footnotePr>
        <w:numFmt w:val="decimalEnclosedCircleChinese"/>
      </w:footnotePr>
      <w:pgSz w:w="11906" w:h="16838"/>
      <w:pgMar w:top="1701" w:right="1417" w:bottom="1417" w:left="1417" w:header="737" w:footer="851" w:gutter="0"/>
      <w:pgNumType w:fmt="decimal"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216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7AED9">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7A7AED9">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7F12A">
    <w:pPr>
      <w:pStyle w:val="8"/>
    </w:pPr>
    <w:r>
      <w:rPr>
        <w:rStyle w:val="16"/>
        <w:rFonts w:hint="eastAsia" w:cs="Times New Roman"/>
        <w:kern w:val="2"/>
        <w:sz w:val="21"/>
        <w:szCs w:val="32"/>
        <w:u w:val="thick"/>
        <w:lang w:val="en-US" w:eastAsia="zh-CN" w:bidi="ar-SA"/>
      </w:rPr>
      <w:t>石狮市2024年渔港建设项目资金(东店一级渔港)支出绩效评价报告</w:t>
    </w:r>
    <w:r>
      <w:rPr>
        <w:rStyle w:val="16"/>
        <w:rFonts w:hint="eastAsia" w:ascii="Times New Roman" w:hAnsi="Times New Roman" w:eastAsia="仿宋_GB2312" w:cs="Times New Roman"/>
        <w:kern w:val="2"/>
        <w:sz w:val="21"/>
        <w:szCs w:val="32"/>
        <w:u w:val="thick"/>
        <w:lang w:val="en-US" w:eastAsia="zh-CN" w:bidi="ar-S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0FB4D"/>
    <w:multiLevelType w:val="singleLevel"/>
    <w:tmpl w:val="9E60FB4D"/>
    <w:lvl w:ilvl="0" w:tentative="0">
      <w:start w:val="1"/>
      <w:numFmt w:val="bullet"/>
      <w:pStyle w:val="4"/>
      <w:lvlText w:val=""/>
      <w:lvlJc w:val="left"/>
      <w:pPr>
        <w:tabs>
          <w:tab w:val="left" w:pos="2040"/>
        </w:tabs>
        <w:ind w:left="2040" w:hanging="360"/>
      </w:pPr>
      <w:rPr>
        <w:rFonts w:hint="default" w:ascii="Wingdings" w:hAnsi="Wingdings"/>
      </w:rPr>
    </w:lvl>
  </w:abstractNum>
  <w:abstractNum w:abstractNumId="1">
    <w:nsid w:val="1F796F58"/>
    <w:multiLevelType w:val="singleLevel"/>
    <w:tmpl w:val="1F796F58"/>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276F"/>
    <w:rsid w:val="004E7ED8"/>
    <w:rsid w:val="00592A0F"/>
    <w:rsid w:val="00852039"/>
    <w:rsid w:val="00BC5E3A"/>
    <w:rsid w:val="00C94C5A"/>
    <w:rsid w:val="010831EA"/>
    <w:rsid w:val="014672E9"/>
    <w:rsid w:val="016F664B"/>
    <w:rsid w:val="01DE5E85"/>
    <w:rsid w:val="0205420E"/>
    <w:rsid w:val="024F5C1E"/>
    <w:rsid w:val="027D0F8C"/>
    <w:rsid w:val="02957FB5"/>
    <w:rsid w:val="02FE77A7"/>
    <w:rsid w:val="0343039A"/>
    <w:rsid w:val="03987137"/>
    <w:rsid w:val="03ED5076"/>
    <w:rsid w:val="041C6F4F"/>
    <w:rsid w:val="042D3FC7"/>
    <w:rsid w:val="04685A42"/>
    <w:rsid w:val="04A45C0C"/>
    <w:rsid w:val="04BA2805"/>
    <w:rsid w:val="04C660B1"/>
    <w:rsid w:val="04CD6259"/>
    <w:rsid w:val="04D31620"/>
    <w:rsid w:val="04DD27C9"/>
    <w:rsid w:val="04DD4BD1"/>
    <w:rsid w:val="04E85ACE"/>
    <w:rsid w:val="05075A65"/>
    <w:rsid w:val="051E125A"/>
    <w:rsid w:val="057A03B5"/>
    <w:rsid w:val="05822FA5"/>
    <w:rsid w:val="05CF6041"/>
    <w:rsid w:val="05D3027A"/>
    <w:rsid w:val="05EB6869"/>
    <w:rsid w:val="062E3CC9"/>
    <w:rsid w:val="06776232"/>
    <w:rsid w:val="069169F2"/>
    <w:rsid w:val="073472FF"/>
    <w:rsid w:val="073E0BE0"/>
    <w:rsid w:val="074E6421"/>
    <w:rsid w:val="07513F6A"/>
    <w:rsid w:val="077C2986"/>
    <w:rsid w:val="07A51586"/>
    <w:rsid w:val="07CE7CCF"/>
    <w:rsid w:val="08374A9C"/>
    <w:rsid w:val="084538A0"/>
    <w:rsid w:val="089B7E57"/>
    <w:rsid w:val="08D67C0A"/>
    <w:rsid w:val="08F10228"/>
    <w:rsid w:val="08FC4B23"/>
    <w:rsid w:val="090023A9"/>
    <w:rsid w:val="094253E9"/>
    <w:rsid w:val="09737643"/>
    <w:rsid w:val="097E0C2D"/>
    <w:rsid w:val="09AF7F0C"/>
    <w:rsid w:val="09B57953"/>
    <w:rsid w:val="09C63F0F"/>
    <w:rsid w:val="09D939B0"/>
    <w:rsid w:val="09DC6BBA"/>
    <w:rsid w:val="0A3934FC"/>
    <w:rsid w:val="0A447AFA"/>
    <w:rsid w:val="0A457048"/>
    <w:rsid w:val="0A6369D5"/>
    <w:rsid w:val="0A7C6BA4"/>
    <w:rsid w:val="0A8A1CC3"/>
    <w:rsid w:val="0AC8676E"/>
    <w:rsid w:val="0AE20249"/>
    <w:rsid w:val="0AEE2528"/>
    <w:rsid w:val="0AF34C02"/>
    <w:rsid w:val="0AF53DB5"/>
    <w:rsid w:val="0B167D3A"/>
    <w:rsid w:val="0B7E68E7"/>
    <w:rsid w:val="0BAF7B8B"/>
    <w:rsid w:val="0BB53BA6"/>
    <w:rsid w:val="0BC80234"/>
    <w:rsid w:val="0BDF762F"/>
    <w:rsid w:val="0C4325A9"/>
    <w:rsid w:val="0C8671BB"/>
    <w:rsid w:val="0CDA2C21"/>
    <w:rsid w:val="0CE8610E"/>
    <w:rsid w:val="0D1830A8"/>
    <w:rsid w:val="0D3669A7"/>
    <w:rsid w:val="0D4953CA"/>
    <w:rsid w:val="0D8A69D7"/>
    <w:rsid w:val="0E721018"/>
    <w:rsid w:val="0EA524FE"/>
    <w:rsid w:val="0EE16FFF"/>
    <w:rsid w:val="0EF668A0"/>
    <w:rsid w:val="0F364B5D"/>
    <w:rsid w:val="0F415D32"/>
    <w:rsid w:val="0F4B242C"/>
    <w:rsid w:val="0F6C3837"/>
    <w:rsid w:val="0F792489"/>
    <w:rsid w:val="0F7D3E18"/>
    <w:rsid w:val="0F7D70D6"/>
    <w:rsid w:val="0FBA5004"/>
    <w:rsid w:val="0FD75009"/>
    <w:rsid w:val="0FE242C9"/>
    <w:rsid w:val="0FFD5391"/>
    <w:rsid w:val="100C7000"/>
    <w:rsid w:val="10262EF4"/>
    <w:rsid w:val="10406467"/>
    <w:rsid w:val="10511FBA"/>
    <w:rsid w:val="106532FE"/>
    <w:rsid w:val="10CE6264"/>
    <w:rsid w:val="113D3857"/>
    <w:rsid w:val="11610C55"/>
    <w:rsid w:val="11766E32"/>
    <w:rsid w:val="11881408"/>
    <w:rsid w:val="11AC26DD"/>
    <w:rsid w:val="11D323E9"/>
    <w:rsid w:val="12233A42"/>
    <w:rsid w:val="124B1422"/>
    <w:rsid w:val="12706133"/>
    <w:rsid w:val="12B66E2D"/>
    <w:rsid w:val="12BD1ED3"/>
    <w:rsid w:val="12E345CB"/>
    <w:rsid w:val="130E2DFF"/>
    <w:rsid w:val="13576102"/>
    <w:rsid w:val="137039BA"/>
    <w:rsid w:val="138274DC"/>
    <w:rsid w:val="13D41E43"/>
    <w:rsid w:val="13D51CBA"/>
    <w:rsid w:val="14164BB0"/>
    <w:rsid w:val="1421148C"/>
    <w:rsid w:val="142B4166"/>
    <w:rsid w:val="14320C94"/>
    <w:rsid w:val="146307BF"/>
    <w:rsid w:val="152369F7"/>
    <w:rsid w:val="15595889"/>
    <w:rsid w:val="156832B7"/>
    <w:rsid w:val="15995C23"/>
    <w:rsid w:val="16173DC9"/>
    <w:rsid w:val="169774E3"/>
    <w:rsid w:val="16BC0093"/>
    <w:rsid w:val="16E201DA"/>
    <w:rsid w:val="171A16A5"/>
    <w:rsid w:val="173101D8"/>
    <w:rsid w:val="17715EE7"/>
    <w:rsid w:val="179719DC"/>
    <w:rsid w:val="17A97232"/>
    <w:rsid w:val="17BD46DE"/>
    <w:rsid w:val="17E45C9F"/>
    <w:rsid w:val="17EE7125"/>
    <w:rsid w:val="182325E6"/>
    <w:rsid w:val="183D60C5"/>
    <w:rsid w:val="18452AD7"/>
    <w:rsid w:val="18742EFC"/>
    <w:rsid w:val="18D6703E"/>
    <w:rsid w:val="18EF21B8"/>
    <w:rsid w:val="191631D4"/>
    <w:rsid w:val="194018F4"/>
    <w:rsid w:val="19804C18"/>
    <w:rsid w:val="19B724AA"/>
    <w:rsid w:val="1A396889"/>
    <w:rsid w:val="1A3B0A74"/>
    <w:rsid w:val="1A7F0E95"/>
    <w:rsid w:val="1AB551FD"/>
    <w:rsid w:val="1AC6177B"/>
    <w:rsid w:val="1AF234ED"/>
    <w:rsid w:val="1B690270"/>
    <w:rsid w:val="1B6F67A3"/>
    <w:rsid w:val="1C300673"/>
    <w:rsid w:val="1CCF18A0"/>
    <w:rsid w:val="1CD847FB"/>
    <w:rsid w:val="1D0F5F3B"/>
    <w:rsid w:val="1D1A20B4"/>
    <w:rsid w:val="1D282714"/>
    <w:rsid w:val="1D3E6A30"/>
    <w:rsid w:val="1D5A5F6B"/>
    <w:rsid w:val="1D95286A"/>
    <w:rsid w:val="1DC75E54"/>
    <w:rsid w:val="1E103B1C"/>
    <w:rsid w:val="1E3E300F"/>
    <w:rsid w:val="1E466001"/>
    <w:rsid w:val="1EA1491D"/>
    <w:rsid w:val="1EB105C3"/>
    <w:rsid w:val="1F0F067F"/>
    <w:rsid w:val="1F551B65"/>
    <w:rsid w:val="1F5B03BF"/>
    <w:rsid w:val="1F6F6411"/>
    <w:rsid w:val="1FA603CB"/>
    <w:rsid w:val="1FC11684"/>
    <w:rsid w:val="1FC87926"/>
    <w:rsid w:val="1FDA6A81"/>
    <w:rsid w:val="1FDE042E"/>
    <w:rsid w:val="20597E0A"/>
    <w:rsid w:val="20832DFE"/>
    <w:rsid w:val="20A30DC9"/>
    <w:rsid w:val="20EC4EB8"/>
    <w:rsid w:val="2122468B"/>
    <w:rsid w:val="214230AC"/>
    <w:rsid w:val="217F0425"/>
    <w:rsid w:val="21893DAF"/>
    <w:rsid w:val="220B20C2"/>
    <w:rsid w:val="22212941"/>
    <w:rsid w:val="222B4197"/>
    <w:rsid w:val="223B63E1"/>
    <w:rsid w:val="224541E9"/>
    <w:rsid w:val="22653C80"/>
    <w:rsid w:val="232358AF"/>
    <w:rsid w:val="232C45AB"/>
    <w:rsid w:val="23492A98"/>
    <w:rsid w:val="23E0576C"/>
    <w:rsid w:val="24286A5E"/>
    <w:rsid w:val="247904E6"/>
    <w:rsid w:val="24A56D11"/>
    <w:rsid w:val="24DF688E"/>
    <w:rsid w:val="24E0480A"/>
    <w:rsid w:val="250A2706"/>
    <w:rsid w:val="257A495C"/>
    <w:rsid w:val="25CA2549"/>
    <w:rsid w:val="2621587F"/>
    <w:rsid w:val="26712F70"/>
    <w:rsid w:val="26AF7114"/>
    <w:rsid w:val="26C2177C"/>
    <w:rsid w:val="26EF3273"/>
    <w:rsid w:val="27251886"/>
    <w:rsid w:val="274D2F2A"/>
    <w:rsid w:val="27502CBF"/>
    <w:rsid w:val="27522065"/>
    <w:rsid w:val="275A2EB6"/>
    <w:rsid w:val="2769199A"/>
    <w:rsid w:val="27DF5F6B"/>
    <w:rsid w:val="27E72481"/>
    <w:rsid w:val="2800344F"/>
    <w:rsid w:val="286464B0"/>
    <w:rsid w:val="288C3319"/>
    <w:rsid w:val="29831902"/>
    <w:rsid w:val="29A0362E"/>
    <w:rsid w:val="29A9603F"/>
    <w:rsid w:val="2A0D0444"/>
    <w:rsid w:val="2ADA66CC"/>
    <w:rsid w:val="2AE412F9"/>
    <w:rsid w:val="2B931629"/>
    <w:rsid w:val="2BD60345"/>
    <w:rsid w:val="2C0E2815"/>
    <w:rsid w:val="2C80693B"/>
    <w:rsid w:val="2C952E46"/>
    <w:rsid w:val="2CC53569"/>
    <w:rsid w:val="2CD814FF"/>
    <w:rsid w:val="2D175190"/>
    <w:rsid w:val="2D545FC9"/>
    <w:rsid w:val="2D6606CE"/>
    <w:rsid w:val="2D844A34"/>
    <w:rsid w:val="2D9C54A6"/>
    <w:rsid w:val="2DA27975"/>
    <w:rsid w:val="2DE62BAE"/>
    <w:rsid w:val="2E2C13E8"/>
    <w:rsid w:val="2E4945C5"/>
    <w:rsid w:val="2E922AA4"/>
    <w:rsid w:val="2E9810E1"/>
    <w:rsid w:val="2EBA732D"/>
    <w:rsid w:val="2F0E794D"/>
    <w:rsid w:val="2F442D2F"/>
    <w:rsid w:val="2F4B786F"/>
    <w:rsid w:val="2F5A11CD"/>
    <w:rsid w:val="2F706A80"/>
    <w:rsid w:val="2F7A0DCC"/>
    <w:rsid w:val="2F7B2778"/>
    <w:rsid w:val="2FA96A37"/>
    <w:rsid w:val="2FEC6658"/>
    <w:rsid w:val="30075207"/>
    <w:rsid w:val="302B350C"/>
    <w:rsid w:val="307A466F"/>
    <w:rsid w:val="307E7C38"/>
    <w:rsid w:val="30D8303F"/>
    <w:rsid w:val="30DB5F78"/>
    <w:rsid w:val="30E05083"/>
    <w:rsid w:val="30FD2EA2"/>
    <w:rsid w:val="310E62F0"/>
    <w:rsid w:val="311865C6"/>
    <w:rsid w:val="315242AB"/>
    <w:rsid w:val="31525108"/>
    <w:rsid w:val="321305E4"/>
    <w:rsid w:val="32540C44"/>
    <w:rsid w:val="326B7A56"/>
    <w:rsid w:val="329E03FE"/>
    <w:rsid w:val="32EA60C1"/>
    <w:rsid w:val="335A3568"/>
    <w:rsid w:val="3363711E"/>
    <w:rsid w:val="33904D46"/>
    <w:rsid w:val="339B350B"/>
    <w:rsid w:val="33A249B8"/>
    <w:rsid w:val="33D2591C"/>
    <w:rsid w:val="33D55DEC"/>
    <w:rsid w:val="33DC0516"/>
    <w:rsid w:val="342B47ED"/>
    <w:rsid w:val="342C074E"/>
    <w:rsid w:val="345F2165"/>
    <w:rsid w:val="346C440C"/>
    <w:rsid w:val="349F3024"/>
    <w:rsid w:val="34A507E0"/>
    <w:rsid w:val="34BB28E6"/>
    <w:rsid w:val="34F955CB"/>
    <w:rsid w:val="35651338"/>
    <w:rsid w:val="35654980"/>
    <w:rsid w:val="3594661F"/>
    <w:rsid w:val="364775F2"/>
    <w:rsid w:val="36841C46"/>
    <w:rsid w:val="36A0632C"/>
    <w:rsid w:val="36D87907"/>
    <w:rsid w:val="37105B82"/>
    <w:rsid w:val="37297561"/>
    <w:rsid w:val="373A3E20"/>
    <w:rsid w:val="377C4680"/>
    <w:rsid w:val="38045282"/>
    <w:rsid w:val="381367FF"/>
    <w:rsid w:val="38354E09"/>
    <w:rsid w:val="385D0FE0"/>
    <w:rsid w:val="38812183"/>
    <w:rsid w:val="389B7863"/>
    <w:rsid w:val="38AB3AC2"/>
    <w:rsid w:val="38D33E49"/>
    <w:rsid w:val="38E71C77"/>
    <w:rsid w:val="392859A6"/>
    <w:rsid w:val="395146E4"/>
    <w:rsid w:val="39696B06"/>
    <w:rsid w:val="398E135B"/>
    <w:rsid w:val="3994792C"/>
    <w:rsid w:val="399F120C"/>
    <w:rsid w:val="39BF503E"/>
    <w:rsid w:val="39D920F3"/>
    <w:rsid w:val="3A190C42"/>
    <w:rsid w:val="3A1A5B9A"/>
    <w:rsid w:val="3A481E82"/>
    <w:rsid w:val="3A545E38"/>
    <w:rsid w:val="3A8A19A2"/>
    <w:rsid w:val="3AA54C5D"/>
    <w:rsid w:val="3AB46091"/>
    <w:rsid w:val="3ABC194A"/>
    <w:rsid w:val="3B051543"/>
    <w:rsid w:val="3B207A16"/>
    <w:rsid w:val="3B4676F9"/>
    <w:rsid w:val="3B591190"/>
    <w:rsid w:val="3B7E3FEF"/>
    <w:rsid w:val="3B9331D3"/>
    <w:rsid w:val="3BFA2912"/>
    <w:rsid w:val="3C192A1D"/>
    <w:rsid w:val="3C2E7CD9"/>
    <w:rsid w:val="3C765199"/>
    <w:rsid w:val="3C782FA9"/>
    <w:rsid w:val="3CA81F52"/>
    <w:rsid w:val="3CF47C7C"/>
    <w:rsid w:val="3D1261F8"/>
    <w:rsid w:val="3D1C301F"/>
    <w:rsid w:val="3D3D2135"/>
    <w:rsid w:val="3D6B4C53"/>
    <w:rsid w:val="3D766180"/>
    <w:rsid w:val="3D91026C"/>
    <w:rsid w:val="3D974BA2"/>
    <w:rsid w:val="3D9A279A"/>
    <w:rsid w:val="3DB326F8"/>
    <w:rsid w:val="3DFF1990"/>
    <w:rsid w:val="3E30444D"/>
    <w:rsid w:val="3E5B04C9"/>
    <w:rsid w:val="3EB57C42"/>
    <w:rsid w:val="3EDD0C49"/>
    <w:rsid w:val="3EE2018A"/>
    <w:rsid w:val="3EE65067"/>
    <w:rsid w:val="3F2E4B3F"/>
    <w:rsid w:val="3F3C07A5"/>
    <w:rsid w:val="3F53483B"/>
    <w:rsid w:val="3FB97668"/>
    <w:rsid w:val="3FC02C41"/>
    <w:rsid w:val="3FD52A71"/>
    <w:rsid w:val="407F6822"/>
    <w:rsid w:val="40C02079"/>
    <w:rsid w:val="41240FFA"/>
    <w:rsid w:val="41372B4F"/>
    <w:rsid w:val="41B96849"/>
    <w:rsid w:val="41BB0996"/>
    <w:rsid w:val="4241384D"/>
    <w:rsid w:val="42565461"/>
    <w:rsid w:val="42605154"/>
    <w:rsid w:val="43533451"/>
    <w:rsid w:val="43732856"/>
    <w:rsid w:val="43C53BA3"/>
    <w:rsid w:val="441074AC"/>
    <w:rsid w:val="44163547"/>
    <w:rsid w:val="441C5EB0"/>
    <w:rsid w:val="44361C78"/>
    <w:rsid w:val="444E4620"/>
    <w:rsid w:val="448A5A93"/>
    <w:rsid w:val="44C40F4E"/>
    <w:rsid w:val="454E3D3C"/>
    <w:rsid w:val="455D33B3"/>
    <w:rsid w:val="455D457F"/>
    <w:rsid w:val="456C0625"/>
    <w:rsid w:val="45E80174"/>
    <w:rsid w:val="45EA6720"/>
    <w:rsid w:val="46BB0C89"/>
    <w:rsid w:val="46CA34C6"/>
    <w:rsid w:val="46CF1974"/>
    <w:rsid w:val="46EC35A2"/>
    <w:rsid w:val="471501D2"/>
    <w:rsid w:val="471D5476"/>
    <w:rsid w:val="47240FA3"/>
    <w:rsid w:val="47245DA7"/>
    <w:rsid w:val="4724658B"/>
    <w:rsid w:val="47625FEA"/>
    <w:rsid w:val="47796EAA"/>
    <w:rsid w:val="47813B4D"/>
    <w:rsid w:val="47A83982"/>
    <w:rsid w:val="47B90D34"/>
    <w:rsid w:val="47C76018"/>
    <w:rsid w:val="481F316A"/>
    <w:rsid w:val="4850733B"/>
    <w:rsid w:val="486C38FA"/>
    <w:rsid w:val="48D873A1"/>
    <w:rsid w:val="48E60314"/>
    <w:rsid w:val="48EE063D"/>
    <w:rsid w:val="4956143C"/>
    <w:rsid w:val="498D77CD"/>
    <w:rsid w:val="49A57DFF"/>
    <w:rsid w:val="49AC5F3E"/>
    <w:rsid w:val="49AE616E"/>
    <w:rsid w:val="49CC7F9C"/>
    <w:rsid w:val="49E00D7B"/>
    <w:rsid w:val="4A142756"/>
    <w:rsid w:val="4A202953"/>
    <w:rsid w:val="4A343A55"/>
    <w:rsid w:val="4A4170C0"/>
    <w:rsid w:val="4A574C0E"/>
    <w:rsid w:val="4A655B26"/>
    <w:rsid w:val="4A780035"/>
    <w:rsid w:val="4AE3310B"/>
    <w:rsid w:val="4B18264A"/>
    <w:rsid w:val="4B830BBB"/>
    <w:rsid w:val="4BC4776A"/>
    <w:rsid w:val="4BF266DD"/>
    <w:rsid w:val="4C1A3292"/>
    <w:rsid w:val="4C1E3472"/>
    <w:rsid w:val="4CDA7712"/>
    <w:rsid w:val="4CDB4816"/>
    <w:rsid w:val="4CE31F57"/>
    <w:rsid w:val="4DBA5CD1"/>
    <w:rsid w:val="4DEA1F97"/>
    <w:rsid w:val="4E1267F7"/>
    <w:rsid w:val="4E902369"/>
    <w:rsid w:val="4E9F6C3E"/>
    <w:rsid w:val="4ECB46E2"/>
    <w:rsid w:val="4ED35788"/>
    <w:rsid w:val="4EDD341E"/>
    <w:rsid w:val="4F461418"/>
    <w:rsid w:val="4FB71F3B"/>
    <w:rsid w:val="4FE65037"/>
    <w:rsid w:val="4FF03836"/>
    <w:rsid w:val="50305D99"/>
    <w:rsid w:val="50621445"/>
    <w:rsid w:val="5074692F"/>
    <w:rsid w:val="507B7E86"/>
    <w:rsid w:val="507E260E"/>
    <w:rsid w:val="5142756E"/>
    <w:rsid w:val="5154503B"/>
    <w:rsid w:val="518906D9"/>
    <w:rsid w:val="51926524"/>
    <w:rsid w:val="51D57A5C"/>
    <w:rsid w:val="51DD5443"/>
    <w:rsid w:val="51E548D4"/>
    <w:rsid w:val="51E93949"/>
    <w:rsid w:val="51F536A9"/>
    <w:rsid w:val="522A7116"/>
    <w:rsid w:val="523A15F9"/>
    <w:rsid w:val="525439D3"/>
    <w:rsid w:val="527B5817"/>
    <w:rsid w:val="52872BA3"/>
    <w:rsid w:val="52C2392B"/>
    <w:rsid w:val="52D47880"/>
    <w:rsid w:val="52EA30A1"/>
    <w:rsid w:val="52FC320D"/>
    <w:rsid w:val="53B74837"/>
    <w:rsid w:val="53BC4515"/>
    <w:rsid w:val="53CA033F"/>
    <w:rsid w:val="53DF386A"/>
    <w:rsid w:val="542E1C6B"/>
    <w:rsid w:val="543C08F8"/>
    <w:rsid w:val="544A7E4C"/>
    <w:rsid w:val="544B6679"/>
    <w:rsid w:val="544D3AEE"/>
    <w:rsid w:val="544F7118"/>
    <w:rsid w:val="5457181F"/>
    <w:rsid w:val="5489052C"/>
    <w:rsid w:val="54951DE5"/>
    <w:rsid w:val="54B04062"/>
    <w:rsid w:val="54B8083C"/>
    <w:rsid w:val="54EA13E0"/>
    <w:rsid w:val="54FD17E6"/>
    <w:rsid w:val="55095260"/>
    <w:rsid w:val="55674A17"/>
    <w:rsid w:val="558E489F"/>
    <w:rsid w:val="55A021AD"/>
    <w:rsid w:val="55AE6467"/>
    <w:rsid w:val="55ED3650"/>
    <w:rsid w:val="562936CA"/>
    <w:rsid w:val="562E50E1"/>
    <w:rsid w:val="56300B7B"/>
    <w:rsid w:val="56A05D99"/>
    <w:rsid w:val="56BD51CE"/>
    <w:rsid w:val="56C80DDE"/>
    <w:rsid w:val="56CA63C8"/>
    <w:rsid w:val="56EA1451"/>
    <w:rsid w:val="56EF04EB"/>
    <w:rsid w:val="56F46A10"/>
    <w:rsid w:val="57B44052"/>
    <w:rsid w:val="57D5294B"/>
    <w:rsid w:val="58286AE4"/>
    <w:rsid w:val="58616AC4"/>
    <w:rsid w:val="58B469F7"/>
    <w:rsid w:val="59066829"/>
    <w:rsid w:val="596C2D35"/>
    <w:rsid w:val="597A7267"/>
    <w:rsid w:val="59DA739B"/>
    <w:rsid w:val="59F43CA4"/>
    <w:rsid w:val="5A0C3E88"/>
    <w:rsid w:val="5A2A52C0"/>
    <w:rsid w:val="5A6E1D26"/>
    <w:rsid w:val="5AAB49E8"/>
    <w:rsid w:val="5AB110C5"/>
    <w:rsid w:val="5B0525A2"/>
    <w:rsid w:val="5B2C7914"/>
    <w:rsid w:val="5B7D2324"/>
    <w:rsid w:val="5BD05CD7"/>
    <w:rsid w:val="5BF1698B"/>
    <w:rsid w:val="5BFF6E82"/>
    <w:rsid w:val="5C002755"/>
    <w:rsid w:val="5C1A7B33"/>
    <w:rsid w:val="5C5C3993"/>
    <w:rsid w:val="5C753BF3"/>
    <w:rsid w:val="5C894F47"/>
    <w:rsid w:val="5CAF23D5"/>
    <w:rsid w:val="5CAF5E5A"/>
    <w:rsid w:val="5CC154D0"/>
    <w:rsid w:val="5CDC2451"/>
    <w:rsid w:val="5D4378FD"/>
    <w:rsid w:val="5D462BDB"/>
    <w:rsid w:val="5D605E75"/>
    <w:rsid w:val="5D8067FD"/>
    <w:rsid w:val="5DAA05DA"/>
    <w:rsid w:val="5DB85B2B"/>
    <w:rsid w:val="5DDE25BF"/>
    <w:rsid w:val="5E721D9D"/>
    <w:rsid w:val="5E8E1297"/>
    <w:rsid w:val="5EA82456"/>
    <w:rsid w:val="5F0E0117"/>
    <w:rsid w:val="5F28073E"/>
    <w:rsid w:val="5F2D162B"/>
    <w:rsid w:val="5F3B5C15"/>
    <w:rsid w:val="5F882222"/>
    <w:rsid w:val="60443DDE"/>
    <w:rsid w:val="606D0B7B"/>
    <w:rsid w:val="60775492"/>
    <w:rsid w:val="607B1408"/>
    <w:rsid w:val="60AD0294"/>
    <w:rsid w:val="612F7A58"/>
    <w:rsid w:val="614D247B"/>
    <w:rsid w:val="616C3134"/>
    <w:rsid w:val="619F093C"/>
    <w:rsid w:val="61DF5E7D"/>
    <w:rsid w:val="61F55D26"/>
    <w:rsid w:val="62956CCF"/>
    <w:rsid w:val="62DC0B72"/>
    <w:rsid w:val="62FC7813"/>
    <w:rsid w:val="62FD297C"/>
    <w:rsid w:val="634A622D"/>
    <w:rsid w:val="6395618D"/>
    <w:rsid w:val="63F64686"/>
    <w:rsid w:val="646D4B87"/>
    <w:rsid w:val="64B76A2E"/>
    <w:rsid w:val="64F539DA"/>
    <w:rsid w:val="64F9301E"/>
    <w:rsid w:val="65101DDF"/>
    <w:rsid w:val="653C1E7D"/>
    <w:rsid w:val="654D5AD3"/>
    <w:rsid w:val="658B2B11"/>
    <w:rsid w:val="6604404B"/>
    <w:rsid w:val="66CC2174"/>
    <w:rsid w:val="66D85437"/>
    <w:rsid w:val="66DA0110"/>
    <w:rsid w:val="66F366C0"/>
    <w:rsid w:val="67140FEE"/>
    <w:rsid w:val="672A6364"/>
    <w:rsid w:val="673C55D9"/>
    <w:rsid w:val="67402283"/>
    <w:rsid w:val="674E7BD2"/>
    <w:rsid w:val="67595CED"/>
    <w:rsid w:val="67C3469B"/>
    <w:rsid w:val="67C552AE"/>
    <w:rsid w:val="67D844BD"/>
    <w:rsid w:val="68612804"/>
    <w:rsid w:val="689F16A3"/>
    <w:rsid w:val="68AA5473"/>
    <w:rsid w:val="690649AB"/>
    <w:rsid w:val="69503D0E"/>
    <w:rsid w:val="696C3B9C"/>
    <w:rsid w:val="697719BE"/>
    <w:rsid w:val="69D15251"/>
    <w:rsid w:val="69E73623"/>
    <w:rsid w:val="69FF4821"/>
    <w:rsid w:val="6A307B61"/>
    <w:rsid w:val="6A322671"/>
    <w:rsid w:val="6A6F39BA"/>
    <w:rsid w:val="6A764710"/>
    <w:rsid w:val="6A7C785B"/>
    <w:rsid w:val="6B081284"/>
    <w:rsid w:val="6B0A5399"/>
    <w:rsid w:val="6B1F7DBD"/>
    <w:rsid w:val="6B2C144F"/>
    <w:rsid w:val="6B4333E3"/>
    <w:rsid w:val="6B6A7A84"/>
    <w:rsid w:val="6BD75905"/>
    <w:rsid w:val="6BE95733"/>
    <w:rsid w:val="6BF3467A"/>
    <w:rsid w:val="6C0A41B0"/>
    <w:rsid w:val="6C1C33B2"/>
    <w:rsid w:val="6C2447A1"/>
    <w:rsid w:val="6C283FF3"/>
    <w:rsid w:val="6C2F0F7A"/>
    <w:rsid w:val="6C757A27"/>
    <w:rsid w:val="6CA55B8C"/>
    <w:rsid w:val="6D5556EE"/>
    <w:rsid w:val="6D6F4D1B"/>
    <w:rsid w:val="6D713CAB"/>
    <w:rsid w:val="6DFF521E"/>
    <w:rsid w:val="6E126453"/>
    <w:rsid w:val="6EAF6FD4"/>
    <w:rsid w:val="6EBD318A"/>
    <w:rsid w:val="6EF57093"/>
    <w:rsid w:val="6EFF7858"/>
    <w:rsid w:val="6F4B4A6F"/>
    <w:rsid w:val="6F72780A"/>
    <w:rsid w:val="6F840A2A"/>
    <w:rsid w:val="6F8820A1"/>
    <w:rsid w:val="70132218"/>
    <w:rsid w:val="70260C1E"/>
    <w:rsid w:val="703877EC"/>
    <w:rsid w:val="707E7998"/>
    <w:rsid w:val="70910BDF"/>
    <w:rsid w:val="70A3499D"/>
    <w:rsid w:val="70ED20AB"/>
    <w:rsid w:val="71312C91"/>
    <w:rsid w:val="715D1BDD"/>
    <w:rsid w:val="71723EB7"/>
    <w:rsid w:val="71800219"/>
    <w:rsid w:val="71B50421"/>
    <w:rsid w:val="71BB0C14"/>
    <w:rsid w:val="72201ACF"/>
    <w:rsid w:val="72883058"/>
    <w:rsid w:val="72A02B65"/>
    <w:rsid w:val="72CD158A"/>
    <w:rsid w:val="737E72AF"/>
    <w:rsid w:val="738F0067"/>
    <w:rsid w:val="739D05F9"/>
    <w:rsid w:val="73CA5617"/>
    <w:rsid w:val="73F42F4C"/>
    <w:rsid w:val="74532713"/>
    <w:rsid w:val="746D6AFE"/>
    <w:rsid w:val="74721AEE"/>
    <w:rsid w:val="74EF79AF"/>
    <w:rsid w:val="75130C42"/>
    <w:rsid w:val="75150AB7"/>
    <w:rsid w:val="75191D8A"/>
    <w:rsid w:val="75641194"/>
    <w:rsid w:val="75AA7DAF"/>
    <w:rsid w:val="75C17407"/>
    <w:rsid w:val="75C60334"/>
    <w:rsid w:val="764364A0"/>
    <w:rsid w:val="76486BF8"/>
    <w:rsid w:val="770D696D"/>
    <w:rsid w:val="77715632"/>
    <w:rsid w:val="77763AB8"/>
    <w:rsid w:val="778D7747"/>
    <w:rsid w:val="77A96E2C"/>
    <w:rsid w:val="77AB2A29"/>
    <w:rsid w:val="77E95FA6"/>
    <w:rsid w:val="77FC67A5"/>
    <w:rsid w:val="77FE452A"/>
    <w:rsid w:val="781F77E3"/>
    <w:rsid w:val="7899276D"/>
    <w:rsid w:val="793479B2"/>
    <w:rsid w:val="793D48A8"/>
    <w:rsid w:val="7958478C"/>
    <w:rsid w:val="796A56C0"/>
    <w:rsid w:val="797F3457"/>
    <w:rsid w:val="799942E0"/>
    <w:rsid w:val="79C81C6F"/>
    <w:rsid w:val="79D61E31"/>
    <w:rsid w:val="79E40814"/>
    <w:rsid w:val="7A0C47FC"/>
    <w:rsid w:val="7A621180"/>
    <w:rsid w:val="7A6223EB"/>
    <w:rsid w:val="7B291CC5"/>
    <w:rsid w:val="7B374DE6"/>
    <w:rsid w:val="7B3D64D4"/>
    <w:rsid w:val="7B4909FD"/>
    <w:rsid w:val="7BAD1ED4"/>
    <w:rsid w:val="7BDC0FE5"/>
    <w:rsid w:val="7BDD35AD"/>
    <w:rsid w:val="7BF35FEA"/>
    <w:rsid w:val="7C3B3C0C"/>
    <w:rsid w:val="7C4D3D05"/>
    <w:rsid w:val="7D7F65DC"/>
    <w:rsid w:val="7DA12AFE"/>
    <w:rsid w:val="7DA86AFB"/>
    <w:rsid w:val="7DB61442"/>
    <w:rsid w:val="7DBA1B16"/>
    <w:rsid w:val="7DF90B70"/>
    <w:rsid w:val="7E490F93"/>
    <w:rsid w:val="7E8042F0"/>
    <w:rsid w:val="7EB863E5"/>
    <w:rsid w:val="7EC96B5B"/>
    <w:rsid w:val="7F0666E9"/>
    <w:rsid w:val="7F1F18DB"/>
    <w:rsid w:val="7F365594"/>
    <w:rsid w:val="7F3E4FF8"/>
    <w:rsid w:val="7F490A4D"/>
    <w:rsid w:val="7F945811"/>
    <w:rsid w:val="7FB9535E"/>
    <w:rsid w:val="7FC7432D"/>
    <w:rsid w:val="7FDD7A24"/>
    <w:rsid w:val="7FE4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99"/>
    <w:pPr>
      <w:ind w:firstLine="420" w:firstLineChars="200"/>
    </w:pPr>
    <w:rPr>
      <w:szCs w:val="20"/>
    </w:rPr>
  </w:style>
  <w:style w:type="paragraph" w:styleId="3">
    <w:name w:val="Body Text"/>
    <w:basedOn w:val="1"/>
    <w:next w:val="4"/>
    <w:qFormat/>
    <w:uiPriority w:val="99"/>
    <w:rPr>
      <w:rFonts w:cs="宋体"/>
      <w:szCs w:val="21"/>
    </w:rPr>
  </w:style>
  <w:style w:type="paragraph" w:styleId="4">
    <w:name w:val="List Bullet 5"/>
    <w:basedOn w:val="1"/>
    <w:qFormat/>
    <w:uiPriority w:val="0"/>
    <w:pPr>
      <w:numPr>
        <w:ilvl w:val="0"/>
        <w:numId w:val="1"/>
      </w:numPr>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footnote text"/>
    <w:basedOn w:val="1"/>
    <w:qFormat/>
    <w:uiPriority w:val="0"/>
    <w:pPr>
      <w:snapToGrid w:val="0"/>
      <w:jc w:val="left"/>
    </w:pPr>
    <w:rPr>
      <w:sz w:val="18"/>
    </w:rPr>
  </w:style>
  <w:style w:type="paragraph" w:styleId="11">
    <w:name w:val="toc 2"/>
    <w:basedOn w:val="1"/>
    <w:next w:val="1"/>
    <w:qFormat/>
    <w:uiPriority w:val="0"/>
    <w:pPr>
      <w:ind w:left="420" w:left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Emphasis"/>
    <w:basedOn w:val="14"/>
    <w:qFormat/>
    <w:uiPriority w:val="0"/>
    <w:rPr>
      <w:i/>
      <w:iCs/>
    </w:rPr>
  </w:style>
  <w:style w:type="character" w:styleId="17">
    <w:name w:val="Hyperlink"/>
    <w:basedOn w:val="14"/>
    <w:qFormat/>
    <w:uiPriority w:val="0"/>
    <w:rPr>
      <w:color w:val="0000FF"/>
      <w:u w:val="single"/>
    </w:rPr>
  </w:style>
  <w:style w:type="character" w:styleId="18">
    <w:name w:val="footnote reference"/>
    <w:basedOn w:val="14"/>
    <w:qFormat/>
    <w:uiPriority w:val="0"/>
    <w:rPr>
      <w:vertAlign w:val="superscript"/>
    </w:rPr>
  </w:style>
  <w:style w:type="paragraph" w:customStyle="1" w:styleId="19">
    <w:name w:val="列出段落1"/>
    <w:basedOn w:val="1"/>
    <w:qFormat/>
    <w:uiPriority w:val="34"/>
    <w:pPr>
      <w:ind w:firstLine="420"/>
    </w:p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8" Type="http://schemas.openxmlformats.org/officeDocument/2006/relationships/fontTable" Target="fontTable.xml"/><Relationship Id="rId67" Type="http://schemas.openxmlformats.org/officeDocument/2006/relationships/numbering" Target="numbering.xml"/><Relationship Id="rId66" Type="http://schemas.openxmlformats.org/officeDocument/2006/relationships/customXml" Target="../customXml/item1.xml"/><Relationship Id="rId65" Type="http://schemas.openxmlformats.org/officeDocument/2006/relationships/image" Target="media/image60.png"/><Relationship Id="rId64" Type="http://schemas.openxmlformats.org/officeDocument/2006/relationships/image" Target="media/image59.png"/><Relationship Id="rId63" Type="http://schemas.openxmlformats.org/officeDocument/2006/relationships/image" Target="media/image58.png"/><Relationship Id="rId62" Type="http://schemas.openxmlformats.org/officeDocument/2006/relationships/image" Target="media/image57.png"/><Relationship Id="rId61" Type="http://schemas.openxmlformats.org/officeDocument/2006/relationships/image" Target="media/image56.png"/><Relationship Id="rId60" Type="http://schemas.openxmlformats.org/officeDocument/2006/relationships/image" Target="media/image55.png"/><Relationship Id="rId6" Type="http://schemas.openxmlformats.org/officeDocument/2006/relationships/image" Target="media/image1.jpeg"/><Relationship Id="rId59" Type="http://schemas.openxmlformats.org/officeDocument/2006/relationships/image" Target="media/image54.png"/><Relationship Id="rId58" Type="http://schemas.openxmlformats.org/officeDocument/2006/relationships/image" Target="media/image53.png"/><Relationship Id="rId57" Type="http://schemas.openxmlformats.org/officeDocument/2006/relationships/image" Target="media/image52.png"/><Relationship Id="rId56" Type="http://schemas.openxmlformats.org/officeDocument/2006/relationships/image" Target="media/image51.png"/><Relationship Id="rId55" Type="http://schemas.openxmlformats.org/officeDocument/2006/relationships/image" Target="media/image50.png"/><Relationship Id="rId54" Type="http://schemas.openxmlformats.org/officeDocument/2006/relationships/image" Target="media/image49.png"/><Relationship Id="rId53" Type="http://schemas.openxmlformats.org/officeDocument/2006/relationships/image" Target="media/image48.png"/><Relationship Id="rId52" Type="http://schemas.openxmlformats.org/officeDocument/2006/relationships/image" Target="media/image47.png"/><Relationship Id="rId51" Type="http://schemas.openxmlformats.org/officeDocument/2006/relationships/image" Target="media/image46.png"/><Relationship Id="rId50" Type="http://schemas.openxmlformats.org/officeDocument/2006/relationships/image" Target="media/image45.png"/><Relationship Id="rId5" Type="http://schemas.openxmlformats.org/officeDocument/2006/relationships/theme" Target="theme/theme1.xml"/><Relationship Id="rId49" Type="http://schemas.openxmlformats.org/officeDocument/2006/relationships/image" Target="media/image44.png"/><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388</Words>
  <Characters>424</Characters>
  <Lines>0</Lines>
  <Paragraphs>0</Paragraphs>
  <TotalTime>29</TotalTime>
  <ScaleCrop>false</ScaleCrop>
  <LinksUpToDate>false</LinksUpToDate>
  <CharactersWithSpaces>575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2022-03-29T07:31:00Z</dcterms:created>
  <dc:creator>ychen</dc:creator>
  <cp:lastModifiedBy>Day丶17</cp:lastModifiedBy>
  <dcterms:modified xsi:type="dcterms:W3CDTF">2026-07-20T02:57:12Z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36B910F59B30428687367A1217F94E55</vt:lpwstr>
  </property>
  <property fmtid="{D5CDD505-2E9C-101B-9397-08002B2CF9AE}" pid="4" name="KSOTemplateDocerSaveRecord">
    <vt:lpwstr>eyJoZGlkIjoiZDI1YTc4ZGRlZTE4ZWFlMjI5YmQ4MzczOGY3NmZhOGMiLCJ1c2VySWQiOiI0Njc0NjIyMzcifQ==</vt:lpwstr>
  </property>
</Properties>
</file>