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3FB67">
      <w:pPr>
        <w:jc w:val="center"/>
      </w:pPr>
    </w:p>
    <w:p w14:paraId="1BE087FF">
      <w:pPr>
        <w:jc w:val="center"/>
      </w:pPr>
    </w:p>
    <w:p w14:paraId="0FCDF27E">
      <w:pPr>
        <w:jc w:val="center"/>
      </w:pPr>
    </w:p>
    <w:p w14:paraId="6ADC8FBB">
      <w:pPr>
        <w:jc w:val="center"/>
      </w:pPr>
    </w:p>
    <w:p w14:paraId="2A82EF79">
      <w:pPr>
        <w:jc w:val="center"/>
      </w:pPr>
    </w:p>
    <w:p w14:paraId="7C29B637">
      <w:pPr>
        <w:jc w:val="center"/>
        <w:rPr>
          <w:rFonts w:hint="eastAsia" w:ascii="华文行楷" w:hAnsi="华文行楷" w:eastAsia="华文行楷" w:cs="华文行楷"/>
          <w:bCs/>
          <w:sz w:val="192"/>
          <w:szCs w:val="22"/>
        </w:rPr>
      </w:pPr>
      <w:r>
        <w:rPr>
          <w:rFonts w:hint="eastAsia" w:ascii="华文行楷" w:hAnsi="华文行楷" w:eastAsia="华文行楷" w:cs="华文行楷"/>
          <w:bCs/>
          <w:sz w:val="200"/>
        </w:rPr>
        <w:t>报告书</w:t>
      </w:r>
    </w:p>
    <w:p w14:paraId="67406433">
      <w:pPr>
        <w:ind w:left="840" w:leftChars="400"/>
        <w:jc w:val="left"/>
      </w:pPr>
    </w:p>
    <w:p w14:paraId="2C50DB0F">
      <w:pPr>
        <w:ind w:left="840" w:leftChars="400"/>
        <w:jc w:val="left"/>
      </w:pPr>
    </w:p>
    <w:p w14:paraId="34F0A2D2">
      <w:pPr>
        <w:ind w:left="840" w:leftChars="400"/>
        <w:jc w:val="left"/>
      </w:pPr>
    </w:p>
    <w:p w14:paraId="0EA31A00">
      <w:pPr>
        <w:ind w:left="840" w:leftChars="400"/>
        <w:jc w:val="left"/>
      </w:pPr>
    </w:p>
    <w:p w14:paraId="22291EF6">
      <w:pPr>
        <w:ind w:left="840" w:leftChars="400"/>
        <w:jc w:val="left"/>
      </w:pPr>
    </w:p>
    <w:p w14:paraId="1E95763F">
      <w:pPr>
        <w:jc w:val="left"/>
      </w:pPr>
    </w:p>
    <w:p w14:paraId="66E60F2C">
      <w:pPr>
        <w:jc w:val="left"/>
      </w:pPr>
    </w:p>
    <w:p w14:paraId="22E10558">
      <w:pPr>
        <w:ind w:left="840" w:leftChars="400"/>
        <w:jc w:val="left"/>
      </w:pPr>
    </w:p>
    <w:p w14:paraId="2D96CC33">
      <w:pPr>
        <w:ind w:left="840" w:leftChars="400"/>
        <w:jc w:val="left"/>
      </w:pPr>
    </w:p>
    <w:p w14:paraId="0D248218">
      <w:pPr>
        <w:ind w:left="2209" w:hanging="2209" w:hangingChars="500"/>
        <w:jc w:val="left"/>
        <w:rPr>
          <w:rFonts w:hint="eastAsia" w:ascii="仿宋" w:hAnsi="仿宋" w:eastAsia="仿宋" w:cs="仿宋"/>
          <w:b/>
          <w:bCs/>
          <w:sz w:val="28"/>
          <w:szCs w:val="36"/>
        </w:rPr>
      </w:pPr>
      <w:r>
        <w:rPr>
          <w:rFonts w:hint="eastAsia" w:ascii="仿宋" w:hAnsi="仿宋" w:eastAsia="仿宋" w:cs="仿宋"/>
          <w:b/>
          <w:bCs/>
          <w:sz w:val="44"/>
          <w:szCs w:val="52"/>
        </w:rPr>
        <w:t>项目名称：</w:t>
      </w:r>
      <w:r>
        <w:rPr>
          <w:rFonts w:hint="eastAsia" w:ascii="仿宋" w:hAnsi="仿宋" w:eastAsia="仿宋" w:cs="仿宋"/>
          <w:b/>
          <w:bCs/>
          <w:sz w:val="32"/>
          <w:szCs w:val="40"/>
          <w:u w:val="thick"/>
        </w:rPr>
        <w:t xml:space="preserve">石狮市2024年省级示范村创建专项资金绩效评价           </w:t>
      </w:r>
      <w:r>
        <w:rPr>
          <w:rFonts w:hint="eastAsia" w:ascii="仿宋" w:hAnsi="仿宋" w:eastAsia="仿宋" w:cs="仿宋"/>
          <w:b/>
          <w:bCs/>
          <w:sz w:val="28"/>
          <w:szCs w:val="36"/>
          <w:u w:val="thick"/>
        </w:rPr>
        <w:t xml:space="preserve">                            </w:t>
      </w:r>
    </w:p>
    <w:p w14:paraId="4C9F83B9">
      <w:pPr>
        <w:jc w:val="left"/>
        <w:rPr>
          <w:rFonts w:hint="eastAsia" w:ascii="仿宋" w:hAnsi="仿宋" w:eastAsia="仿宋" w:cs="仿宋"/>
          <w:b/>
          <w:bCs/>
          <w:sz w:val="44"/>
          <w:szCs w:val="52"/>
        </w:rPr>
      </w:pPr>
      <w:r>
        <w:rPr>
          <w:rFonts w:hint="eastAsia" w:ascii="仿宋" w:hAnsi="仿宋" w:eastAsia="仿宋" w:cs="仿宋"/>
          <w:b/>
          <w:bCs/>
          <w:sz w:val="44"/>
          <w:szCs w:val="52"/>
        </w:rPr>
        <w:t>委 托 方：</w:t>
      </w:r>
      <w:r>
        <w:rPr>
          <w:rFonts w:hint="eastAsia" w:ascii="仿宋" w:hAnsi="仿宋" w:eastAsia="仿宋" w:cs="仿宋"/>
          <w:b/>
          <w:bCs/>
          <w:sz w:val="32"/>
          <w:szCs w:val="32"/>
          <w:u w:val="thick"/>
        </w:rPr>
        <w:t xml:space="preserve">石狮市财政局                                   </w:t>
      </w:r>
    </w:p>
    <w:p w14:paraId="1E8D221B">
      <w:pPr>
        <w:jc w:val="left"/>
        <w:rPr>
          <w:rFonts w:hint="eastAsia" w:ascii="仿宋" w:hAnsi="仿宋" w:eastAsia="仿宋" w:cs="仿宋"/>
          <w:b/>
          <w:bCs/>
          <w:sz w:val="44"/>
          <w:szCs w:val="52"/>
          <w:u w:val="thick"/>
        </w:rPr>
      </w:pPr>
      <w:r>
        <w:rPr>
          <w:rFonts w:hint="eastAsia" w:ascii="仿宋" w:hAnsi="仿宋" w:eastAsia="仿宋" w:cs="仿宋"/>
          <w:b/>
          <w:bCs/>
          <w:sz w:val="44"/>
          <w:szCs w:val="52"/>
        </w:rPr>
        <w:t>项目单位：</w:t>
      </w:r>
      <w:r>
        <w:rPr>
          <w:rFonts w:hint="eastAsia" w:ascii="仿宋" w:hAnsi="仿宋" w:eastAsia="仿宋" w:cs="仿宋"/>
          <w:b/>
          <w:bCs/>
          <w:sz w:val="32"/>
          <w:szCs w:val="32"/>
          <w:u w:val="thick"/>
        </w:rPr>
        <w:t>石狮市农业农村局</w:t>
      </w:r>
      <w:r>
        <w:rPr>
          <w:rFonts w:hint="eastAsia" w:ascii="仿宋" w:hAnsi="仿宋" w:eastAsia="仿宋" w:cs="仿宋"/>
          <w:b/>
          <w:bCs/>
          <w:sz w:val="32"/>
          <w:szCs w:val="40"/>
          <w:u w:val="thick"/>
        </w:rPr>
        <w:t xml:space="preserve">            </w:t>
      </w:r>
      <w:r>
        <w:rPr>
          <w:rFonts w:hint="eastAsia" w:ascii="仿宋" w:hAnsi="仿宋" w:eastAsia="仿宋" w:cs="仿宋"/>
          <w:b/>
          <w:bCs/>
          <w:sz w:val="28"/>
          <w:szCs w:val="36"/>
          <w:u w:val="thick"/>
        </w:rPr>
        <w:t xml:space="preserve">                     </w:t>
      </w:r>
    </w:p>
    <w:p w14:paraId="27622DBE">
      <w:pPr>
        <w:jc w:val="left"/>
        <w:rPr>
          <w:b/>
          <w:bCs/>
          <w:sz w:val="44"/>
          <w:szCs w:val="52"/>
        </w:rPr>
      </w:pPr>
      <w:r>
        <w:rPr>
          <w:rFonts w:hint="eastAsia" w:ascii="仿宋" w:hAnsi="仿宋" w:eastAsia="仿宋" w:cs="仿宋"/>
          <w:b/>
          <w:bCs/>
          <w:sz w:val="44"/>
          <w:szCs w:val="52"/>
        </w:rPr>
        <w:t>评价机构：</w:t>
      </w:r>
      <w:r>
        <w:rPr>
          <w:rFonts w:hint="eastAsia" w:ascii="仿宋" w:hAnsi="仿宋" w:eastAsia="仿宋" w:cs="仿宋"/>
          <w:b/>
          <w:bCs/>
          <w:sz w:val="32"/>
          <w:szCs w:val="32"/>
          <w:u w:val="thick"/>
        </w:rPr>
        <w:t xml:space="preserve">集大财经咨询（福州）有限公司                    </w:t>
      </w:r>
      <w:r>
        <w:rPr>
          <w:rFonts w:hint="eastAsia"/>
          <w:b/>
          <w:bCs/>
          <w:sz w:val="28"/>
          <w:szCs w:val="36"/>
          <w:u w:val="thick"/>
        </w:rPr>
        <w:t xml:space="preserve">           </w:t>
      </w:r>
    </w:p>
    <w:p w14:paraId="7C8193E2">
      <w:pPr>
        <w:jc w:val="left"/>
        <w:rPr>
          <w:rFonts w:hint="eastAsia" w:ascii="华文中宋" w:hAnsi="华文中宋" w:eastAsia="华文中宋" w:cs="华文中宋"/>
        </w:rPr>
      </w:pPr>
    </w:p>
    <w:p w14:paraId="12133858">
      <w:pPr>
        <w:jc w:val="left"/>
      </w:pPr>
    </w:p>
    <w:p w14:paraId="06654989">
      <w:pPr>
        <w:ind w:left="840" w:leftChars="400"/>
        <w:jc w:val="left"/>
      </w:pPr>
    </w:p>
    <w:p w14:paraId="76C2BDC5">
      <w:pPr>
        <w:ind w:left="840" w:leftChars="400"/>
        <w:jc w:val="left"/>
      </w:pPr>
    </w:p>
    <w:p w14:paraId="27F726D4">
      <w:pPr>
        <w:ind w:left="840" w:leftChars="400"/>
        <w:jc w:val="left"/>
      </w:pPr>
    </w:p>
    <w:p w14:paraId="6E11484C">
      <w:pPr>
        <w:jc w:val="left"/>
        <w:sectPr>
          <w:headerReference r:id="rId3" w:type="first"/>
          <w:footerReference r:id="rId5" w:type="first"/>
          <w:footerReference r:id="rId4" w:type="default"/>
          <w:pgSz w:w="11906" w:h="16838"/>
          <w:pgMar w:top="1417" w:right="1417" w:bottom="1417" w:left="1417" w:header="851" w:footer="992" w:gutter="0"/>
          <w:cols w:space="425" w:num="1"/>
          <w:docGrid w:type="lines" w:linePitch="312" w:charSpace="0"/>
        </w:sectPr>
      </w:pPr>
      <w:r>
        <mc:AlternateContent>
          <mc:Choice Requires="wps">
            <w:drawing>
              <wp:anchor distT="0" distB="0" distL="114300" distR="114300" simplePos="0" relativeHeight="251659264" behindDoc="0" locked="0" layoutInCell="1" allowOverlap="1">
                <wp:simplePos x="0" y="0"/>
                <wp:positionH relativeFrom="column">
                  <wp:posOffset>1020445</wp:posOffset>
                </wp:positionH>
                <wp:positionV relativeFrom="paragraph">
                  <wp:posOffset>156210</wp:posOffset>
                </wp:positionV>
                <wp:extent cx="5279390" cy="620395"/>
                <wp:effectExtent l="4445" t="4445" r="19685" b="15240"/>
                <wp:wrapNone/>
                <wp:docPr id="101" name="文本框 101"/>
                <wp:cNvGraphicFramePr/>
                <a:graphic xmlns:a="http://schemas.openxmlformats.org/drawingml/2006/main">
                  <a:graphicData uri="http://schemas.microsoft.com/office/word/2010/wordprocessingShape">
                    <wps:wsp>
                      <wps:cNvSpPr txBox="1"/>
                      <wps:spPr>
                        <a:xfrm>
                          <a:off x="1303655" y="6525895"/>
                          <a:ext cx="5279390" cy="620395"/>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1616767">
                            <w:pPr>
                              <w:spacing w:line="420" w:lineRule="exact"/>
                              <w:rPr>
                                <w:rFonts w:hint="eastAsia" w:asciiTheme="minorEastAsia" w:hAnsiTheme="minorEastAsia" w:cstheme="minorEastAsia"/>
                                <w:b/>
                                <w:sz w:val="40"/>
                                <w:szCs w:val="40"/>
                              </w:rPr>
                            </w:pPr>
                            <w:r>
                              <w:rPr>
                                <w:rFonts w:hint="eastAsia" w:asciiTheme="minorEastAsia" w:hAnsiTheme="minorEastAsia" w:cstheme="minorEastAsia"/>
                                <w:b/>
                                <w:sz w:val="40"/>
                                <w:szCs w:val="40"/>
                              </w:rPr>
                              <w:t xml:space="preserve"> 集 大 财 经 咨 询（福 州）有 限 公 司 </w:t>
                            </w:r>
                          </w:p>
                          <w:p w14:paraId="00C8AFFE">
                            <w:pPr>
                              <w:spacing w:line="420" w:lineRule="exact"/>
                              <w:jc w:val="left"/>
                              <w:rPr>
                                <w:rFonts w:hint="eastAsia" w:asciiTheme="minorEastAsia" w:hAnsiTheme="minorEastAsia" w:cstheme="minorEastAsia"/>
                                <w:sz w:val="36"/>
                                <w:szCs w:val="36"/>
                              </w:rPr>
                            </w:pPr>
                            <w:r>
                              <w:rPr>
                                <w:rFonts w:hint="eastAsia" w:asciiTheme="minorEastAsia" w:hAnsiTheme="minorEastAsia" w:cstheme="minorEastAsia"/>
                                <w:b/>
                                <w:sz w:val="36"/>
                                <w:szCs w:val="36"/>
                              </w:rPr>
                              <w:t>Jida Financial Consulting (Fuzhou) Co.</w:t>
                            </w:r>
                            <w:r>
                              <w:rPr>
                                <w:rFonts w:hint="eastAsia" w:asciiTheme="minorEastAsia" w:hAnsiTheme="minorEastAsia" w:cstheme="minorEastAsia"/>
                                <w:b/>
                                <w:sz w:val="36"/>
                                <w:szCs w:val="36"/>
                                <w:lang w:val="en-US" w:eastAsia="zh-CN"/>
                              </w:rPr>
                              <w:t>,</w:t>
                            </w:r>
                            <w:r>
                              <w:rPr>
                                <w:rFonts w:hint="eastAsia" w:asciiTheme="minorEastAsia" w:hAnsiTheme="minorEastAsia" w:cstheme="minorEastAsia"/>
                                <w:b/>
                                <w:sz w:val="36"/>
                                <w:szCs w:val="36"/>
                              </w:rPr>
                              <w:t xml:space="preserve"> Ltd.</w:t>
                            </w:r>
                          </w:p>
                          <w:p w14:paraId="2E14410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35pt;margin-top:12.3pt;height:48.85pt;width:415.7pt;z-index:251659264;mso-width-relative:page;mso-height-relative:page;" fillcolor="#FFFFFF [3212]" filled="t" stroked="t" coordsize="21600,21600" o:gfxdata="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P1ImyLYAAAACgEAAA8AAAAAAAAAAQAgAAAAIgAAAGRycy9kb3ducmV2LnhtbFBLAQIUABQAAAAI&#10;AIdO4kAnGVkvXwIAAMgEAAAOAAAAAAAAAAEAIAAAACcBAABkcnMvZTJvRG9jLnhtbFBLBQYAAAAA&#10;BgAGAFkBAAD4BQAAAAA=&#10;">
                <v:fill on="t" focussize="0,0"/>
                <v:stroke weight="0.5pt" color="#FFFFFF [3212]" joinstyle="round"/>
                <v:imagedata o:title=""/>
                <o:lock v:ext="edit" aspectratio="f"/>
                <v:textbox>
                  <w:txbxContent>
                    <w:p w14:paraId="31616767">
                      <w:pPr>
                        <w:spacing w:line="420" w:lineRule="exact"/>
                        <w:rPr>
                          <w:rFonts w:hint="eastAsia" w:asciiTheme="minorEastAsia" w:hAnsiTheme="minorEastAsia" w:cstheme="minorEastAsia"/>
                          <w:b/>
                          <w:sz w:val="40"/>
                          <w:szCs w:val="40"/>
                        </w:rPr>
                      </w:pPr>
                      <w:r>
                        <w:rPr>
                          <w:rFonts w:hint="eastAsia" w:asciiTheme="minorEastAsia" w:hAnsiTheme="minorEastAsia" w:cstheme="minorEastAsia"/>
                          <w:b/>
                          <w:sz w:val="40"/>
                          <w:szCs w:val="40"/>
                        </w:rPr>
                        <w:t xml:space="preserve"> 集 大 财 经 咨 询（福 州）有 限 公 司 </w:t>
                      </w:r>
                    </w:p>
                    <w:p w14:paraId="00C8AFFE">
                      <w:pPr>
                        <w:spacing w:line="420" w:lineRule="exact"/>
                        <w:jc w:val="left"/>
                        <w:rPr>
                          <w:rFonts w:hint="eastAsia" w:asciiTheme="minorEastAsia" w:hAnsiTheme="minorEastAsia" w:cstheme="minorEastAsia"/>
                          <w:sz w:val="36"/>
                          <w:szCs w:val="36"/>
                        </w:rPr>
                      </w:pPr>
                      <w:r>
                        <w:rPr>
                          <w:rFonts w:hint="eastAsia" w:asciiTheme="minorEastAsia" w:hAnsiTheme="minorEastAsia" w:cstheme="minorEastAsia"/>
                          <w:b/>
                          <w:sz w:val="36"/>
                          <w:szCs w:val="36"/>
                        </w:rPr>
                        <w:t>Jida Financial Consulting (Fuzhou) Co.</w:t>
                      </w:r>
                      <w:r>
                        <w:rPr>
                          <w:rFonts w:hint="eastAsia" w:asciiTheme="minorEastAsia" w:hAnsiTheme="minorEastAsia" w:cstheme="minorEastAsia"/>
                          <w:b/>
                          <w:sz w:val="36"/>
                          <w:szCs w:val="36"/>
                          <w:lang w:val="en-US" w:eastAsia="zh-CN"/>
                        </w:rPr>
                        <w:t>,</w:t>
                      </w:r>
                      <w:r>
                        <w:rPr>
                          <w:rFonts w:hint="eastAsia" w:asciiTheme="minorEastAsia" w:hAnsiTheme="minorEastAsia" w:cstheme="minorEastAsia"/>
                          <w:b/>
                          <w:sz w:val="36"/>
                          <w:szCs w:val="36"/>
                        </w:rPr>
                        <w:t xml:space="preserve"> Ltd.</w:t>
                      </w:r>
                    </w:p>
                    <w:p w14:paraId="2E144105"/>
                  </w:txbxContent>
                </v:textbox>
              </v:shape>
            </w:pict>
          </mc:Fallback>
        </mc:AlternateContent>
      </w:r>
      <w:r>
        <w:drawing>
          <wp:inline distT="0" distB="0" distL="114300" distR="114300">
            <wp:extent cx="850900" cy="854710"/>
            <wp:effectExtent l="0" t="0" r="2540" b="13970"/>
            <wp:docPr id="102" name="图片 102" descr="集大财经咨询logo-定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集大财经咨询logo-定稿"/>
                    <pic:cNvPicPr>
                      <a:picLocks noChangeAspect="1"/>
                    </pic:cNvPicPr>
                  </pic:nvPicPr>
                  <pic:blipFill>
                    <a:blip r:embed="rId10"/>
                    <a:srcRect l="22038" t="24205" r="23109" b="20785"/>
                    <a:stretch>
                      <a:fillRect/>
                    </a:stretch>
                  </pic:blipFill>
                  <pic:spPr>
                    <a:xfrm>
                      <a:off x="0" y="0"/>
                      <a:ext cx="850900" cy="854710"/>
                    </a:xfrm>
                    <a:prstGeom prst="rect">
                      <a:avLst/>
                    </a:prstGeom>
                  </pic:spPr>
                </pic:pic>
              </a:graphicData>
            </a:graphic>
          </wp:inline>
        </w:drawing>
      </w:r>
    </w:p>
    <w:p w14:paraId="0167FDBD">
      <w:pPr>
        <w:jc w:val="center"/>
        <w:rPr>
          <w:rFonts w:hint="eastAsia" w:ascii="仿宋" w:hAnsi="仿宋" w:eastAsia="仿宋" w:cs="仿宋"/>
          <w:b/>
          <w:bCs/>
          <w:sz w:val="32"/>
          <w:szCs w:val="32"/>
        </w:rPr>
      </w:pPr>
      <w:r>
        <w:rPr>
          <w:rFonts w:hint="eastAsia" w:ascii="仿宋" w:hAnsi="仿宋" w:eastAsia="仿宋" w:cs="仿宋"/>
          <w:b/>
          <w:bCs/>
          <w:sz w:val="32"/>
          <w:szCs w:val="32"/>
        </w:rPr>
        <w:t>摘  要</w:t>
      </w:r>
    </w:p>
    <w:p w14:paraId="28B67387">
      <w:pPr>
        <w:spacing w:line="360" w:lineRule="auto"/>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一、基本情况</w:t>
      </w:r>
    </w:p>
    <w:p w14:paraId="53DCBB18">
      <w:pPr>
        <w:spacing w:line="360" w:lineRule="auto"/>
        <w:ind w:firstLine="482" w:firstLineChars="200"/>
        <w:rPr>
          <w:rFonts w:ascii="仿宋_GB2312" w:hAnsi="Times New Roman" w:eastAsia="仿宋_GB2312" w:cs="Times New Roman"/>
          <w:sz w:val="24"/>
        </w:rPr>
      </w:pPr>
      <w:r>
        <w:rPr>
          <w:rFonts w:hint="eastAsia" w:ascii="仿宋_GB2312" w:hAnsi="Times New Roman" w:eastAsia="仿宋_GB2312" w:cs="Times New Roman"/>
          <w:b/>
          <w:bCs/>
          <w:sz w:val="24"/>
        </w:rPr>
        <w:t>（一）项目背景</w:t>
      </w:r>
    </w:p>
    <w:p w14:paraId="375C5A7B">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2023年12月，为贯彻落实习近平总书记关于浙江“千万工程”经验的重要批示精神，加快建设宜居宜业和美乡村，中共福建省委扶贫开发成果巩固与乡村振兴工作领导小组印发《关于开展“千村示范引领、万村共富共美”工程 走具有福建特色乡村振兴之路的实施意见》（闽委振兴组〔2023〕4号），目标是到2027年全省新建成省级乡村振兴示范村1000个以上，带动全省1万多个村产业发展、乡村建设、乡村治理全面提升，农民农村共同富裕取得更为明显的实质性进展。2023-2027年，省农业农村厅、省乡村振兴局每年公布40个省级乡村振兴示范乡镇创建对象，500个省级乡村振兴示范村创建对象。省级示范村创建资金即用于省级乡村振兴示范乡镇创建对象和省级乡村振兴示范村创建对象的专项资金。</w:t>
      </w:r>
    </w:p>
    <w:p w14:paraId="0B369DA6">
      <w:pPr>
        <w:spacing w:line="360" w:lineRule="auto"/>
        <w:ind w:firstLine="482" w:firstLineChars="200"/>
        <w:rPr>
          <w:rFonts w:ascii="仿宋_GB2312" w:hAnsi="Times New Roman" w:eastAsia="仿宋_GB2312" w:cs="Times New Roman"/>
          <w:sz w:val="24"/>
        </w:rPr>
      </w:pPr>
      <w:r>
        <w:rPr>
          <w:rFonts w:hint="eastAsia" w:ascii="仿宋_GB2312" w:hAnsi="Times New Roman" w:eastAsia="仿宋_GB2312" w:cs="Times New Roman"/>
          <w:b/>
          <w:bCs/>
          <w:sz w:val="24"/>
        </w:rPr>
        <w:t>（二）主要内容及实施情况</w:t>
      </w:r>
    </w:p>
    <w:p w14:paraId="38385735">
      <w:pPr>
        <w:spacing w:line="360" w:lineRule="auto"/>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rPr>
        <w:t>根据《石狮市乡村振兴示范创建资金使用管理实施细则》的通知，2024年福建省、泉州市、石狮市三级财政共同筹措示范创建资金，专门用于省级乡村振兴示范乡镇、示范村的创建工作。资金重点用于提升乡村产业发展水平、提升乡村建设水平、提升乡村治理水平，其中安排产业项目的资金比例不低于40%。支出范围主要包括：做强做优做大乡村特色产业；促进农村一二三产融合发展；发展壮大村集体经济；改善提升人居环境；保护修复农村生态环境；推动乡村基础设施和公共服务提档升级；传承开发乡村优秀传统文化；完善乡村治理体系等。</w:t>
      </w:r>
    </w:p>
    <w:p w14:paraId="04C496DD">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石狮市2024年示范创建资金共分配至17个实施项目，包括16个省级乡村振兴示范村创建对象和1个省级乡村振兴示范乡镇创建对象的实施项目，涉及产业发展、基础设施、公共服务等类型。</w:t>
      </w:r>
    </w:p>
    <w:p w14:paraId="1A35E12D">
      <w:pPr>
        <w:spacing w:line="360" w:lineRule="auto"/>
        <w:ind w:firstLine="482" w:firstLineChars="200"/>
        <w:rPr>
          <w:rFonts w:ascii="仿宋_GB2312" w:hAnsi="Times New Roman" w:eastAsia="仿宋_GB2312" w:cs="Times New Roman"/>
          <w:sz w:val="24"/>
        </w:rPr>
      </w:pPr>
      <w:r>
        <w:rPr>
          <w:rFonts w:hint="eastAsia" w:ascii="仿宋_GB2312" w:hAnsi="Times New Roman" w:eastAsia="仿宋_GB2312" w:cs="Times New Roman"/>
          <w:b/>
          <w:bCs/>
          <w:sz w:val="24"/>
        </w:rPr>
        <w:t>（三）资金投入和使用情况</w:t>
      </w:r>
    </w:p>
    <w:p w14:paraId="139741D9">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根据财政预算，石狮市2024年省级示范村创建专项资金的总预算为3100万元。其中，安排6个省级乡村振兴示范村创建对象2800万元，安排永宁镇省级乡村振兴示范乡镇创建对象300万元。实际下达资金3100万元，当年度实际拨付1851.1万元，资金拨付率59.71%。</w:t>
      </w:r>
    </w:p>
    <w:p w14:paraId="192A2EA2">
      <w:pPr>
        <w:spacing w:line="360" w:lineRule="auto"/>
        <w:ind w:firstLine="562" w:firstLineChars="200"/>
        <w:rPr>
          <w:rFonts w:hint="eastAsia" w:ascii="仿宋" w:hAnsi="仿宋" w:eastAsia="仿宋" w:cs="仿宋"/>
          <w:b/>
          <w:bCs/>
          <w:sz w:val="28"/>
          <w:szCs w:val="28"/>
          <w:lang w:val="zh-CN"/>
        </w:rPr>
      </w:pPr>
      <w:r>
        <w:rPr>
          <w:rFonts w:hint="eastAsia" w:ascii="仿宋" w:hAnsi="仿宋" w:eastAsia="仿宋" w:cs="仿宋"/>
          <w:b/>
          <w:bCs/>
          <w:sz w:val="28"/>
          <w:szCs w:val="28"/>
          <w:lang w:val="zh-CN"/>
        </w:rPr>
        <w:t>二、综合评价情况及评价结论</w:t>
      </w:r>
    </w:p>
    <w:p w14:paraId="024BC071">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石狮市2024年省级示范村创建项目在提升乡村产业质量，农村人居环境，乡村治理方面取得了积极成效，但在预算编制、前期调研、事中监管等方面存在不足。经过工作组的审慎和科学评估，该项目总得分</w:t>
      </w:r>
      <w:r>
        <w:rPr>
          <w:rFonts w:hint="eastAsia" w:ascii="仿宋_GB2312" w:hAnsi="Times New Roman" w:eastAsia="仿宋_GB2312" w:cs="Times New Roman"/>
          <w:sz w:val="24"/>
          <w:lang w:val="en-US" w:eastAsia="zh-CN"/>
        </w:rPr>
        <w:t>85</w:t>
      </w:r>
      <w:r>
        <w:rPr>
          <w:rFonts w:hint="eastAsia" w:ascii="仿宋_GB2312" w:hAnsi="Times New Roman" w:eastAsia="仿宋_GB2312" w:cs="Times New Roman"/>
          <w:sz w:val="24"/>
        </w:rPr>
        <w:t>.</w:t>
      </w:r>
      <w:r>
        <w:rPr>
          <w:rFonts w:hint="eastAsia" w:ascii="仿宋_GB2312" w:hAnsi="Times New Roman" w:eastAsia="仿宋_GB2312" w:cs="Times New Roman"/>
          <w:sz w:val="24"/>
          <w:lang w:val="en-US" w:eastAsia="zh-CN"/>
        </w:rPr>
        <w:t>32</w:t>
      </w:r>
      <w:r>
        <w:rPr>
          <w:rFonts w:hint="eastAsia" w:ascii="仿宋_GB2312" w:hAnsi="Times New Roman" w:eastAsia="仿宋_GB2312" w:cs="Times New Roman"/>
          <w:sz w:val="24"/>
        </w:rPr>
        <w:t>分，评价等级结果为</w:t>
      </w:r>
      <w:r>
        <w:rPr>
          <w:rFonts w:hint="eastAsia" w:ascii="仿宋_GB2312" w:hAnsi="Times New Roman" w:eastAsia="仿宋_GB2312" w:cs="Times New Roman"/>
          <w:sz w:val="24"/>
          <w:lang w:val="en-US" w:eastAsia="zh-CN"/>
        </w:rPr>
        <w:t>良</w:t>
      </w:r>
      <w:r>
        <w:rPr>
          <w:rFonts w:hint="eastAsia" w:ascii="仿宋_GB2312" w:hAnsi="Times New Roman" w:eastAsia="仿宋_GB2312" w:cs="Times New Roman"/>
          <w:sz w:val="24"/>
        </w:rPr>
        <w:t>，分指标分析详见第四部分。</w:t>
      </w:r>
    </w:p>
    <w:p w14:paraId="732CF608">
      <w:pPr>
        <w:spacing w:line="360" w:lineRule="auto"/>
        <w:ind w:firstLine="562" w:firstLineChars="200"/>
        <w:rPr>
          <w:rFonts w:ascii="仿宋" w:hAnsi="仿宋" w:eastAsia="仿宋" w:cs="仿宋"/>
          <w:b/>
          <w:bCs/>
          <w:sz w:val="28"/>
          <w:szCs w:val="28"/>
          <w:lang w:val="zh-CN"/>
        </w:rPr>
      </w:pPr>
      <w:r>
        <w:rPr>
          <w:rFonts w:hint="eastAsia" w:ascii="仿宋" w:hAnsi="仿宋" w:eastAsia="仿宋" w:cs="仿宋"/>
          <w:b/>
          <w:bCs/>
          <w:sz w:val="28"/>
          <w:szCs w:val="28"/>
          <w:lang w:val="zh-CN"/>
        </w:rPr>
        <w:t>三、存在的问题及原因分析</w:t>
      </w:r>
    </w:p>
    <w:p w14:paraId="0195CEE3">
      <w:pPr>
        <w:spacing w:line="360" w:lineRule="auto"/>
        <w:ind w:firstLine="482" w:firstLineChars="200"/>
        <w:outlineLvl w:val="1"/>
        <w:rPr>
          <w:rFonts w:ascii="仿宋_GB2312" w:hAnsi="Times New Roman" w:eastAsia="仿宋_GB2312" w:cs="Times New Roman"/>
          <w:b/>
          <w:bCs/>
          <w:sz w:val="24"/>
        </w:rPr>
      </w:pPr>
      <w:bookmarkStart w:id="0" w:name="_Toc2328"/>
      <w:bookmarkStart w:id="1" w:name="_Toc31237"/>
      <w:bookmarkStart w:id="2" w:name="_Toc10207"/>
      <w:bookmarkStart w:id="3" w:name="_Toc2614"/>
      <w:r>
        <w:rPr>
          <w:rFonts w:hint="eastAsia" w:ascii="仿宋_GB2312" w:hAnsi="Times New Roman" w:eastAsia="仿宋_GB2312" w:cs="Times New Roman"/>
          <w:b/>
          <w:bCs/>
          <w:sz w:val="24"/>
        </w:rPr>
        <w:t>（一）绩效目标设置及指标细化不合理</w:t>
      </w:r>
      <w:bookmarkEnd w:id="0"/>
      <w:bookmarkEnd w:id="1"/>
      <w:bookmarkEnd w:id="2"/>
      <w:bookmarkEnd w:id="3"/>
    </w:p>
    <w:p w14:paraId="6065AA9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总体绩效目标和年度具体工作任务之间尚未形成足够紧密的关联。部分绩效指标的设定也存在偏差，产出成本指标未能有效反映项目成本控制效果。此外，项目产出绩效目标设置不够细化，不能从多角度反映专项资金运用的绩效。例如：未根据项目类型具体细分产业发展、基础设施、公共服务类项目的产出数量、质量等具体指标。</w:t>
      </w:r>
    </w:p>
    <w:p w14:paraId="195E40C6">
      <w:pPr>
        <w:spacing w:line="360" w:lineRule="auto"/>
        <w:ind w:firstLine="482" w:firstLineChars="200"/>
        <w:outlineLvl w:val="1"/>
        <w:rPr>
          <w:rFonts w:hint="eastAsia" w:ascii="仿宋_GB2312" w:hAnsi="Times New Roman" w:eastAsia="仿宋_GB2312" w:cs="Times New Roman"/>
          <w:b/>
          <w:bCs/>
          <w:sz w:val="24"/>
        </w:rPr>
      </w:pPr>
      <w:bookmarkStart w:id="4" w:name="_Toc24420"/>
      <w:bookmarkStart w:id="5" w:name="_Toc8247"/>
      <w:bookmarkStart w:id="6" w:name="_Toc2987"/>
      <w:bookmarkStart w:id="7" w:name="_Toc32087"/>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二）</w:t>
      </w:r>
      <w:r>
        <w:rPr>
          <w:rFonts w:hint="eastAsia" w:ascii="仿宋_GB2312" w:hAnsi="Times New Roman" w:eastAsia="仿宋_GB2312" w:cs="Times New Roman"/>
          <w:b/>
          <w:bCs/>
          <w:sz w:val="24"/>
        </w:rPr>
        <w:t>项目实际执行情况偏离计划，出现超计划投资及建设范围调整情况</w:t>
      </w:r>
      <w:bookmarkEnd w:id="4"/>
      <w:bookmarkEnd w:id="5"/>
      <w:bookmarkEnd w:id="6"/>
      <w:bookmarkEnd w:id="7"/>
    </w:p>
    <w:p w14:paraId="2C0AF8E3">
      <w:pPr>
        <w:spacing w:line="360" w:lineRule="auto"/>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rPr>
        <w:t>根据表3，可以发现部分已完工项目在结算时出现实际完成投资额超出计划投资额的情况，如郭坑村入村大道修建工程、西偏村</w:t>
      </w:r>
      <w:r>
        <w:rPr>
          <w:rFonts w:hint="eastAsia" w:ascii="仿宋_GB2312" w:hAnsi="Times New Roman" w:eastAsia="仿宋_GB2312" w:cs="Times New Roman"/>
          <w:sz w:val="24"/>
          <w:lang w:val="en-US" w:eastAsia="zh-CN"/>
        </w:rPr>
        <w:t>的</w:t>
      </w:r>
      <w:r>
        <w:rPr>
          <w:rFonts w:hint="eastAsia" w:ascii="仿宋_GB2312" w:hAnsi="Times New Roman" w:eastAsia="仿宋_GB2312" w:cs="Times New Roman"/>
          <w:sz w:val="24"/>
        </w:rPr>
        <w:t>体育文创园工程（二期）及万里碧道建设项目，其中西偏村的两个项目因实施过程中对</w:t>
      </w:r>
      <w:r>
        <w:rPr>
          <w:rFonts w:hint="eastAsia" w:ascii="仿宋_GB2312" w:hAnsi="Times New Roman" w:eastAsia="仿宋_GB2312" w:cs="Times New Roman"/>
          <w:sz w:val="24"/>
          <w:lang w:val="en-US" w:eastAsia="zh-CN"/>
        </w:rPr>
        <w:t>均对</w:t>
      </w:r>
      <w:r>
        <w:rPr>
          <w:rFonts w:hint="eastAsia" w:ascii="仿宋_GB2312" w:hAnsi="Times New Roman" w:eastAsia="仿宋_GB2312" w:cs="Times New Roman"/>
          <w:sz w:val="24"/>
        </w:rPr>
        <w:t>部分施工内容进行调整</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导致投资增加</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同时，部分项目在推进中因实际需求签订补充协议调整了建设范围，像西偏村万里碧道项目将不适合种植草坪的地块改为石头小道、补充电线埋管及新增健身器材</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邱下村文创服务中心项目增补地梁防护、楼（地）面砂浆防水、楼梯滑动支座填缝、外墙扣件式钢管脚手架等建设内容</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这些调整多基于现场勘查和实际需求，却也带来了项目执行与初始计划的偏差。</w:t>
      </w:r>
    </w:p>
    <w:p w14:paraId="2B874293">
      <w:pPr>
        <w:spacing w:line="360" w:lineRule="auto"/>
        <w:ind w:firstLine="482" w:firstLineChars="200"/>
        <w:rPr>
          <w:rFonts w:hint="default" w:ascii="仿宋_GB2312" w:hAnsi="Times New Roman" w:eastAsia="仿宋_GB2312" w:cs="Times New Roman"/>
          <w:b/>
          <w:bCs/>
          <w:sz w:val="24"/>
          <w:lang w:val="en-US" w:eastAsia="zh-CN"/>
        </w:rPr>
      </w:pPr>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三）</w:t>
      </w:r>
      <w:r>
        <w:rPr>
          <w:rFonts w:hint="eastAsia" w:ascii="仿宋_GB2312" w:hAnsi="Times New Roman" w:eastAsia="仿宋_GB2312" w:cs="Times New Roman"/>
          <w:b/>
          <w:bCs/>
          <w:sz w:val="24"/>
        </w:rPr>
        <w:t>前期调研工作不充分</w:t>
      </w:r>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部分项目停止推进</w:t>
      </w:r>
    </w:p>
    <w:p w14:paraId="0A2B281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在省级乡村振兴示范创建项目的绩效评价过程中，</w:t>
      </w:r>
      <w:r>
        <w:rPr>
          <w:rFonts w:hint="eastAsia" w:ascii="仿宋_GB2312" w:hAnsi="Times New Roman" w:eastAsia="仿宋_GB2312" w:cs="Times New Roman"/>
          <w:sz w:val="24"/>
          <w:lang w:val="en-US" w:eastAsia="zh-CN"/>
        </w:rPr>
        <w:t>工作组在</w:t>
      </w:r>
      <w:r>
        <w:rPr>
          <w:rFonts w:hint="eastAsia" w:ascii="仿宋_GB2312" w:hAnsi="Times New Roman" w:eastAsia="仿宋_GB2312" w:cs="Times New Roman"/>
          <w:sz w:val="24"/>
          <w:lang w:val="zh-CN"/>
        </w:rPr>
        <w:t>实地调研</w:t>
      </w:r>
      <w:r>
        <w:rPr>
          <w:rFonts w:hint="eastAsia" w:ascii="仿宋_GB2312" w:hAnsi="Times New Roman" w:eastAsia="仿宋_GB2312" w:cs="Times New Roman"/>
          <w:sz w:val="24"/>
          <w:lang w:val="en-US" w:eastAsia="zh-CN"/>
        </w:rPr>
        <w:t>中</w:t>
      </w:r>
      <w:r>
        <w:rPr>
          <w:rFonts w:hint="eastAsia" w:ascii="仿宋_GB2312" w:hAnsi="Times New Roman" w:eastAsia="仿宋_GB2312" w:cs="Times New Roman"/>
          <w:sz w:val="24"/>
          <w:lang w:val="zh-CN"/>
        </w:rPr>
        <w:t>发现有两个项目取消推进，其中</w:t>
      </w:r>
      <w:r>
        <w:rPr>
          <w:rFonts w:hint="eastAsia" w:ascii="仿宋_GB2312" w:hAnsi="Times New Roman" w:eastAsia="仿宋_GB2312" w:cs="Times New Roman"/>
          <w:sz w:val="24"/>
        </w:rPr>
        <w:t>包括邱下村人居环境改造提升项目以及东店村公租房建设（一期）。邱下村人居环境改造提升项目因涉及当地村民房屋拆建问题导致停滞；东店村公租房建设（一期）</w:t>
      </w:r>
      <w:r>
        <w:rPr>
          <w:rFonts w:hint="eastAsia" w:ascii="仿宋_GB2312" w:hAnsi="Times New Roman" w:eastAsia="仿宋_GB2312" w:cs="Times New Roman"/>
          <w:sz w:val="24"/>
          <w:lang w:val="zh-CN"/>
        </w:rPr>
        <w:t>因用地规划问题难以开展。这些情况均反映出项目在前期调研阶段未能全面、细致地掌握相关信息，进而影响了申报论证的严谨性，导致项目停止推进。</w:t>
      </w:r>
    </w:p>
    <w:p w14:paraId="4E08A6A2">
      <w:pPr>
        <w:spacing w:line="360" w:lineRule="auto"/>
        <w:ind w:firstLine="482" w:firstLineChars="200"/>
        <w:rPr>
          <w:rFonts w:ascii="仿宋_GB2312" w:hAnsi="Times New Roman" w:eastAsia="仿宋_GB2312" w:cs="Times New Roman"/>
          <w:b/>
          <w:bCs/>
          <w:sz w:val="24"/>
          <w:lang w:val="zh-CN"/>
        </w:rPr>
      </w:pPr>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四）</w:t>
      </w:r>
      <w:r>
        <w:rPr>
          <w:rFonts w:hint="eastAsia" w:ascii="仿宋_GB2312" w:hAnsi="Times New Roman" w:eastAsia="仿宋_GB2312" w:cs="Times New Roman"/>
          <w:b/>
          <w:bCs/>
          <w:sz w:val="24"/>
          <w:lang w:val="zh-CN"/>
        </w:rPr>
        <w:t>资料填报缺失关键日期及盖章，项目管理规范性不足</w:t>
      </w:r>
    </w:p>
    <w:p w14:paraId="3934B616">
      <w:pPr>
        <w:spacing w:line="360" w:lineRule="auto"/>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lang w:val="en-US" w:eastAsia="zh-CN"/>
        </w:rPr>
        <w:t>工作</w:t>
      </w:r>
      <w:r>
        <w:rPr>
          <w:rFonts w:hint="eastAsia" w:ascii="仿宋_GB2312" w:hAnsi="Times New Roman" w:eastAsia="仿宋_GB2312" w:cs="Times New Roman"/>
          <w:sz w:val="24"/>
          <w:lang w:val="zh-CN"/>
        </w:rPr>
        <w:t>组抽阅了部分项目的合同文件、工程款支付申请表、验收报告等资料，发现个别项目存在招标代理合同或工程备案表缺少日期，工程款支付申请表缺失建设单位的公章。招标代理合同缺少日期会导致合同生效时间、履行期限等关键节点不明确，一旦发生合同纠纷，难以界定双方权利义务的时间范围，可能引发法律争议；工程备案表缺少日期则会影响备案信息的时效性和严肃性，不利于追溯项目流程节点，也可能导致项目合规性审核出现漏洞。工程款支付申请表缺失建设单位公章，会使支付申请的审批程序存在瑕疵，可能导致支付依据不充分，增加资金支付的随意性和风险，还可能在后续审计、核查中被认定为支付程序不合规，引发资金使用合规性争议，甚至可能因责任界定不清，在出现支付纠纷时难以明确各方责任。</w:t>
      </w:r>
    </w:p>
    <w:p w14:paraId="363A4315">
      <w:pPr>
        <w:spacing w:line="360" w:lineRule="auto"/>
        <w:ind w:firstLine="562" w:firstLineChars="200"/>
        <w:rPr>
          <w:rFonts w:hint="eastAsia" w:ascii="仿宋" w:hAnsi="仿宋" w:eastAsia="仿宋" w:cs="仿宋"/>
          <w:b/>
          <w:bCs/>
          <w:sz w:val="28"/>
          <w:szCs w:val="28"/>
          <w:lang w:val="zh-CN"/>
        </w:rPr>
      </w:pPr>
      <w:r>
        <w:rPr>
          <w:rFonts w:hint="eastAsia" w:ascii="仿宋" w:hAnsi="仿宋" w:eastAsia="仿宋" w:cs="仿宋"/>
          <w:b/>
          <w:bCs/>
          <w:sz w:val="28"/>
          <w:szCs w:val="28"/>
          <w:lang w:val="zh-CN"/>
        </w:rPr>
        <w:t>四、有关建议</w:t>
      </w:r>
    </w:p>
    <w:p w14:paraId="568DA17E">
      <w:pPr>
        <w:spacing w:line="360" w:lineRule="auto"/>
        <w:ind w:firstLine="482" w:firstLineChars="200"/>
        <w:outlineLvl w:val="1"/>
        <w:rPr>
          <w:rFonts w:ascii="仿宋_GB2312" w:hAnsi="Times New Roman" w:eastAsia="仿宋_GB2312" w:cs="Times New Roman"/>
          <w:b/>
          <w:bCs/>
          <w:sz w:val="24"/>
        </w:rPr>
      </w:pPr>
      <w:bookmarkStart w:id="8" w:name="_Toc31106"/>
      <w:bookmarkStart w:id="9" w:name="_Toc26206"/>
      <w:bookmarkStart w:id="10" w:name="_Toc28796"/>
      <w:bookmarkStart w:id="11" w:name="_Toc29205"/>
      <w:r>
        <w:rPr>
          <w:rFonts w:hint="eastAsia" w:ascii="仿宋_GB2312" w:hAnsi="Times New Roman" w:eastAsia="仿宋_GB2312" w:cs="Times New Roman"/>
          <w:b/>
          <w:bCs/>
          <w:sz w:val="24"/>
        </w:rPr>
        <w:t>（一）加强绩效目标与指标设定，以应对绩效目标与指标不合理</w:t>
      </w:r>
      <w:bookmarkEnd w:id="8"/>
      <w:bookmarkEnd w:id="9"/>
      <w:bookmarkEnd w:id="10"/>
      <w:bookmarkEnd w:id="11"/>
    </w:p>
    <w:p w14:paraId="0A115568">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应进一步促进树立“花钱必问效，无效必问责”意识，切实落实绩效管理主体责任，将绩效管理作为推进专项资金使用的有效抓手，进一步明确各自岗位责任。首先，强化总体绩效目标与年度具体工作任务的衔接机制。将总体绩效目标按年度拆解为可执行的具体工作任务，明确每项任务与总体目标的对应关系。其次，根据年度实际全面考量项目的预期产出效益与效果后进行绩效目标的设定，再根据绩效目标细化设置绩效指标，预算绩效目标编制要突出具体项目的每个环节的个性化指标，能体现项目资金使用的主要产出数量与质量，能切实衡量项目资金使用产生的效益。</w:t>
      </w:r>
    </w:p>
    <w:p w14:paraId="4551B60D">
      <w:pPr>
        <w:spacing w:line="360" w:lineRule="auto"/>
        <w:ind w:firstLine="482" w:firstLineChars="200"/>
        <w:outlineLvl w:val="1"/>
        <w:rPr>
          <w:rFonts w:ascii="仿宋_GB2312" w:hAnsi="Times New Roman" w:eastAsia="仿宋_GB2312" w:cs="Times New Roman"/>
          <w:b/>
          <w:bCs/>
          <w:sz w:val="24"/>
          <w:highlight w:val="none"/>
        </w:rPr>
      </w:pPr>
      <w:bookmarkStart w:id="12" w:name="_Toc68"/>
      <w:bookmarkStart w:id="13" w:name="_Toc17748"/>
      <w:bookmarkStart w:id="14" w:name="_Toc7277"/>
      <w:bookmarkStart w:id="15" w:name="_Toc23663"/>
      <w:r>
        <w:rPr>
          <w:rFonts w:hint="eastAsia" w:ascii="仿宋_GB2312" w:hAnsi="Times New Roman" w:eastAsia="仿宋_GB2312" w:cs="Times New Roman"/>
          <w:b/>
          <w:bCs/>
          <w:sz w:val="24"/>
        </w:rPr>
        <w:t>（二）</w:t>
      </w:r>
      <w:r>
        <w:rPr>
          <w:rFonts w:hint="eastAsia" w:ascii="仿宋_GB2312" w:hAnsi="Times New Roman" w:eastAsia="仿宋_GB2312" w:cs="Times New Roman"/>
          <w:b/>
          <w:bCs/>
          <w:sz w:val="24"/>
          <w:highlight w:val="none"/>
        </w:rPr>
        <w:t>精准规划、规范调整并强化管控，</w:t>
      </w:r>
      <w:r>
        <w:rPr>
          <w:rFonts w:hint="eastAsia" w:ascii="仿宋_GB2312" w:hAnsi="Times New Roman" w:eastAsia="仿宋_GB2312" w:cs="Times New Roman"/>
          <w:b/>
          <w:bCs/>
          <w:sz w:val="24"/>
          <w:highlight w:val="none"/>
          <w:lang w:val="en-US" w:eastAsia="zh-CN"/>
        </w:rPr>
        <w:t>以应对</w:t>
      </w:r>
      <w:r>
        <w:rPr>
          <w:rFonts w:hint="eastAsia" w:ascii="仿宋_GB2312" w:hAnsi="Times New Roman" w:eastAsia="仿宋_GB2312" w:cs="Times New Roman"/>
          <w:b/>
          <w:bCs/>
          <w:sz w:val="24"/>
          <w:highlight w:val="none"/>
        </w:rPr>
        <w:t>项目执行偏差</w:t>
      </w:r>
      <w:bookmarkEnd w:id="12"/>
      <w:bookmarkEnd w:id="13"/>
      <w:bookmarkEnd w:id="14"/>
      <w:bookmarkEnd w:id="15"/>
    </w:p>
    <w:p w14:paraId="03DE1F4E">
      <w:pPr>
        <w:pStyle w:val="7"/>
        <w:numPr>
          <w:ilvl w:val="0"/>
          <w:numId w:val="0"/>
        </w:numPr>
        <w:spacing w:line="360" w:lineRule="auto"/>
        <w:ind w:firstLine="480" w:firstLineChars="200"/>
        <w:rPr>
          <w:rFonts w:ascii="仿宋_GB2312" w:hAnsi="Times New Roman" w:eastAsia="仿宋_GB2312" w:cs="Times New Roman"/>
          <w:sz w:val="24"/>
          <w:highlight w:val="none"/>
          <w:lang w:val="zh-CN"/>
        </w:rPr>
      </w:pPr>
      <w:r>
        <w:rPr>
          <w:rFonts w:hint="eastAsia" w:ascii="仿宋_GB2312" w:hAnsi="Times New Roman" w:eastAsia="仿宋_GB2312" w:cs="Times New Roman"/>
          <w:sz w:val="24"/>
          <w:highlight w:val="none"/>
          <w:lang w:val="en-US" w:eastAsia="zh-CN"/>
        </w:rPr>
        <w:t>首先，</w:t>
      </w:r>
      <w:r>
        <w:rPr>
          <w:rFonts w:hint="eastAsia" w:ascii="仿宋_GB2312" w:hAnsi="Times New Roman" w:eastAsia="仿宋_GB2312" w:cs="Times New Roman"/>
          <w:sz w:val="24"/>
          <w:highlight w:val="none"/>
          <w:lang w:val="zh-CN"/>
        </w:rPr>
        <w:t>应强化前期调研与规划的精准性，在项目启动前组织专业团队开展全面勘察，结合现场实际条件细化设计方案，将电线埋管、地梁防护等易遗漏的配套内容纳入初始规划，同时充分预估施工中可能出现的地块适配性等问题，避免后期频繁调整。</w:t>
      </w:r>
      <w:r>
        <w:rPr>
          <w:rFonts w:hint="eastAsia" w:ascii="仿宋_GB2312" w:hAnsi="Times New Roman" w:eastAsia="仿宋_GB2312" w:cs="Times New Roman"/>
          <w:sz w:val="24"/>
          <w:highlight w:val="none"/>
          <w:lang w:val="en-US" w:eastAsia="zh-CN"/>
        </w:rPr>
        <w:t>其次应</w:t>
      </w:r>
      <w:r>
        <w:rPr>
          <w:rFonts w:hint="eastAsia" w:ascii="仿宋_GB2312" w:hAnsi="Times New Roman" w:eastAsia="仿宋_GB2312" w:cs="Times New Roman"/>
          <w:sz w:val="24"/>
          <w:highlight w:val="none"/>
          <w:lang w:val="zh-CN"/>
        </w:rPr>
        <w:t>建立严格的项目调整审批机制，对确需变更的施工内容或建设范围，要求先进行必要性与可行性论证，评估调整对投资额、工期的影响，经规范审批后签订补充协议，明确调整细节及费用结算方式。</w:t>
      </w:r>
      <w:r>
        <w:rPr>
          <w:rFonts w:hint="eastAsia" w:ascii="仿宋_GB2312" w:hAnsi="Times New Roman" w:eastAsia="仿宋_GB2312" w:cs="Times New Roman"/>
          <w:sz w:val="24"/>
          <w:highlight w:val="none"/>
          <w:lang w:val="en-US" w:eastAsia="zh-CN"/>
        </w:rPr>
        <w:t>同时需</w:t>
      </w:r>
      <w:r>
        <w:rPr>
          <w:rFonts w:hint="eastAsia" w:ascii="仿宋_GB2312" w:hAnsi="Times New Roman" w:eastAsia="仿宋_GB2312" w:cs="Times New Roman"/>
          <w:sz w:val="24"/>
          <w:highlight w:val="none"/>
          <w:lang w:val="zh-CN"/>
        </w:rPr>
        <w:t>加强过程管控与动态跟踪，定期对比项目实际进展与计划，实时监控投资使用情况，对调整内容的执行过程进行专项监督，确保项目偏差可控，提升资金使用效益与项目管理规范性。</w:t>
      </w:r>
    </w:p>
    <w:p w14:paraId="1898257A">
      <w:pPr>
        <w:spacing w:line="360" w:lineRule="auto"/>
        <w:ind w:firstLine="482" w:firstLineChars="200"/>
        <w:outlineLvl w:val="1"/>
        <w:rPr>
          <w:rFonts w:hint="eastAsia" w:ascii="仿宋_GB2312" w:hAnsi="Times New Roman" w:eastAsia="仿宋_GB2312" w:cs="Times New Roman"/>
          <w:b/>
          <w:bCs/>
          <w:sz w:val="24"/>
        </w:rPr>
      </w:pPr>
      <w:bookmarkStart w:id="16" w:name="_Toc24868"/>
      <w:bookmarkStart w:id="17" w:name="_Toc12284"/>
      <w:bookmarkStart w:id="18" w:name="_Toc8047"/>
      <w:bookmarkStart w:id="19" w:name="_Toc19494"/>
      <w:r>
        <w:rPr>
          <w:rFonts w:hint="eastAsia" w:ascii="仿宋_GB2312" w:hAnsi="Times New Roman" w:eastAsia="仿宋_GB2312" w:cs="Times New Roman"/>
          <w:b/>
          <w:bCs/>
          <w:sz w:val="24"/>
        </w:rPr>
        <w:t>（</w:t>
      </w:r>
      <w:r>
        <w:rPr>
          <w:rFonts w:hint="eastAsia" w:ascii="仿宋_GB2312" w:hAnsi="Times New Roman" w:eastAsia="仿宋_GB2312" w:cs="Times New Roman"/>
          <w:b/>
          <w:bCs/>
          <w:sz w:val="24"/>
          <w:lang w:val="en-US" w:eastAsia="zh-CN"/>
        </w:rPr>
        <w:t>三</w:t>
      </w:r>
      <w:r>
        <w:rPr>
          <w:rFonts w:hint="eastAsia" w:ascii="仿宋_GB2312" w:hAnsi="Times New Roman" w:eastAsia="仿宋_GB2312" w:cs="Times New Roman"/>
          <w:b/>
          <w:bCs/>
          <w:sz w:val="24"/>
        </w:rPr>
        <w:t>）深化前期调研，以避免项目停滞</w:t>
      </w:r>
      <w:bookmarkEnd w:id="16"/>
      <w:bookmarkEnd w:id="17"/>
      <w:bookmarkEnd w:id="18"/>
      <w:bookmarkEnd w:id="19"/>
    </w:p>
    <w:p w14:paraId="539F1A52">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en-US" w:eastAsia="zh-CN"/>
        </w:rPr>
        <w:t>农业农村局</w:t>
      </w:r>
      <w:r>
        <w:rPr>
          <w:rFonts w:hint="eastAsia" w:ascii="仿宋_GB2312" w:hAnsi="Times New Roman" w:eastAsia="仿宋_GB2312" w:cs="Times New Roman"/>
          <w:sz w:val="24"/>
          <w:lang w:val="zh-CN"/>
        </w:rPr>
        <w:t>应</w:t>
      </w:r>
      <w:r>
        <w:rPr>
          <w:rFonts w:hint="eastAsia" w:ascii="仿宋_GB2312" w:hAnsi="Times New Roman" w:eastAsia="仿宋_GB2312" w:cs="Times New Roman"/>
          <w:sz w:val="24"/>
          <w:lang w:val="en-US" w:eastAsia="zh-CN"/>
        </w:rPr>
        <w:t>要求创建对象</w:t>
      </w:r>
      <w:r>
        <w:rPr>
          <w:rFonts w:hint="eastAsia" w:ascii="仿宋_GB2312" w:hAnsi="Times New Roman" w:eastAsia="仿宋_GB2312" w:cs="Times New Roman"/>
          <w:sz w:val="24"/>
          <w:lang w:val="zh-CN"/>
        </w:rPr>
        <w:t>深化项目前期调研工作，建立完善的前期调研机制，组织专业团队对项目涉及的土地规划、村民意愿、环境影响等方面进行全面深入的调研，</w:t>
      </w:r>
      <w:r>
        <w:rPr>
          <w:rFonts w:hint="eastAsia" w:ascii="仿宋_GB2312" w:hAnsi="Times New Roman" w:eastAsia="仿宋_GB2312" w:cs="Times New Roman"/>
          <w:sz w:val="24"/>
          <w:lang w:val="en-US" w:eastAsia="zh-CN"/>
        </w:rPr>
        <w:t>并提交完整的项目可行性方案进行立项申请</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lang w:val="en-US" w:eastAsia="zh-CN"/>
        </w:rPr>
        <w:t>包括</w:t>
      </w:r>
      <w:r>
        <w:rPr>
          <w:rFonts w:hint="eastAsia" w:ascii="仿宋_GB2312" w:hAnsi="Times New Roman" w:eastAsia="仿宋_GB2312" w:cs="Times New Roman"/>
          <w:sz w:val="24"/>
          <w:lang w:val="zh-CN"/>
        </w:rPr>
        <w:t>涉及村民房屋拆建的项目，需与村民充分沟通以了解诉求和意见，制定合理的补偿和安置方案确保获得村民支持；涉及用地规划的项目，要提前与国土资源等相关部门沟通协调以明确用地性质和规划要求，确保无其他用地规划。同时加强项目申报论证的严谨性，建立严格的申报论证制度，组织专家对项目的可行性、必要性、风险等进行全面评估，严格审查项目各项条件以确保符合政策要求和实际情况，对论证不通过的项目不予立项，从源头上避免因前期工作不充分导致项目停滞，同时建立项目风险评估和预警机制，对可能出现的风险进行预判并制定应对措施。</w:t>
      </w:r>
    </w:p>
    <w:p w14:paraId="09C77EDE">
      <w:pPr>
        <w:spacing w:line="360" w:lineRule="auto"/>
        <w:ind w:firstLine="482" w:firstLineChars="200"/>
        <w:outlineLvl w:val="1"/>
        <w:rPr>
          <w:rFonts w:ascii="仿宋_GB2312" w:hAnsi="Times New Roman" w:eastAsia="仿宋_GB2312" w:cs="Times New Roman"/>
          <w:b/>
          <w:bCs/>
          <w:sz w:val="24"/>
        </w:rPr>
      </w:pPr>
      <w:bookmarkStart w:id="20" w:name="_Toc32713"/>
      <w:bookmarkStart w:id="21" w:name="_Toc27044"/>
      <w:bookmarkStart w:id="22" w:name="_Toc9803"/>
      <w:bookmarkStart w:id="23" w:name="_Toc3866"/>
      <w:r>
        <w:rPr>
          <w:rFonts w:hint="eastAsia" w:ascii="仿宋_GB2312" w:hAnsi="Times New Roman" w:eastAsia="仿宋_GB2312" w:cs="Times New Roman"/>
          <w:b/>
          <w:bCs/>
          <w:sz w:val="24"/>
        </w:rPr>
        <w:t>（</w:t>
      </w:r>
      <w:r>
        <w:rPr>
          <w:rFonts w:hint="eastAsia" w:ascii="仿宋_GB2312" w:hAnsi="Times New Roman" w:eastAsia="仿宋_GB2312" w:cs="Times New Roman"/>
          <w:b/>
          <w:bCs/>
          <w:sz w:val="24"/>
          <w:lang w:val="en-US" w:eastAsia="zh-CN"/>
        </w:rPr>
        <w:t>四</w:t>
      </w:r>
      <w:r>
        <w:rPr>
          <w:rFonts w:hint="eastAsia" w:ascii="仿宋_GB2312" w:hAnsi="Times New Roman" w:eastAsia="仿宋_GB2312" w:cs="Times New Roman"/>
          <w:b/>
          <w:bCs/>
          <w:sz w:val="24"/>
        </w:rPr>
        <w:t>）加强档案管理，以规范资料填写</w:t>
      </w:r>
      <w:bookmarkEnd w:id="20"/>
      <w:bookmarkEnd w:id="21"/>
      <w:bookmarkEnd w:id="22"/>
      <w:bookmarkEnd w:id="23"/>
    </w:p>
    <w:p w14:paraId="68B90E81">
      <w:pPr>
        <w:pStyle w:val="7"/>
        <w:numPr>
          <w:ilvl w:val="0"/>
          <w:numId w:val="0"/>
        </w:num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在项目资料管理方面，</w:t>
      </w:r>
      <w:r>
        <w:rPr>
          <w:rFonts w:hint="eastAsia" w:ascii="仿宋_GB2312" w:hAnsi="Times New Roman" w:eastAsia="仿宋_GB2312" w:cs="Times New Roman"/>
          <w:sz w:val="24"/>
          <w:lang w:val="en-US" w:eastAsia="zh-CN"/>
        </w:rPr>
        <w:t>创建对象</w:t>
      </w:r>
      <w:r>
        <w:rPr>
          <w:rFonts w:hint="eastAsia" w:ascii="仿宋_GB2312" w:hAnsi="Times New Roman" w:eastAsia="仿宋_GB2312" w:cs="Times New Roman"/>
          <w:sz w:val="24"/>
          <w:lang w:val="zh-CN"/>
        </w:rPr>
        <w:t>应规范合同、工程备案表等关键文件的填写，明确标注日期并加盖公章，确保文件要素完整、信息准确，便于项目流程追溯和合规性审核。建立健全资料审核机制，由专人负责审核项目文件的完整性和规范性，确保重要信息不缺失。同时可建立项目归档制度，结合工作实际情况，确定项目文件归档范围，以及档案保管、查阅等工作。</w:t>
      </w:r>
    </w:p>
    <w:p w14:paraId="543EF152">
      <w:pPr>
        <w:spacing w:line="360" w:lineRule="auto"/>
        <w:ind w:firstLine="480" w:firstLineChars="200"/>
        <w:rPr>
          <w:rFonts w:hint="eastAsia" w:ascii="仿宋_GB2312" w:hAnsi="Times New Roman" w:eastAsia="仿宋_GB2312" w:cs="Times New Roman"/>
          <w:sz w:val="24"/>
        </w:rPr>
      </w:pPr>
    </w:p>
    <w:p w14:paraId="3EBCF4DF">
      <w:pPr>
        <w:jc w:val="left"/>
        <w:rPr>
          <w:sz w:val="30"/>
          <w:szCs w:val="30"/>
        </w:rPr>
      </w:pPr>
    </w:p>
    <w:p w14:paraId="720AECAC">
      <w:pPr>
        <w:rPr>
          <w:rFonts w:hint="eastAsia" w:ascii="仿宋" w:hAnsi="仿宋" w:eastAsia="仿宋" w:cs="仿宋"/>
          <w:b/>
          <w:bCs/>
          <w:sz w:val="28"/>
          <w:szCs w:val="28"/>
        </w:rPr>
      </w:pPr>
      <w:r>
        <w:rPr>
          <w:rFonts w:hint="eastAsia" w:ascii="仿宋" w:hAnsi="仿宋" w:eastAsia="仿宋" w:cs="仿宋"/>
          <w:b/>
          <w:bCs/>
          <w:sz w:val="28"/>
          <w:szCs w:val="28"/>
        </w:rPr>
        <w:br w:type="page"/>
      </w:r>
    </w:p>
    <w:p w14:paraId="28267547">
      <w:pPr>
        <w:pStyle w:val="11"/>
        <w:tabs>
          <w:tab w:val="right" w:leader="dot" w:pos="8788"/>
        </w:tabs>
        <w:jc w:val="center"/>
        <w:rPr>
          <w:rFonts w:hint="eastAsia" w:ascii="仿宋" w:hAnsi="仿宋" w:eastAsia="仿宋" w:cs="仿宋"/>
          <w:sz w:val="28"/>
          <w:szCs w:val="28"/>
        </w:rPr>
      </w:pPr>
      <w:r>
        <w:rPr>
          <w:rFonts w:hint="eastAsia" w:ascii="仿宋" w:hAnsi="仿宋" w:eastAsia="仿宋" w:cs="仿宋"/>
          <w:b/>
          <w:bCs/>
          <w:sz w:val="28"/>
          <w:szCs w:val="28"/>
        </w:rPr>
        <w:t>目  录</w:t>
      </w:r>
    </w:p>
    <w:p w14:paraId="278AC542">
      <w:pPr>
        <w:pStyle w:val="12"/>
        <w:tabs>
          <w:tab w:val="right" w:leader="dot" w:pos="9072"/>
        </w:tabs>
      </w:pPr>
      <w:r>
        <w:rPr>
          <w:rFonts w:ascii="仿宋" w:hAnsi="仿宋" w:eastAsia="仿宋" w:cs="仿宋"/>
          <w:bCs/>
          <w:sz w:val="24"/>
          <w:lang w:val="zh-CN"/>
        </w:rPr>
        <w:fldChar w:fldCharType="begin"/>
      </w:r>
      <w:r>
        <w:rPr>
          <w:rFonts w:ascii="仿宋" w:hAnsi="仿宋" w:eastAsia="仿宋" w:cs="仿宋"/>
          <w:bCs/>
          <w:sz w:val="24"/>
          <w:lang w:val="zh-CN"/>
        </w:rPr>
        <w:instrText xml:space="preserve"> TOC \o "1-2" \h \u </w:instrText>
      </w:r>
      <w:r>
        <w:rPr>
          <w:rFonts w:ascii="仿宋" w:hAnsi="仿宋" w:eastAsia="仿宋" w:cs="仿宋"/>
          <w:bCs/>
          <w:sz w:val="24"/>
          <w:lang w:val="zh-CN"/>
        </w:rPr>
        <w:fldChar w:fldCharType="separate"/>
      </w:r>
    </w:p>
    <w:p w14:paraId="35027F3E">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_Toc32405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一、基本情况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_Toc32405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6D3D9191">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_Toc6531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（一）项目概况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_Toc6531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50B3F7E7">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_Toc7430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（二）项目绩效目标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_Toc7430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4314A336">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_Toc5769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二、绩效评价工作开展情况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_Toc5769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3725DDF2">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_Toc23305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（一）绩效评价目的、对象和范围</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_Toc23305 \h </w:instrText>
      </w:r>
      <w:r>
        <w:rPr>
          <w:rFonts w:hint="eastAsia" w:ascii="仿宋" w:hAnsi="仿宋" w:eastAsia="仿宋" w:cs="仿宋"/>
          <w:sz w:val="24"/>
          <w:szCs w:val="24"/>
        </w:rPr>
        <w:fldChar w:fldCharType="separate"/>
      </w:r>
      <w:r>
        <w:rPr>
          <w:rFonts w:hint="eastAsia" w:ascii="仿宋" w:hAnsi="仿宋" w:eastAsia="仿宋" w:cs="仿宋"/>
          <w:sz w:val="24"/>
          <w:szCs w:val="24"/>
        </w:rPr>
        <w:t>4</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76CDAFD1">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_Toc739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（二）绩效评价原则、评价指标体系、评价方法、评价标准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_Toc739 \h </w:instrText>
      </w:r>
      <w:r>
        <w:rPr>
          <w:rFonts w:hint="eastAsia" w:ascii="仿宋" w:hAnsi="仿宋" w:eastAsia="仿宋" w:cs="仿宋"/>
          <w:sz w:val="24"/>
          <w:szCs w:val="24"/>
        </w:rPr>
        <w:fldChar w:fldCharType="separate"/>
      </w:r>
      <w:r>
        <w:rPr>
          <w:rFonts w:hint="eastAsia" w:ascii="仿宋" w:hAnsi="仿宋" w:eastAsia="仿宋" w:cs="仿宋"/>
          <w:sz w:val="24"/>
          <w:szCs w:val="24"/>
        </w:rPr>
        <w:t>5</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229DE028">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_Toc20982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（三）绩效评价工作过程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_Toc20982 \h </w:instrText>
      </w:r>
      <w:r>
        <w:rPr>
          <w:rFonts w:hint="eastAsia" w:ascii="仿宋" w:hAnsi="仿宋" w:eastAsia="仿宋" w:cs="仿宋"/>
          <w:sz w:val="24"/>
          <w:szCs w:val="24"/>
        </w:rPr>
        <w:fldChar w:fldCharType="separate"/>
      </w:r>
      <w:r>
        <w:rPr>
          <w:rFonts w:hint="eastAsia" w:ascii="仿宋" w:hAnsi="仿宋" w:eastAsia="仿宋" w:cs="仿宋"/>
          <w:sz w:val="24"/>
          <w:szCs w:val="24"/>
        </w:rPr>
        <w:t>7</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1AF50E2A">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_Toc23750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三、综合评价情况及评价结论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_Toc23750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7B85975F">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_Toc12393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四、绩效评价指标分析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_Toc12393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3E19DFB7">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_Toc1204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（一）项目决策情况（分值20分，得分1</w:t>
      </w:r>
      <w:r>
        <w:rPr>
          <w:rFonts w:hint="eastAsia" w:ascii="仿宋" w:hAnsi="仿宋" w:eastAsia="仿宋" w:cs="仿宋"/>
          <w:bCs/>
          <w:sz w:val="24"/>
          <w:szCs w:val="24"/>
          <w:lang w:val="en-US" w:eastAsia="zh-CN"/>
        </w:rPr>
        <w:t>9</w:t>
      </w:r>
      <w:r>
        <w:rPr>
          <w:rFonts w:hint="eastAsia" w:ascii="仿宋" w:hAnsi="仿宋" w:eastAsia="仿宋" w:cs="仿宋"/>
          <w:bCs/>
          <w:sz w:val="24"/>
          <w:szCs w:val="24"/>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_Toc1204 \h </w:instrText>
      </w:r>
      <w:r>
        <w:rPr>
          <w:rFonts w:hint="eastAsia" w:ascii="仿宋" w:hAnsi="仿宋" w:eastAsia="仿宋" w:cs="仿宋"/>
          <w:sz w:val="24"/>
          <w:szCs w:val="24"/>
        </w:rPr>
        <w:fldChar w:fldCharType="separate"/>
      </w:r>
      <w:r>
        <w:rPr>
          <w:rFonts w:hint="eastAsia" w:ascii="仿宋" w:hAnsi="仿宋" w:eastAsia="仿宋" w:cs="仿宋"/>
          <w:sz w:val="24"/>
          <w:szCs w:val="24"/>
        </w:rPr>
        <w:t>8</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3DD22E78">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_Toc22505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（二）项目过程情况（分值18分，得分1</w:t>
      </w:r>
      <w:r>
        <w:rPr>
          <w:rFonts w:hint="eastAsia" w:ascii="仿宋" w:hAnsi="仿宋" w:eastAsia="仿宋" w:cs="仿宋"/>
          <w:bCs/>
          <w:sz w:val="24"/>
          <w:szCs w:val="24"/>
          <w:lang w:val="en-US" w:eastAsia="zh-CN"/>
        </w:rPr>
        <w:t>6</w:t>
      </w:r>
      <w:r>
        <w:rPr>
          <w:rFonts w:hint="eastAsia" w:ascii="仿宋" w:hAnsi="仿宋" w:eastAsia="仿宋" w:cs="仿宋"/>
          <w:bCs/>
          <w:sz w:val="24"/>
          <w:szCs w:val="24"/>
        </w:rPr>
        <w:t>.79分）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_Toc22505 \h </w:instrText>
      </w:r>
      <w:r>
        <w:rPr>
          <w:rFonts w:hint="eastAsia" w:ascii="仿宋" w:hAnsi="仿宋" w:eastAsia="仿宋" w:cs="仿宋"/>
          <w:sz w:val="24"/>
          <w:szCs w:val="24"/>
        </w:rPr>
        <w:fldChar w:fldCharType="separate"/>
      </w:r>
      <w:r>
        <w:rPr>
          <w:rFonts w:hint="eastAsia" w:ascii="仿宋" w:hAnsi="仿宋" w:eastAsia="仿宋" w:cs="仿宋"/>
          <w:sz w:val="24"/>
          <w:szCs w:val="24"/>
        </w:rPr>
        <w:t>12</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267375E2">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_Toc29947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（三）项目产出情况（分值30分，得分</w:t>
      </w:r>
      <w:r>
        <w:rPr>
          <w:rFonts w:hint="eastAsia" w:ascii="仿宋" w:hAnsi="仿宋" w:eastAsia="仿宋" w:cs="仿宋"/>
          <w:bCs/>
          <w:sz w:val="24"/>
          <w:szCs w:val="24"/>
          <w:lang w:val="en-US" w:eastAsia="zh-CN"/>
        </w:rPr>
        <w:t>24</w:t>
      </w:r>
      <w:r>
        <w:rPr>
          <w:rFonts w:hint="eastAsia" w:ascii="仿宋" w:hAnsi="仿宋" w:eastAsia="仿宋" w:cs="仿宋"/>
          <w:bCs/>
          <w:sz w:val="24"/>
          <w:szCs w:val="24"/>
        </w:rPr>
        <w:t>.48分）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_Toc29947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7B46F263">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_Toc1250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（四）项目效益情况（分值32分，得分</w:t>
      </w:r>
      <w:r>
        <w:rPr>
          <w:rFonts w:hint="eastAsia" w:ascii="仿宋" w:hAnsi="仿宋" w:eastAsia="仿宋" w:cs="仿宋"/>
          <w:bCs/>
          <w:sz w:val="24"/>
          <w:szCs w:val="24"/>
          <w:lang w:val="en-US" w:eastAsia="zh-CN"/>
        </w:rPr>
        <w:t>25.05</w:t>
      </w:r>
      <w:r>
        <w:rPr>
          <w:rFonts w:hint="eastAsia" w:ascii="仿宋" w:hAnsi="仿宋" w:eastAsia="仿宋" w:cs="仿宋"/>
          <w:bCs/>
          <w:sz w:val="24"/>
          <w:szCs w:val="24"/>
        </w:rPr>
        <w:t>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_Toc1250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496F8334">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_Toc24135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五、存在的问题及原因分析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_Toc24135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0BDB8DA5">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_Toc15227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（一）绩效目标设置及指标细化不合理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_Toc15227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091795AB">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_Toc6564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二）</w:t>
      </w:r>
      <w:r>
        <w:rPr>
          <w:rFonts w:hint="eastAsia" w:ascii="仿宋" w:hAnsi="仿宋" w:eastAsia="仿宋" w:cs="仿宋"/>
          <w:bCs/>
          <w:sz w:val="24"/>
          <w:szCs w:val="24"/>
        </w:rPr>
        <w:t>项目实际执行情况偏离计划，出现超计划投资及建设范围调整情况</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_Toc6564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46FC39E8">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_Toc18445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三）</w:t>
      </w:r>
      <w:r>
        <w:rPr>
          <w:rFonts w:hint="eastAsia" w:ascii="仿宋" w:hAnsi="仿宋" w:eastAsia="仿宋" w:cs="仿宋"/>
          <w:bCs/>
          <w:sz w:val="24"/>
          <w:szCs w:val="24"/>
        </w:rPr>
        <w:t>前期调研工作不充分</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部分项目停止推进</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_Toc18445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06DEAD97">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_Toc9117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四）</w:t>
      </w:r>
      <w:r>
        <w:rPr>
          <w:rFonts w:hint="eastAsia" w:ascii="仿宋" w:hAnsi="仿宋" w:eastAsia="仿宋" w:cs="仿宋"/>
          <w:bCs/>
          <w:sz w:val="24"/>
          <w:szCs w:val="24"/>
          <w:lang w:val="zh-CN"/>
        </w:rPr>
        <w:t>资料填报缺失关键日期及盖章，项目管理规范性不足</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_Toc9117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4F9F0CC4">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_Toc22587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六、有关建议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_Toc22587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7B3995B2">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_Toc12645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（一）加强绩效目标与指标设定，以应对绩效目标与指标不合理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6A0CE792">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_Toc6664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（二）</w:t>
      </w:r>
      <w:r>
        <w:rPr>
          <w:rFonts w:hint="eastAsia" w:ascii="仿宋" w:hAnsi="仿宋" w:eastAsia="仿宋" w:cs="仿宋"/>
          <w:bCs/>
          <w:sz w:val="24"/>
          <w:szCs w:val="24"/>
          <w:highlight w:val="none"/>
        </w:rPr>
        <w:t>精准规划、规范调整并强化管控，</w:t>
      </w:r>
      <w:r>
        <w:rPr>
          <w:rFonts w:hint="eastAsia" w:ascii="仿宋" w:hAnsi="仿宋" w:eastAsia="仿宋" w:cs="仿宋"/>
          <w:bCs/>
          <w:sz w:val="24"/>
          <w:szCs w:val="24"/>
          <w:highlight w:val="none"/>
          <w:lang w:val="en-US" w:eastAsia="zh-CN"/>
        </w:rPr>
        <w:t>以应对</w:t>
      </w:r>
      <w:r>
        <w:rPr>
          <w:rFonts w:hint="eastAsia" w:ascii="仿宋" w:hAnsi="仿宋" w:eastAsia="仿宋" w:cs="仿宋"/>
          <w:bCs/>
          <w:sz w:val="24"/>
          <w:szCs w:val="24"/>
          <w:highlight w:val="none"/>
        </w:rPr>
        <w:t>项目执行偏差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_Toc6664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3DDD80CC">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_Toc14377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w:t>
      </w:r>
      <w:r>
        <w:rPr>
          <w:rFonts w:hint="eastAsia" w:ascii="仿宋" w:hAnsi="仿宋" w:eastAsia="仿宋" w:cs="仿宋"/>
          <w:bCs/>
          <w:sz w:val="24"/>
          <w:szCs w:val="24"/>
          <w:lang w:val="en-US" w:eastAsia="zh-CN"/>
        </w:rPr>
        <w:t>三</w:t>
      </w:r>
      <w:r>
        <w:rPr>
          <w:rFonts w:hint="eastAsia" w:ascii="仿宋" w:hAnsi="仿宋" w:eastAsia="仿宋" w:cs="仿宋"/>
          <w:bCs/>
          <w:sz w:val="24"/>
          <w:szCs w:val="24"/>
        </w:rPr>
        <w:t>）深化前期调研，以避免项目停滞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_Toc14377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0AC963D8">
      <w:pPr>
        <w:pStyle w:val="12"/>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_Toc30812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rPr>
        <w:t>（</w:t>
      </w:r>
      <w:r>
        <w:rPr>
          <w:rFonts w:hint="eastAsia" w:ascii="仿宋" w:hAnsi="仿宋" w:eastAsia="仿宋" w:cs="仿宋"/>
          <w:bCs/>
          <w:sz w:val="24"/>
          <w:szCs w:val="24"/>
          <w:lang w:val="en-US" w:eastAsia="zh-CN"/>
        </w:rPr>
        <w:t>四</w:t>
      </w:r>
      <w:r>
        <w:rPr>
          <w:rFonts w:hint="eastAsia" w:ascii="仿宋" w:hAnsi="仿宋" w:eastAsia="仿宋" w:cs="仿宋"/>
          <w:bCs/>
          <w:sz w:val="24"/>
          <w:szCs w:val="24"/>
        </w:rPr>
        <w:t>）加强档案管理，以规范资料填写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_Toc30812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3F6ADD1E">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_Toc16371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七、其他需要说明的问题</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_Toc16371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1B56D998">
      <w:pPr>
        <w:pStyle w:val="11"/>
        <w:tabs>
          <w:tab w:val="right" w:leader="dot" w:pos="9072"/>
        </w:tabs>
        <w:rPr>
          <w:rFonts w:hint="eastAsia" w:ascii="仿宋" w:hAnsi="仿宋" w:eastAsia="仿宋" w:cs="仿宋"/>
          <w:sz w:val="24"/>
          <w:szCs w:val="24"/>
        </w:rPr>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_Toc2251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附表</w:t>
      </w:r>
      <w:r>
        <w:rPr>
          <w:rFonts w:hint="eastAsia" w:ascii="仿宋" w:hAnsi="仿宋" w:eastAsia="仿宋" w:cs="仿宋"/>
          <w:bCs/>
          <w:sz w:val="24"/>
          <w:szCs w:val="24"/>
        </w:rPr>
        <w:t xml:space="preserve">  </w:t>
      </w:r>
      <w:r>
        <w:rPr>
          <w:rFonts w:hint="eastAsia" w:ascii="仿宋" w:hAnsi="仿宋" w:eastAsia="仿宋" w:cs="仿宋"/>
          <w:bCs/>
          <w:sz w:val="24"/>
          <w:szCs w:val="24"/>
          <w:lang w:val="zh-CN"/>
        </w:rPr>
        <w:t>石狮市2024年省级示范</w:t>
      </w:r>
      <w:r>
        <w:rPr>
          <w:rFonts w:hint="eastAsia" w:ascii="仿宋" w:hAnsi="仿宋" w:eastAsia="仿宋" w:cs="仿宋"/>
          <w:bCs/>
          <w:sz w:val="24"/>
          <w:szCs w:val="24"/>
        </w:rPr>
        <w:t>村</w:t>
      </w:r>
      <w:r>
        <w:rPr>
          <w:rFonts w:hint="eastAsia" w:ascii="仿宋" w:hAnsi="仿宋" w:eastAsia="仿宋" w:cs="仿宋"/>
          <w:bCs/>
          <w:sz w:val="24"/>
          <w:szCs w:val="24"/>
          <w:lang w:val="zh-CN"/>
        </w:rPr>
        <w:t>创建专项资金评价指标表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_Toc2251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7121E14D">
      <w:pPr>
        <w:pStyle w:val="11"/>
        <w:tabs>
          <w:tab w:val="right" w:leader="dot" w:pos="9072"/>
        </w:tabs>
      </w:pPr>
      <w:r>
        <w:rPr>
          <w:rFonts w:hint="eastAsia" w:ascii="仿宋" w:hAnsi="仿宋" w:eastAsia="仿宋" w:cs="仿宋"/>
          <w:bCs/>
          <w:sz w:val="24"/>
          <w:szCs w:val="24"/>
          <w:lang w:val="zh-CN"/>
        </w:rPr>
        <w:fldChar w:fldCharType="begin"/>
      </w:r>
      <w:r>
        <w:rPr>
          <w:rFonts w:hint="eastAsia" w:ascii="仿宋" w:hAnsi="仿宋" w:eastAsia="仿宋" w:cs="仿宋"/>
          <w:bCs/>
          <w:sz w:val="24"/>
          <w:szCs w:val="24"/>
          <w:lang w:val="zh-CN"/>
        </w:rPr>
        <w:instrText xml:space="preserve"> HYPERLINK \l _Toc26326 </w:instrText>
      </w:r>
      <w:r>
        <w:rPr>
          <w:rFonts w:hint="eastAsia" w:ascii="仿宋" w:hAnsi="仿宋" w:eastAsia="仿宋" w:cs="仿宋"/>
          <w:bCs/>
          <w:sz w:val="24"/>
          <w:szCs w:val="24"/>
          <w:lang w:val="zh-CN"/>
        </w:rPr>
        <w:fldChar w:fldCharType="separate"/>
      </w:r>
      <w:r>
        <w:rPr>
          <w:rFonts w:hint="eastAsia" w:ascii="仿宋" w:hAnsi="仿宋" w:eastAsia="仿宋" w:cs="仿宋"/>
          <w:bCs/>
          <w:sz w:val="24"/>
          <w:szCs w:val="24"/>
          <w:lang w:val="zh-CN"/>
        </w:rPr>
        <w:t>附录</w:t>
      </w:r>
      <w:r>
        <w:rPr>
          <w:rFonts w:hint="eastAsia" w:ascii="仿宋" w:hAnsi="仿宋" w:eastAsia="仿宋" w:cs="仿宋"/>
          <w:bCs/>
          <w:sz w:val="24"/>
          <w:szCs w:val="24"/>
        </w:rPr>
        <w:t xml:space="preserve">  </w:t>
      </w:r>
      <w:r>
        <w:rPr>
          <w:rFonts w:hint="eastAsia" w:ascii="仿宋" w:hAnsi="仿宋" w:eastAsia="仿宋" w:cs="仿宋"/>
          <w:bCs/>
          <w:sz w:val="24"/>
          <w:szCs w:val="24"/>
          <w:lang w:val="zh-CN"/>
        </w:rPr>
        <w:t>石狮市2024年省级示范创建专项资金问卷调查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_Toc26326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bCs/>
          <w:sz w:val="24"/>
          <w:szCs w:val="24"/>
          <w:lang w:val="zh-CN"/>
        </w:rPr>
        <w:fldChar w:fldCharType="end"/>
      </w:r>
    </w:p>
    <w:p w14:paraId="05CAD8AA">
      <w:pPr>
        <w:pStyle w:val="8"/>
        <w:spacing w:line="360" w:lineRule="auto"/>
        <w:jc w:val="center"/>
        <w:rPr>
          <w:sz w:val="30"/>
          <w:szCs w:val="30"/>
        </w:rPr>
      </w:pPr>
      <w:r>
        <w:rPr>
          <w:rFonts w:ascii="仿宋" w:hAnsi="仿宋" w:eastAsia="仿宋" w:cs="仿宋"/>
          <w:bCs/>
          <w:szCs w:val="24"/>
          <w:lang w:val="zh-CN"/>
        </w:rPr>
        <w:fldChar w:fldCharType="end"/>
      </w:r>
    </w:p>
    <w:p w14:paraId="51E6B2B8">
      <w:pPr>
        <w:rPr>
          <w:sz w:val="30"/>
          <w:szCs w:val="30"/>
        </w:rPr>
      </w:pPr>
      <w:r>
        <w:rPr>
          <w:sz w:val="30"/>
          <w:szCs w:val="30"/>
        </w:rPr>
        <w:br w:type="page"/>
      </w:r>
    </w:p>
    <w:p w14:paraId="331C1EAE">
      <w:pPr>
        <w:pStyle w:val="8"/>
        <w:spacing w:line="720" w:lineRule="auto"/>
        <w:jc w:val="center"/>
        <w:rPr>
          <w:sz w:val="30"/>
          <w:szCs w:val="30"/>
        </w:rPr>
        <w:sectPr>
          <w:headerReference r:id="rId6" w:type="default"/>
          <w:pgSz w:w="11906" w:h="16838"/>
          <w:pgMar w:top="1417" w:right="1417" w:bottom="1417" w:left="1417" w:header="851" w:footer="992" w:gutter="0"/>
          <w:cols w:space="0" w:num="1"/>
          <w:rtlGutter w:val="0"/>
          <w:docGrid w:type="lines" w:linePitch="424" w:charSpace="0"/>
        </w:sectPr>
      </w:pPr>
    </w:p>
    <w:p w14:paraId="6930094D">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为加强财政资金管理，强化支出责任，提高财政资金的使用效益，建立科学、合理的财政支出绩效评价管理体系，集大财经咨询（福州）有限公司接受石狮市财政局委托，组织专业人员成立评价工作组，根据中共中央、国务院《关于全面实施预算绩效管理的意见》（中发〔2018〕34号）、福建省委、省政府《关于全面实施预算绩效管理的实施意见》（闽委发〔2019〕5号）、福建省财政厅《关于全面实施预算绩效管理若干措施的通知》（闽财绩〔2019〕2号）、财政部《项目支出绩效评价管理办法》（财预〔2020〕10号）、《财政部关于委托第三方机构参与预算绩效管理的指导意见》（财预〔2021〕6号）等文件精神和要求，对石狮市农业农村局省级示范村创建专项资金开展绩效评价，以第三方身份出具报告。评价报告主要是供石狮市财政局了解该项目经费支出的绩效情况。</w:t>
      </w:r>
    </w:p>
    <w:p w14:paraId="72E1BA44">
      <w:pPr>
        <w:spacing w:line="360" w:lineRule="auto"/>
        <w:ind w:firstLine="480" w:firstLineChars="200"/>
        <w:rPr>
          <w:rFonts w:ascii="仿宋_GB2312" w:hAnsi="Times New Roman" w:eastAsia="仿宋_GB2312" w:cs="Times New Roman"/>
          <w:sz w:val="24"/>
        </w:rPr>
      </w:pPr>
    </w:p>
    <w:p w14:paraId="58B3C71A">
      <w:pPr>
        <w:spacing w:line="360" w:lineRule="auto"/>
        <w:ind w:firstLine="562" w:firstLineChars="200"/>
        <w:outlineLvl w:val="0"/>
        <w:rPr>
          <w:rFonts w:hint="eastAsia" w:ascii="仿宋" w:hAnsi="仿宋" w:eastAsia="仿宋" w:cs="仿宋"/>
          <w:b/>
          <w:bCs/>
          <w:sz w:val="28"/>
          <w:szCs w:val="28"/>
        </w:rPr>
      </w:pPr>
      <w:bookmarkStart w:id="24" w:name="_Toc32405"/>
      <w:bookmarkStart w:id="25" w:name="_Toc205852117"/>
      <w:bookmarkStart w:id="26" w:name="_Toc11103"/>
      <w:bookmarkStart w:id="27" w:name="_Toc184981055"/>
      <w:bookmarkStart w:id="28" w:name="_Toc7146"/>
      <w:bookmarkStart w:id="29" w:name="_Toc184981296"/>
      <w:bookmarkStart w:id="30" w:name="_Toc20412"/>
      <w:r>
        <w:rPr>
          <w:rFonts w:hint="eastAsia" w:ascii="仿宋" w:hAnsi="仿宋" w:eastAsia="仿宋" w:cs="仿宋"/>
          <w:b/>
          <w:bCs/>
          <w:sz w:val="28"/>
          <w:szCs w:val="28"/>
        </w:rPr>
        <w:t>一、基本情况</w:t>
      </w:r>
      <w:bookmarkEnd w:id="24"/>
      <w:bookmarkEnd w:id="25"/>
      <w:bookmarkEnd w:id="26"/>
      <w:bookmarkEnd w:id="27"/>
      <w:bookmarkEnd w:id="28"/>
      <w:bookmarkEnd w:id="29"/>
      <w:bookmarkEnd w:id="30"/>
    </w:p>
    <w:p w14:paraId="03EA08CA">
      <w:pPr>
        <w:spacing w:line="360" w:lineRule="auto"/>
        <w:ind w:firstLine="482" w:firstLineChars="200"/>
        <w:outlineLvl w:val="1"/>
        <w:rPr>
          <w:rFonts w:ascii="仿宋_GB2312" w:hAnsi="Times New Roman" w:eastAsia="仿宋_GB2312" w:cs="Times New Roman"/>
          <w:b/>
          <w:bCs/>
          <w:sz w:val="24"/>
        </w:rPr>
      </w:pPr>
      <w:bookmarkStart w:id="31" w:name="_Toc6531"/>
      <w:bookmarkStart w:id="32" w:name="_Toc27083"/>
      <w:bookmarkStart w:id="33" w:name="_Toc26702"/>
      <w:bookmarkStart w:id="34" w:name="_Toc568"/>
      <w:bookmarkStart w:id="35" w:name="_Toc205852118"/>
      <w:bookmarkStart w:id="36" w:name="_Toc184981297"/>
      <w:bookmarkStart w:id="37" w:name="_Toc184981056"/>
      <w:r>
        <w:rPr>
          <w:rFonts w:hint="eastAsia" w:ascii="仿宋_GB2312" w:hAnsi="Times New Roman" w:eastAsia="仿宋_GB2312" w:cs="Times New Roman"/>
          <w:b/>
          <w:bCs/>
          <w:sz w:val="24"/>
        </w:rPr>
        <w:t>（一）项目概况</w:t>
      </w:r>
      <w:bookmarkEnd w:id="31"/>
      <w:bookmarkEnd w:id="32"/>
      <w:bookmarkEnd w:id="33"/>
      <w:bookmarkEnd w:id="34"/>
      <w:bookmarkEnd w:id="35"/>
      <w:bookmarkEnd w:id="36"/>
      <w:bookmarkEnd w:id="37"/>
    </w:p>
    <w:p w14:paraId="445FE6C7">
      <w:pPr>
        <w:spacing w:line="360" w:lineRule="auto"/>
        <w:ind w:firstLine="480" w:firstLineChars="200"/>
        <w:rPr>
          <w:rFonts w:ascii="仿宋_GB2312" w:hAnsi="Times New Roman" w:eastAsia="仿宋_GB2312" w:cs="Times New Roman"/>
          <w:sz w:val="24"/>
        </w:rPr>
      </w:pPr>
      <w:bookmarkStart w:id="38" w:name="_Toc184981057"/>
      <w:r>
        <w:rPr>
          <w:rFonts w:hint="eastAsia" w:ascii="仿宋_GB2312" w:hAnsi="Times New Roman" w:eastAsia="仿宋_GB2312" w:cs="Times New Roman"/>
          <w:sz w:val="24"/>
        </w:rPr>
        <w:t>1.项目背景</w:t>
      </w:r>
      <w:bookmarkEnd w:id="38"/>
    </w:p>
    <w:p w14:paraId="65FD32F8">
      <w:pPr>
        <w:spacing w:line="360" w:lineRule="auto"/>
        <w:ind w:firstLine="480" w:firstLineChars="200"/>
        <w:rPr>
          <w:rFonts w:hint="default" w:ascii="仿宋_GB2312" w:hAnsi="Times New Roman" w:eastAsia="仿宋" w:cs="Times New Roman"/>
          <w:sz w:val="24"/>
          <w:lang w:val="en-US" w:eastAsia="zh-CN"/>
        </w:rPr>
      </w:pPr>
      <w:r>
        <w:rPr>
          <w:rFonts w:hint="eastAsia" w:ascii="仿宋_GB2312" w:hAnsi="Times New Roman" w:eastAsia="仿宋_GB2312" w:cs="Times New Roman"/>
          <w:sz w:val="24"/>
          <w:lang w:val="en-US" w:eastAsia="zh-CN"/>
        </w:rPr>
        <w:t>2023年12月，</w:t>
      </w:r>
      <w:r>
        <w:rPr>
          <w:rFonts w:hint="eastAsia" w:ascii="仿宋_GB2312" w:hAnsi="Times New Roman" w:eastAsia="仿宋_GB2312" w:cs="Times New Roman"/>
          <w:i w:val="0"/>
          <w:iCs w:val="0"/>
          <w:caps w:val="0"/>
          <w:spacing w:val="0"/>
          <w:sz w:val="24"/>
          <w:szCs w:val="24"/>
          <w:shd w:val="clear"/>
        </w:rPr>
        <w:t>为贯彻落实习近平总书记关于浙江“千万工程”经验的重要批示精神，加快建设宜居宜业和美乡村，中共福建省委扶贫开发成果巩固与乡村振兴工作领导小组印发《关于开展“千村示范引领、万村共富共美”工程 走具有福建特色乡村振兴之路的实施意见》</w:t>
      </w:r>
      <w:r>
        <w:rPr>
          <w:rFonts w:hint="eastAsia" w:ascii="仿宋_GB2312" w:hAnsi="Times New Roman" w:eastAsia="仿宋_GB2312" w:cs="Times New Roman"/>
          <w:i w:val="0"/>
          <w:iCs w:val="0"/>
          <w:caps w:val="0"/>
          <w:spacing w:val="0"/>
          <w:sz w:val="24"/>
          <w:szCs w:val="24"/>
          <w:shd w:val="clear"/>
          <w:lang w:eastAsia="zh-CN"/>
        </w:rPr>
        <w:t>（</w:t>
      </w:r>
      <w:r>
        <w:rPr>
          <w:rFonts w:hint="eastAsia" w:ascii="仿宋_GB2312" w:hAnsi="Times New Roman" w:eastAsia="仿宋_GB2312" w:cs="Times New Roman"/>
          <w:b w:val="0"/>
          <w:bCs w:val="0"/>
          <w:i w:val="0"/>
          <w:iCs w:val="0"/>
          <w:caps w:val="0"/>
          <w:spacing w:val="0"/>
          <w:sz w:val="24"/>
          <w:szCs w:val="24"/>
          <w:shd w:val="clear"/>
        </w:rPr>
        <w:t>闽委振兴组〔2023〕4号</w:t>
      </w:r>
      <w:r>
        <w:rPr>
          <w:rFonts w:hint="eastAsia" w:ascii="仿宋_GB2312" w:hAnsi="Times New Roman" w:eastAsia="仿宋_GB2312" w:cs="Times New Roman"/>
          <w:i w:val="0"/>
          <w:iCs w:val="0"/>
          <w:caps w:val="0"/>
          <w:spacing w:val="0"/>
          <w:sz w:val="24"/>
          <w:szCs w:val="24"/>
          <w:shd w:val="clear"/>
          <w:lang w:eastAsia="zh-CN"/>
        </w:rPr>
        <w:t>），</w:t>
      </w:r>
      <w:r>
        <w:rPr>
          <w:rFonts w:hint="eastAsia" w:ascii="仿宋_GB2312" w:hAnsi="Times New Roman" w:eastAsia="仿宋_GB2312" w:cs="Times New Roman"/>
          <w:i w:val="0"/>
          <w:iCs w:val="0"/>
          <w:caps w:val="0"/>
          <w:spacing w:val="0"/>
          <w:sz w:val="24"/>
          <w:szCs w:val="24"/>
          <w:shd w:val="clear"/>
          <w:lang w:val="en-US" w:eastAsia="zh-CN"/>
        </w:rPr>
        <w:t>目标是</w:t>
      </w:r>
      <w:r>
        <w:rPr>
          <w:rFonts w:hint="eastAsia" w:ascii="仿宋_GB2312" w:hAnsi="Times New Roman" w:eastAsia="仿宋_GB2312" w:cs="Times New Roman"/>
          <w:i w:val="0"/>
          <w:iCs w:val="0"/>
          <w:caps w:val="0"/>
          <w:spacing w:val="0"/>
          <w:sz w:val="24"/>
          <w:szCs w:val="24"/>
          <w:shd w:val="clear"/>
        </w:rPr>
        <w:t>到2027年全省新建成省级乡村振兴示范村1000个以上，带动全省1万多个村产业发展、乡村建设、乡村治理全面提升，农民农村共同富裕取得更为明显的实质性进展。</w:t>
      </w:r>
      <w:r>
        <w:rPr>
          <w:rFonts w:hint="eastAsia" w:ascii="仿宋_GB2312" w:hAnsi="Times New Roman" w:eastAsia="仿宋_GB2312" w:cs="Times New Roman"/>
          <w:sz w:val="24"/>
          <w:lang w:val="en-US" w:eastAsia="zh-CN"/>
        </w:rPr>
        <w:t>2023-2027年，省农业农村厅、省乡村振兴局每年公布40个省级乡村振兴示范乡镇创建对象，500个省级乡村振兴示范村创建对象。</w:t>
      </w:r>
      <w:r>
        <w:rPr>
          <w:rFonts w:hint="eastAsia" w:ascii="仿宋" w:hAnsi="仿宋" w:eastAsia="仿宋" w:cs="Times New Roman"/>
          <w:sz w:val="24"/>
        </w:rPr>
        <w:t>省级示范村创建资金</w:t>
      </w:r>
      <w:r>
        <w:rPr>
          <w:rFonts w:hint="eastAsia" w:ascii="仿宋" w:hAnsi="仿宋" w:eastAsia="仿宋" w:cs="Times New Roman"/>
          <w:sz w:val="24"/>
          <w:lang w:val="en-US" w:eastAsia="zh-CN"/>
        </w:rPr>
        <w:t>即用于</w:t>
      </w:r>
      <w:r>
        <w:rPr>
          <w:rFonts w:hint="eastAsia" w:ascii="仿宋_GB2312" w:hAnsi="Times New Roman" w:eastAsia="仿宋_GB2312" w:cs="Times New Roman"/>
          <w:sz w:val="24"/>
          <w:lang w:val="en-US" w:eastAsia="zh-CN"/>
        </w:rPr>
        <w:t>省级乡村振兴示范乡镇创建对象</w:t>
      </w:r>
      <w:r>
        <w:rPr>
          <w:rFonts w:hint="eastAsia" w:ascii="仿宋" w:hAnsi="仿宋" w:eastAsia="仿宋" w:cs="Times New Roman"/>
          <w:sz w:val="24"/>
          <w:lang w:val="en-US" w:eastAsia="zh-CN"/>
        </w:rPr>
        <w:t>和</w:t>
      </w:r>
      <w:r>
        <w:rPr>
          <w:rFonts w:hint="eastAsia" w:ascii="仿宋_GB2312" w:hAnsi="Times New Roman" w:eastAsia="仿宋_GB2312" w:cs="Times New Roman"/>
          <w:sz w:val="24"/>
          <w:lang w:val="en-US" w:eastAsia="zh-CN"/>
        </w:rPr>
        <w:t>省级乡村振兴示范村创建对象的专项资金。</w:t>
      </w:r>
    </w:p>
    <w:p w14:paraId="3D993FEB">
      <w:pPr>
        <w:spacing w:line="360" w:lineRule="auto"/>
        <w:ind w:firstLine="480" w:firstLineChars="200"/>
        <w:rPr>
          <w:rFonts w:ascii="仿宋_GB2312" w:hAnsi="Times New Roman" w:eastAsia="仿宋_GB2312" w:cs="Times New Roman"/>
          <w:sz w:val="24"/>
        </w:rPr>
      </w:pPr>
      <w:bookmarkStart w:id="39" w:name="_Toc184981058"/>
      <w:r>
        <w:rPr>
          <w:rFonts w:hint="eastAsia" w:ascii="仿宋_GB2312" w:hAnsi="Times New Roman" w:eastAsia="仿宋_GB2312" w:cs="Times New Roman"/>
          <w:sz w:val="24"/>
        </w:rPr>
        <w:t>2.主要内容及实施情况</w:t>
      </w:r>
      <w:bookmarkEnd w:id="39"/>
    </w:p>
    <w:p w14:paraId="3B35DC75">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en-US" w:eastAsia="zh-CN"/>
        </w:rPr>
        <w:t>根据</w:t>
      </w:r>
      <w:r>
        <w:rPr>
          <w:rFonts w:hint="eastAsia" w:ascii="仿宋_GB2312" w:hAnsi="Times New Roman" w:eastAsia="仿宋_GB2312" w:cs="Times New Roman"/>
          <w:sz w:val="24"/>
        </w:rPr>
        <w:t>《石狮市乡村振兴示范创建资金使用管理实施细则》的通知</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2024年福建省、泉州市、石狮市三级财政共同筹措示范创建资金，专门用于省级乡村振兴示范乡镇、示范村的创建工作。资金重点用于提升乡村产业发展水平、提升乡村建设水平、提升乡村治理水平</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其中安排产业项目的资金比例不低于40%。支出范围主要包括</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做强做优做大乡村特色产业</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促进农村一二三产融合发展</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发展壮大村集体经济</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改善提升人居环境</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保护修复农村生态环境</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推动乡村基础设施和公共服务提档升级</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传承开发乡村优秀传统文化</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完善乡村治理体系等。</w:t>
      </w:r>
    </w:p>
    <w:p w14:paraId="1C57564A">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en-US" w:eastAsia="zh-CN"/>
        </w:rPr>
        <w:t>石狮市2024年</w:t>
      </w:r>
      <w:r>
        <w:rPr>
          <w:rFonts w:hint="eastAsia" w:ascii="仿宋_GB2312" w:hAnsi="Times New Roman" w:eastAsia="仿宋_GB2312" w:cs="Times New Roman"/>
          <w:sz w:val="24"/>
        </w:rPr>
        <w:t>示范创建资金共分配至17个实施项目，包括16个省级乡村振兴示范村创建对象和1个省级乡村振兴示范乡镇创建对象</w:t>
      </w:r>
      <w:r>
        <w:rPr>
          <w:rFonts w:hint="eastAsia" w:ascii="仿宋_GB2312" w:hAnsi="Times New Roman" w:eastAsia="仿宋_GB2312" w:cs="Times New Roman"/>
          <w:sz w:val="24"/>
          <w:lang w:val="en-US" w:eastAsia="zh-CN"/>
        </w:rPr>
        <w:t>的</w:t>
      </w:r>
      <w:r>
        <w:rPr>
          <w:rFonts w:hint="eastAsia" w:ascii="仿宋_GB2312" w:hAnsi="Times New Roman" w:eastAsia="仿宋_GB2312" w:cs="Times New Roman"/>
          <w:sz w:val="24"/>
        </w:rPr>
        <w:t>实施项目，涉及产业发展、基础设施、公共服务等类型。</w:t>
      </w:r>
    </w:p>
    <w:p w14:paraId="5D9609EE">
      <w:pPr>
        <w:spacing w:line="360" w:lineRule="auto"/>
        <w:ind w:firstLine="480" w:firstLineChars="200"/>
        <w:rPr>
          <w:rFonts w:ascii="仿宋_GB2312" w:hAnsi="Times New Roman" w:eastAsia="仿宋_GB2312" w:cs="Times New Roman"/>
          <w:sz w:val="24"/>
        </w:rPr>
      </w:pPr>
      <w:bookmarkStart w:id="40" w:name="_Toc184981059"/>
      <w:r>
        <w:rPr>
          <w:rFonts w:hint="eastAsia" w:ascii="仿宋_GB2312" w:hAnsi="Times New Roman" w:eastAsia="仿宋_GB2312" w:cs="Times New Roman"/>
          <w:sz w:val="24"/>
        </w:rPr>
        <w:t>3.资金投入和使用情况</w:t>
      </w:r>
      <w:bookmarkEnd w:id="40"/>
    </w:p>
    <w:p w14:paraId="6007E060">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根据财政预算，石狮市2024年省级示范村创建专项资金的总预算为3100万元。其中，安排6个省级乡村振兴示范村创建对象2800万元，安排永宁镇省级乡村振兴示范乡镇创建对象300万元。实际下达资金3100万元，</w:t>
      </w:r>
      <w:r>
        <w:rPr>
          <w:rFonts w:hint="eastAsia" w:ascii="仿宋_GB2312" w:hAnsi="Times New Roman" w:eastAsia="仿宋_GB2312" w:cs="Times New Roman"/>
          <w:sz w:val="24"/>
          <w:lang w:val="en-US" w:eastAsia="zh-CN"/>
        </w:rPr>
        <w:t>当年度</w:t>
      </w:r>
      <w:r>
        <w:rPr>
          <w:rFonts w:hint="eastAsia" w:ascii="仿宋_GB2312" w:hAnsi="Times New Roman" w:eastAsia="仿宋_GB2312" w:cs="Times New Roman"/>
          <w:sz w:val="24"/>
        </w:rPr>
        <w:t>实际拨付1851.1万元，资金拨付率59.71%。2024年省级示范村创建专项资金使用情况详见表1：</w:t>
      </w:r>
    </w:p>
    <w:p w14:paraId="2937B8D0">
      <w:pPr>
        <w:pStyle w:val="7"/>
        <w:numPr>
          <w:ilvl w:val="0"/>
          <w:numId w:val="0"/>
        </w:numPr>
        <w:tabs>
          <w:tab w:val="clear" w:pos="2040"/>
        </w:tabs>
        <w:spacing w:line="360" w:lineRule="auto"/>
        <w:jc w:val="right"/>
        <w:rPr>
          <w:rFonts w:ascii="仿宋_GB2312" w:hAnsi="Times New Roman" w:eastAsia="仿宋_GB2312" w:cs="Times New Roman"/>
          <w:b/>
          <w:bCs/>
          <w:sz w:val="24"/>
          <w:lang w:val="zh-CN"/>
        </w:rPr>
      </w:pPr>
      <w:r>
        <w:rPr>
          <w:rFonts w:hint="eastAsia" w:ascii="仿宋_GB2312" w:hAnsi="Times New Roman" w:eastAsia="仿宋_GB2312" w:cs="Times New Roman"/>
          <w:b/>
          <w:bCs/>
          <w:sz w:val="24"/>
          <w:lang w:val="zh-CN"/>
        </w:rPr>
        <w:t>表1</w:t>
      </w:r>
      <w:r>
        <w:rPr>
          <w:rFonts w:hint="eastAsia" w:ascii="仿宋_GB2312" w:hAnsi="Times New Roman" w:eastAsia="仿宋_GB2312" w:cs="Times New Roman"/>
          <w:b/>
          <w:bCs/>
          <w:sz w:val="24"/>
        </w:rPr>
        <w:t xml:space="preserve">  </w:t>
      </w:r>
      <w:r>
        <w:rPr>
          <w:rFonts w:hint="eastAsia" w:ascii="仿宋_GB2312" w:hAnsi="Times New Roman" w:eastAsia="仿宋_GB2312" w:cs="Times New Roman"/>
          <w:b/>
          <w:bCs/>
          <w:sz w:val="24"/>
          <w:lang w:val="zh-CN"/>
        </w:rPr>
        <w:t>2024年省级示范</w:t>
      </w:r>
      <w:r>
        <w:rPr>
          <w:rFonts w:hint="eastAsia" w:ascii="仿宋_GB2312" w:hAnsi="Times New Roman" w:eastAsia="仿宋_GB2312" w:cs="Times New Roman"/>
          <w:b/>
          <w:bCs/>
          <w:sz w:val="24"/>
        </w:rPr>
        <w:t>村</w:t>
      </w:r>
      <w:r>
        <w:rPr>
          <w:rFonts w:hint="eastAsia" w:ascii="仿宋_GB2312" w:hAnsi="Times New Roman" w:eastAsia="仿宋_GB2312" w:cs="Times New Roman"/>
          <w:b/>
          <w:bCs/>
          <w:sz w:val="24"/>
          <w:lang w:val="zh-CN"/>
        </w:rPr>
        <w:t xml:space="preserve">创建专项资金使用情况表     单位：万元 </w:t>
      </w:r>
    </w:p>
    <w:tbl>
      <w:tblPr>
        <w:tblStyle w:val="13"/>
        <w:tblW w:w="8642" w:type="dxa"/>
        <w:tblInd w:w="113" w:type="dxa"/>
        <w:tblLayout w:type="fixed"/>
        <w:tblCellMar>
          <w:top w:w="0" w:type="dxa"/>
          <w:left w:w="108" w:type="dxa"/>
          <w:bottom w:w="0" w:type="dxa"/>
          <w:right w:w="108" w:type="dxa"/>
        </w:tblCellMar>
      </w:tblPr>
      <w:tblGrid>
        <w:gridCol w:w="457"/>
        <w:gridCol w:w="794"/>
        <w:gridCol w:w="870"/>
        <w:gridCol w:w="2560"/>
        <w:gridCol w:w="1020"/>
        <w:gridCol w:w="1030"/>
        <w:gridCol w:w="1040"/>
        <w:gridCol w:w="871"/>
      </w:tblGrid>
      <w:tr w14:paraId="61B45883">
        <w:tblPrEx>
          <w:tblCellMar>
            <w:top w:w="0" w:type="dxa"/>
            <w:left w:w="108" w:type="dxa"/>
            <w:bottom w:w="0" w:type="dxa"/>
            <w:right w:w="108" w:type="dxa"/>
          </w:tblCellMar>
        </w:tblPrEx>
        <w:trPr>
          <w:trHeight w:val="840" w:hRule="atLeast"/>
        </w:trPr>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59B9D9A7">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序号</w:t>
            </w:r>
          </w:p>
        </w:tc>
        <w:tc>
          <w:tcPr>
            <w:tcW w:w="794" w:type="dxa"/>
            <w:vMerge w:val="restart"/>
            <w:tcBorders>
              <w:top w:val="single" w:color="000000" w:sz="4" w:space="0"/>
              <w:left w:val="single" w:color="000000" w:sz="4" w:space="0"/>
              <w:bottom w:val="single" w:color="000000" w:sz="4" w:space="0"/>
              <w:right w:val="single" w:color="000000" w:sz="4" w:space="0"/>
            </w:tcBorders>
            <w:vAlign w:val="center"/>
          </w:tcPr>
          <w:p w14:paraId="49DFD08E">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镇</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14:paraId="2A50BF37">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村</w:t>
            </w:r>
          </w:p>
        </w:tc>
        <w:tc>
          <w:tcPr>
            <w:tcW w:w="2560" w:type="dxa"/>
            <w:vMerge w:val="restart"/>
            <w:tcBorders>
              <w:top w:val="single" w:color="000000" w:sz="4" w:space="0"/>
              <w:left w:val="single" w:color="000000" w:sz="4" w:space="0"/>
              <w:bottom w:val="single" w:color="000000" w:sz="4" w:space="0"/>
              <w:right w:val="single" w:color="000000" w:sz="4" w:space="0"/>
            </w:tcBorders>
            <w:vAlign w:val="center"/>
          </w:tcPr>
          <w:p w14:paraId="76C45C78">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项目名称</w:t>
            </w:r>
          </w:p>
        </w:tc>
        <w:tc>
          <w:tcPr>
            <w:tcW w:w="1020" w:type="dxa"/>
            <w:vMerge w:val="restart"/>
            <w:tcBorders>
              <w:top w:val="single" w:color="000000" w:sz="4" w:space="0"/>
              <w:left w:val="single" w:color="000000" w:sz="4" w:space="0"/>
              <w:bottom w:val="single" w:color="000000" w:sz="4" w:space="0"/>
              <w:right w:val="single" w:color="000000" w:sz="4" w:space="0"/>
            </w:tcBorders>
            <w:vAlign w:val="center"/>
          </w:tcPr>
          <w:p w14:paraId="661C7056">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计划投资额</w:t>
            </w:r>
          </w:p>
        </w:tc>
        <w:tc>
          <w:tcPr>
            <w:tcW w:w="1030" w:type="dxa"/>
            <w:vMerge w:val="restart"/>
            <w:tcBorders>
              <w:top w:val="single" w:color="000000" w:sz="4" w:space="0"/>
              <w:left w:val="single" w:color="000000" w:sz="4" w:space="0"/>
              <w:bottom w:val="single" w:color="000000" w:sz="4" w:space="0"/>
              <w:right w:val="single" w:color="000000" w:sz="4" w:space="0"/>
            </w:tcBorders>
            <w:vAlign w:val="center"/>
          </w:tcPr>
          <w:p w14:paraId="6C0E801C">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计划分配资金</w:t>
            </w:r>
          </w:p>
        </w:tc>
        <w:tc>
          <w:tcPr>
            <w:tcW w:w="1040" w:type="dxa"/>
            <w:vMerge w:val="restart"/>
            <w:tcBorders>
              <w:top w:val="single" w:color="000000" w:sz="4" w:space="0"/>
              <w:left w:val="single" w:color="000000" w:sz="4" w:space="0"/>
              <w:bottom w:val="single" w:color="000000" w:sz="4" w:space="0"/>
              <w:right w:val="single" w:color="000000" w:sz="4" w:space="0"/>
            </w:tcBorders>
            <w:vAlign w:val="center"/>
          </w:tcPr>
          <w:p w14:paraId="0355AF75">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完成投资额</w:t>
            </w:r>
          </w:p>
        </w:tc>
        <w:tc>
          <w:tcPr>
            <w:tcW w:w="871" w:type="dxa"/>
            <w:vMerge w:val="restart"/>
            <w:tcBorders>
              <w:top w:val="single" w:color="000000" w:sz="4" w:space="0"/>
              <w:left w:val="single" w:color="000000" w:sz="4" w:space="0"/>
              <w:bottom w:val="single" w:color="000000" w:sz="4" w:space="0"/>
              <w:right w:val="single" w:color="000000" w:sz="4" w:space="0"/>
            </w:tcBorders>
            <w:vAlign w:val="center"/>
          </w:tcPr>
          <w:p w14:paraId="0938C398">
            <w:pPr>
              <w:widowControl/>
              <w:jc w:val="center"/>
              <w:rPr>
                <w:rFonts w:hint="eastAsia" w:ascii="仿宋" w:hAnsi="仿宋" w:eastAsia="仿宋" w:cs="宋体"/>
                <w:b/>
                <w:bCs/>
                <w:color w:val="000000"/>
                <w:kern w:val="0"/>
                <w:sz w:val="21"/>
                <w:szCs w:val="21"/>
              </w:rPr>
            </w:pPr>
            <w:r>
              <w:rPr>
                <w:rFonts w:hint="eastAsia" w:ascii="仿宋" w:hAnsi="仿宋" w:eastAsia="仿宋" w:cs="宋体"/>
                <w:b/>
                <w:bCs/>
                <w:color w:val="000000"/>
                <w:kern w:val="0"/>
                <w:sz w:val="21"/>
                <w:szCs w:val="21"/>
              </w:rPr>
              <w:t>已拨付资金</w:t>
            </w:r>
          </w:p>
        </w:tc>
      </w:tr>
      <w:tr w14:paraId="2A354698">
        <w:tblPrEx>
          <w:tblCellMar>
            <w:top w:w="0" w:type="dxa"/>
            <w:left w:w="108" w:type="dxa"/>
            <w:bottom w:w="0" w:type="dxa"/>
            <w:right w:w="108" w:type="dxa"/>
          </w:tblCellMar>
        </w:tblPrEx>
        <w:trPr>
          <w:trHeight w:val="420" w:hRule="atLeast"/>
        </w:trPr>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5EB47F91">
            <w:pPr>
              <w:widowControl/>
              <w:jc w:val="left"/>
              <w:rPr>
                <w:rFonts w:hint="eastAsia" w:ascii="仿宋" w:hAnsi="仿宋" w:eastAsia="仿宋" w:cs="宋体"/>
                <w:b/>
                <w:bCs/>
                <w:color w:val="000000"/>
                <w:kern w:val="0"/>
                <w:sz w:val="21"/>
                <w:szCs w:val="21"/>
              </w:rPr>
            </w:pP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4D8EBFAE">
            <w:pPr>
              <w:widowControl/>
              <w:jc w:val="left"/>
              <w:rPr>
                <w:rFonts w:hint="eastAsia" w:ascii="仿宋" w:hAnsi="仿宋" w:eastAsia="仿宋" w:cs="宋体"/>
                <w:b/>
                <w:bCs/>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785C6686">
            <w:pPr>
              <w:widowControl/>
              <w:jc w:val="left"/>
              <w:rPr>
                <w:rFonts w:hint="eastAsia" w:ascii="仿宋" w:hAnsi="仿宋" w:eastAsia="仿宋" w:cs="宋体"/>
                <w:b/>
                <w:bCs/>
                <w:color w:val="000000"/>
                <w:kern w:val="0"/>
                <w:sz w:val="21"/>
                <w:szCs w:val="21"/>
              </w:rPr>
            </w:pPr>
          </w:p>
        </w:tc>
        <w:tc>
          <w:tcPr>
            <w:tcW w:w="2560" w:type="dxa"/>
            <w:vMerge w:val="continue"/>
            <w:tcBorders>
              <w:top w:val="single" w:color="000000" w:sz="4" w:space="0"/>
              <w:left w:val="single" w:color="000000" w:sz="4" w:space="0"/>
              <w:bottom w:val="single" w:color="000000" w:sz="4" w:space="0"/>
              <w:right w:val="single" w:color="000000" w:sz="4" w:space="0"/>
            </w:tcBorders>
            <w:vAlign w:val="center"/>
          </w:tcPr>
          <w:p w14:paraId="0BD62D9A">
            <w:pPr>
              <w:widowControl/>
              <w:jc w:val="left"/>
              <w:rPr>
                <w:rFonts w:hint="eastAsia" w:ascii="仿宋" w:hAnsi="仿宋" w:eastAsia="仿宋" w:cs="宋体"/>
                <w:b/>
                <w:bCs/>
                <w:color w:val="000000"/>
                <w:kern w:val="0"/>
                <w:sz w:val="21"/>
                <w:szCs w:val="21"/>
              </w:rPr>
            </w:pPr>
          </w:p>
        </w:tc>
        <w:tc>
          <w:tcPr>
            <w:tcW w:w="1020" w:type="dxa"/>
            <w:vMerge w:val="continue"/>
            <w:tcBorders>
              <w:top w:val="single" w:color="000000" w:sz="4" w:space="0"/>
              <w:left w:val="single" w:color="000000" w:sz="4" w:space="0"/>
              <w:bottom w:val="single" w:color="000000" w:sz="4" w:space="0"/>
              <w:right w:val="single" w:color="000000" w:sz="4" w:space="0"/>
            </w:tcBorders>
            <w:vAlign w:val="center"/>
          </w:tcPr>
          <w:p w14:paraId="32A0176E">
            <w:pPr>
              <w:widowControl/>
              <w:jc w:val="left"/>
              <w:rPr>
                <w:rFonts w:hint="eastAsia" w:ascii="仿宋" w:hAnsi="仿宋" w:eastAsia="仿宋" w:cs="宋体"/>
                <w:b/>
                <w:bCs/>
                <w:color w:val="000000"/>
                <w:kern w:val="0"/>
                <w:sz w:val="21"/>
                <w:szCs w:val="21"/>
              </w:rPr>
            </w:pPr>
          </w:p>
        </w:tc>
        <w:tc>
          <w:tcPr>
            <w:tcW w:w="1030" w:type="dxa"/>
            <w:vMerge w:val="continue"/>
            <w:tcBorders>
              <w:top w:val="single" w:color="000000" w:sz="4" w:space="0"/>
              <w:left w:val="single" w:color="000000" w:sz="4" w:space="0"/>
              <w:bottom w:val="single" w:color="000000" w:sz="4" w:space="0"/>
              <w:right w:val="single" w:color="000000" w:sz="4" w:space="0"/>
            </w:tcBorders>
            <w:vAlign w:val="center"/>
          </w:tcPr>
          <w:p w14:paraId="42AFB06D">
            <w:pPr>
              <w:widowControl/>
              <w:jc w:val="left"/>
              <w:rPr>
                <w:rFonts w:hint="eastAsia" w:ascii="仿宋" w:hAnsi="仿宋" w:eastAsia="仿宋" w:cs="宋体"/>
                <w:b/>
                <w:bCs/>
                <w:color w:val="000000"/>
                <w:kern w:val="0"/>
                <w:sz w:val="21"/>
                <w:szCs w:val="21"/>
              </w:rPr>
            </w:pPr>
          </w:p>
        </w:tc>
        <w:tc>
          <w:tcPr>
            <w:tcW w:w="1040" w:type="dxa"/>
            <w:vMerge w:val="continue"/>
            <w:tcBorders>
              <w:top w:val="single" w:color="000000" w:sz="4" w:space="0"/>
              <w:left w:val="single" w:color="000000" w:sz="4" w:space="0"/>
              <w:bottom w:val="single" w:color="000000" w:sz="4" w:space="0"/>
              <w:right w:val="single" w:color="000000" w:sz="4" w:space="0"/>
            </w:tcBorders>
            <w:vAlign w:val="center"/>
          </w:tcPr>
          <w:p w14:paraId="69101ACA">
            <w:pPr>
              <w:widowControl/>
              <w:jc w:val="left"/>
              <w:rPr>
                <w:rFonts w:hint="eastAsia" w:ascii="仿宋" w:hAnsi="仿宋" w:eastAsia="仿宋" w:cs="宋体"/>
                <w:b/>
                <w:bCs/>
                <w:color w:val="000000"/>
                <w:kern w:val="0"/>
                <w:sz w:val="21"/>
                <w:szCs w:val="21"/>
              </w:rPr>
            </w:pPr>
          </w:p>
        </w:tc>
        <w:tc>
          <w:tcPr>
            <w:tcW w:w="871" w:type="dxa"/>
            <w:vMerge w:val="continue"/>
            <w:tcBorders>
              <w:top w:val="single" w:color="000000" w:sz="4" w:space="0"/>
              <w:left w:val="single" w:color="000000" w:sz="4" w:space="0"/>
              <w:bottom w:val="single" w:color="000000" w:sz="4" w:space="0"/>
              <w:right w:val="single" w:color="000000" w:sz="4" w:space="0"/>
            </w:tcBorders>
            <w:vAlign w:val="center"/>
          </w:tcPr>
          <w:p w14:paraId="29E0A561">
            <w:pPr>
              <w:widowControl/>
              <w:jc w:val="left"/>
              <w:rPr>
                <w:rFonts w:hint="eastAsia" w:ascii="仿宋" w:hAnsi="仿宋" w:eastAsia="仿宋" w:cs="宋体"/>
                <w:b/>
                <w:bCs/>
                <w:color w:val="000000"/>
                <w:kern w:val="0"/>
                <w:sz w:val="21"/>
                <w:szCs w:val="21"/>
              </w:rPr>
            </w:pPr>
          </w:p>
        </w:tc>
      </w:tr>
      <w:tr w14:paraId="4BAAE6C2">
        <w:tblPrEx>
          <w:tblCellMar>
            <w:top w:w="0" w:type="dxa"/>
            <w:left w:w="108" w:type="dxa"/>
            <w:bottom w:w="0" w:type="dxa"/>
            <w:right w:w="108" w:type="dxa"/>
          </w:tblCellMar>
        </w:tblPrEx>
        <w:trPr>
          <w:trHeight w:val="1546"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8E1EC3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w:t>
            </w:r>
          </w:p>
        </w:tc>
        <w:tc>
          <w:tcPr>
            <w:tcW w:w="794" w:type="dxa"/>
            <w:vMerge w:val="restart"/>
            <w:tcBorders>
              <w:top w:val="single" w:color="000000" w:sz="4" w:space="0"/>
              <w:left w:val="single" w:color="000000" w:sz="4" w:space="0"/>
              <w:bottom w:val="nil"/>
              <w:right w:val="single" w:color="000000" w:sz="4" w:space="0"/>
            </w:tcBorders>
            <w:vAlign w:val="center"/>
          </w:tcPr>
          <w:p w14:paraId="6E2FE041">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蚶江镇</w:t>
            </w:r>
          </w:p>
        </w:tc>
        <w:tc>
          <w:tcPr>
            <w:tcW w:w="870" w:type="dxa"/>
            <w:vMerge w:val="restart"/>
            <w:tcBorders>
              <w:top w:val="single" w:color="000000" w:sz="4" w:space="0"/>
              <w:left w:val="single" w:color="000000" w:sz="4" w:space="0"/>
              <w:bottom w:val="nil"/>
              <w:right w:val="single" w:color="000000" w:sz="4" w:space="0"/>
            </w:tcBorders>
            <w:vAlign w:val="center"/>
          </w:tcPr>
          <w:p w14:paraId="3DBB1B7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厝仔村</w:t>
            </w:r>
          </w:p>
        </w:tc>
        <w:tc>
          <w:tcPr>
            <w:tcW w:w="2560" w:type="dxa"/>
            <w:tcBorders>
              <w:top w:val="single" w:color="000000" w:sz="4" w:space="0"/>
              <w:left w:val="single" w:color="000000" w:sz="4" w:space="0"/>
              <w:bottom w:val="single" w:color="000000" w:sz="4" w:space="0"/>
              <w:right w:val="single" w:color="000000" w:sz="4" w:space="0"/>
            </w:tcBorders>
            <w:vAlign w:val="center"/>
          </w:tcPr>
          <w:p w14:paraId="4E1A909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厝仔村乡村振兴产品展播馆楼层及村委会楼层两侧光伏发电工程</w:t>
            </w:r>
          </w:p>
        </w:tc>
        <w:tc>
          <w:tcPr>
            <w:tcW w:w="1020" w:type="dxa"/>
            <w:tcBorders>
              <w:top w:val="single" w:color="000000" w:sz="4" w:space="0"/>
              <w:left w:val="single" w:color="000000" w:sz="4" w:space="0"/>
              <w:bottom w:val="single" w:color="000000" w:sz="4" w:space="0"/>
              <w:right w:val="single" w:color="000000" w:sz="4" w:space="0"/>
            </w:tcBorders>
            <w:vAlign w:val="center"/>
          </w:tcPr>
          <w:p w14:paraId="6C2A705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28</w:t>
            </w:r>
          </w:p>
        </w:tc>
        <w:tc>
          <w:tcPr>
            <w:tcW w:w="1030" w:type="dxa"/>
            <w:tcBorders>
              <w:top w:val="single" w:color="000000" w:sz="4" w:space="0"/>
              <w:left w:val="single" w:color="000000" w:sz="4" w:space="0"/>
              <w:bottom w:val="single" w:color="000000" w:sz="4" w:space="0"/>
              <w:right w:val="single" w:color="000000" w:sz="4" w:space="0"/>
            </w:tcBorders>
            <w:vAlign w:val="center"/>
          </w:tcPr>
          <w:p w14:paraId="3325626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20</w:t>
            </w:r>
          </w:p>
        </w:tc>
        <w:tc>
          <w:tcPr>
            <w:tcW w:w="1040" w:type="dxa"/>
            <w:tcBorders>
              <w:top w:val="single" w:color="000000" w:sz="4" w:space="0"/>
              <w:left w:val="single" w:color="000000" w:sz="4" w:space="0"/>
              <w:bottom w:val="single" w:color="000000" w:sz="4" w:space="0"/>
              <w:right w:val="single" w:color="000000" w:sz="4" w:space="0"/>
            </w:tcBorders>
            <w:vAlign w:val="center"/>
          </w:tcPr>
          <w:p w14:paraId="3C3CA8F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25.07</w:t>
            </w:r>
          </w:p>
        </w:tc>
        <w:tc>
          <w:tcPr>
            <w:tcW w:w="871" w:type="dxa"/>
            <w:tcBorders>
              <w:top w:val="single" w:color="000000" w:sz="4" w:space="0"/>
              <w:left w:val="single" w:color="000000" w:sz="4" w:space="0"/>
              <w:bottom w:val="single" w:color="000000" w:sz="4" w:space="0"/>
              <w:right w:val="single" w:color="000000" w:sz="4" w:space="0"/>
            </w:tcBorders>
            <w:vAlign w:val="center"/>
          </w:tcPr>
          <w:p w14:paraId="7E2AD14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w:t>
            </w:r>
          </w:p>
        </w:tc>
      </w:tr>
      <w:tr w14:paraId="1D44C5C6">
        <w:tblPrEx>
          <w:tblCellMar>
            <w:top w:w="0" w:type="dxa"/>
            <w:left w:w="108" w:type="dxa"/>
            <w:bottom w:w="0" w:type="dxa"/>
            <w:right w:w="108" w:type="dxa"/>
          </w:tblCellMar>
        </w:tblPrEx>
        <w:trPr>
          <w:trHeight w:val="988" w:hRule="atLeast"/>
        </w:trPr>
        <w:tc>
          <w:tcPr>
            <w:tcW w:w="457" w:type="dxa"/>
            <w:tcBorders>
              <w:top w:val="single" w:color="000000" w:sz="4" w:space="0"/>
              <w:left w:val="single" w:color="000000" w:sz="4" w:space="0"/>
              <w:bottom w:val="nil"/>
              <w:right w:val="single" w:color="000000" w:sz="4" w:space="0"/>
            </w:tcBorders>
            <w:vAlign w:val="center"/>
          </w:tcPr>
          <w:p w14:paraId="76637E3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w:t>
            </w:r>
          </w:p>
        </w:tc>
        <w:tc>
          <w:tcPr>
            <w:tcW w:w="794" w:type="dxa"/>
            <w:vMerge w:val="continue"/>
            <w:tcBorders>
              <w:top w:val="single" w:color="000000" w:sz="4" w:space="0"/>
              <w:left w:val="single" w:color="000000" w:sz="4" w:space="0"/>
              <w:bottom w:val="nil"/>
              <w:right w:val="single" w:color="000000" w:sz="4" w:space="0"/>
            </w:tcBorders>
            <w:vAlign w:val="center"/>
          </w:tcPr>
          <w:p w14:paraId="61EDC05F">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nil"/>
              <w:right w:val="single" w:color="000000" w:sz="4" w:space="0"/>
            </w:tcBorders>
            <w:vAlign w:val="center"/>
          </w:tcPr>
          <w:p w14:paraId="78F9E5EF">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nil"/>
              <w:right w:val="single" w:color="000000" w:sz="4" w:space="0"/>
            </w:tcBorders>
            <w:vAlign w:val="center"/>
          </w:tcPr>
          <w:p w14:paraId="25F6F17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厝仔村乡村振兴产品展播馆装修工程</w:t>
            </w:r>
          </w:p>
        </w:tc>
        <w:tc>
          <w:tcPr>
            <w:tcW w:w="1020" w:type="dxa"/>
            <w:tcBorders>
              <w:top w:val="single" w:color="000000" w:sz="4" w:space="0"/>
              <w:left w:val="single" w:color="000000" w:sz="4" w:space="0"/>
              <w:bottom w:val="nil"/>
              <w:right w:val="single" w:color="000000" w:sz="4" w:space="0"/>
            </w:tcBorders>
            <w:vAlign w:val="center"/>
          </w:tcPr>
          <w:p w14:paraId="0D9A54F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152</w:t>
            </w:r>
          </w:p>
        </w:tc>
        <w:tc>
          <w:tcPr>
            <w:tcW w:w="1030" w:type="dxa"/>
            <w:tcBorders>
              <w:top w:val="single" w:color="000000" w:sz="4" w:space="0"/>
              <w:left w:val="single" w:color="000000" w:sz="4" w:space="0"/>
              <w:bottom w:val="nil"/>
              <w:right w:val="single" w:color="000000" w:sz="4" w:space="0"/>
            </w:tcBorders>
            <w:vAlign w:val="center"/>
          </w:tcPr>
          <w:p w14:paraId="74B9A54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130</w:t>
            </w:r>
          </w:p>
        </w:tc>
        <w:tc>
          <w:tcPr>
            <w:tcW w:w="1040" w:type="dxa"/>
            <w:tcBorders>
              <w:top w:val="single" w:color="000000" w:sz="4" w:space="0"/>
              <w:left w:val="single" w:color="000000" w:sz="4" w:space="0"/>
              <w:bottom w:val="nil"/>
              <w:right w:val="single" w:color="000000" w:sz="4" w:space="0"/>
            </w:tcBorders>
            <w:vAlign w:val="center"/>
          </w:tcPr>
          <w:p w14:paraId="110654B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152</w:t>
            </w:r>
          </w:p>
        </w:tc>
        <w:tc>
          <w:tcPr>
            <w:tcW w:w="871" w:type="dxa"/>
            <w:tcBorders>
              <w:top w:val="single" w:color="000000" w:sz="4" w:space="0"/>
              <w:left w:val="single" w:color="000000" w:sz="4" w:space="0"/>
              <w:bottom w:val="nil"/>
              <w:right w:val="single" w:color="000000" w:sz="4" w:space="0"/>
            </w:tcBorders>
            <w:vAlign w:val="center"/>
          </w:tcPr>
          <w:p w14:paraId="3AEC7B59">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90</w:t>
            </w:r>
          </w:p>
        </w:tc>
      </w:tr>
      <w:tr w14:paraId="13E0AF4E">
        <w:tblPrEx>
          <w:tblCellMar>
            <w:top w:w="0" w:type="dxa"/>
            <w:left w:w="108" w:type="dxa"/>
            <w:bottom w:w="0" w:type="dxa"/>
            <w:right w:w="108" w:type="dxa"/>
          </w:tblCellMar>
        </w:tblPrEx>
        <w:trPr>
          <w:trHeight w:val="723" w:hRule="atLeast"/>
        </w:trPr>
        <w:tc>
          <w:tcPr>
            <w:tcW w:w="457" w:type="dxa"/>
            <w:tcBorders>
              <w:top w:val="single" w:color="000000" w:sz="4" w:space="0"/>
              <w:left w:val="single" w:color="000000" w:sz="4" w:space="0"/>
              <w:bottom w:val="nil"/>
              <w:right w:val="single" w:color="000000" w:sz="4" w:space="0"/>
            </w:tcBorders>
            <w:vAlign w:val="center"/>
          </w:tcPr>
          <w:p w14:paraId="7263F87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w:t>
            </w:r>
          </w:p>
        </w:tc>
        <w:tc>
          <w:tcPr>
            <w:tcW w:w="794" w:type="dxa"/>
            <w:vMerge w:val="restart"/>
            <w:tcBorders>
              <w:top w:val="single" w:color="000000" w:sz="4" w:space="0"/>
              <w:left w:val="single" w:color="000000" w:sz="4" w:space="0"/>
              <w:bottom w:val="single" w:color="000000" w:sz="4" w:space="0"/>
              <w:right w:val="single" w:color="000000" w:sz="4" w:space="0"/>
            </w:tcBorders>
            <w:vAlign w:val="center"/>
          </w:tcPr>
          <w:p w14:paraId="0041097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永宁镇</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14:paraId="5A15C2D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郭坑村</w:t>
            </w:r>
          </w:p>
        </w:tc>
        <w:tc>
          <w:tcPr>
            <w:tcW w:w="2560" w:type="dxa"/>
            <w:tcBorders>
              <w:top w:val="single" w:color="000000" w:sz="4" w:space="0"/>
              <w:left w:val="single" w:color="000000" w:sz="4" w:space="0"/>
              <w:bottom w:val="nil"/>
              <w:right w:val="single" w:color="000000" w:sz="4" w:space="0"/>
            </w:tcBorders>
            <w:vAlign w:val="center"/>
          </w:tcPr>
          <w:p w14:paraId="0FE1C34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郭坑村光伏发电建设第三期项目</w:t>
            </w:r>
          </w:p>
        </w:tc>
        <w:tc>
          <w:tcPr>
            <w:tcW w:w="1020" w:type="dxa"/>
            <w:tcBorders>
              <w:top w:val="single" w:color="000000" w:sz="4" w:space="0"/>
              <w:left w:val="single" w:color="000000" w:sz="4" w:space="0"/>
              <w:bottom w:val="nil"/>
              <w:right w:val="single" w:color="000000" w:sz="4" w:space="0"/>
            </w:tcBorders>
            <w:vAlign w:val="center"/>
          </w:tcPr>
          <w:p w14:paraId="630D299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120</w:t>
            </w:r>
          </w:p>
        </w:tc>
        <w:tc>
          <w:tcPr>
            <w:tcW w:w="1030" w:type="dxa"/>
            <w:tcBorders>
              <w:top w:val="single" w:color="000000" w:sz="4" w:space="0"/>
              <w:left w:val="single" w:color="000000" w:sz="4" w:space="0"/>
              <w:bottom w:val="nil"/>
              <w:right w:val="single" w:color="000000" w:sz="4" w:space="0"/>
            </w:tcBorders>
            <w:vAlign w:val="center"/>
          </w:tcPr>
          <w:p w14:paraId="0B02A6C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108</w:t>
            </w:r>
          </w:p>
        </w:tc>
        <w:tc>
          <w:tcPr>
            <w:tcW w:w="1040" w:type="dxa"/>
            <w:tcBorders>
              <w:top w:val="single" w:color="000000" w:sz="4" w:space="0"/>
              <w:left w:val="single" w:color="000000" w:sz="4" w:space="0"/>
              <w:bottom w:val="nil"/>
              <w:right w:val="single" w:color="000000" w:sz="4" w:space="0"/>
            </w:tcBorders>
            <w:vAlign w:val="center"/>
          </w:tcPr>
          <w:p w14:paraId="7FC42CD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119.33</w:t>
            </w:r>
          </w:p>
        </w:tc>
        <w:tc>
          <w:tcPr>
            <w:tcW w:w="871" w:type="dxa"/>
            <w:tcBorders>
              <w:top w:val="single" w:color="000000" w:sz="4" w:space="0"/>
              <w:left w:val="single" w:color="000000" w:sz="4" w:space="0"/>
              <w:bottom w:val="nil"/>
              <w:right w:val="single" w:color="000000" w:sz="4" w:space="0"/>
            </w:tcBorders>
            <w:vAlign w:val="center"/>
          </w:tcPr>
          <w:p w14:paraId="23F89E61">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107.3</w:t>
            </w:r>
          </w:p>
        </w:tc>
      </w:tr>
      <w:tr w14:paraId="185E404F">
        <w:tblPrEx>
          <w:tblCellMar>
            <w:top w:w="0" w:type="dxa"/>
            <w:left w:w="108" w:type="dxa"/>
            <w:bottom w:w="0" w:type="dxa"/>
            <w:right w:w="108" w:type="dxa"/>
          </w:tblCellMar>
        </w:tblPrEx>
        <w:trPr>
          <w:trHeight w:val="721"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2DB2026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2113E731">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1399033E">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vAlign w:val="center"/>
          </w:tcPr>
          <w:p w14:paraId="701E1D1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郭坑村入村大道修建工程</w:t>
            </w:r>
          </w:p>
        </w:tc>
        <w:tc>
          <w:tcPr>
            <w:tcW w:w="1020" w:type="dxa"/>
            <w:tcBorders>
              <w:top w:val="single" w:color="000000" w:sz="4" w:space="0"/>
              <w:left w:val="single" w:color="000000" w:sz="4" w:space="0"/>
              <w:bottom w:val="single" w:color="000000" w:sz="4" w:space="0"/>
              <w:right w:val="single" w:color="000000" w:sz="4" w:space="0"/>
            </w:tcBorders>
            <w:vAlign w:val="center"/>
          </w:tcPr>
          <w:p w14:paraId="4E4EE4B4">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60</w:t>
            </w:r>
          </w:p>
        </w:tc>
        <w:tc>
          <w:tcPr>
            <w:tcW w:w="1030" w:type="dxa"/>
            <w:tcBorders>
              <w:top w:val="single" w:color="000000" w:sz="4" w:space="0"/>
              <w:left w:val="single" w:color="000000" w:sz="4" w:space="0"/>
              <w:bottom w:val="single" w:color="000000" w:sz="4" w:space="0"/>
              <w:right w:val="single" w:color="000000" w:sz="4" w:space="0"/>
            </w:tcBorders>
            <w:vAlign w:val="center"/>
          </w:tcPr>
          <w:p w14:paraId="43A8B63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42</w:t>
            </w:r>
          </w:p>
        </w:tc>
        <w:tc>
          <w:tcPr>
            <w:tcW w:w="1040" w:type="dxa"/>
            <w:tcBorders>
              <w:top w:val="single" w:color="000000" w:sz="4" w:space="0"/>
              <w:left w:val="single" w:color="000000" w:sz="4" w:space="0"/>
              <w:bottom w:val="single" w:color="000000" w:sz="4" w:space="0"/>
              <w:right w:val="single" w:color="000000" w:sz="4" w:space="0"/>
            </w:tcBorders>
            <w:vAlign w:val="center"/>
          </w:tcPr>
          <w:p w14:paraId="3A633A3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69.01</w:t>
            </w:r>
          </w:p>
        </w:tc>
        <w:tc>
          <w:tcPr>
            <w:tcW w:w="871" w:type="dxa"/>
            <w:tcBorders>
              <w:top w:val="single" w:color="000000" w:sz="4" w:space="0"/>
              <w:left w:val="single" w:color="000000" w:sz="4" w:space="0"/>
              <w:bottom w:val="single" w:color="000000" w:sz="4" w:space="0"/>
              <w:right w:val="single" w:color="000000" w:sz="4" w:space="0"/>
            </w:tcBorders>
            <w:vAlign w:val="center"/>
          </w:tcPr>
          <w:p w14:paraId="0BBE235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42</w:t>
            </w:r>
          </w:p>
        </w:tc>
      </w:tr>
      <w:tr w14:paraId="0EB10EBC">
        <w:tblPrEx>
          <w:tblCellMar>
            <w:top w:w="0" w:type="dxa"/>
            <w:left w:w="108" w:type="dxa"/>
            <w:bottom w:w="0" w:type="dxa"/>
            <w:right w:w="108" w:type="dxa"/>
          </w:tblCellMar>
        </w:tblPrEx>
        <w:trPr>
          <w:trHeight w:val="719"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72D5D4A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w:t>
            </w:r>
          </w:p>
        </w:tc>
        <w:tc>
          <w:tcPr>
            <w:tcW w:w="794" w:type="dxa"/>
            <w:vMerge w:val="restart"/>
            <w:tcBorders>
              <w:top w:val="nil"/>
              <w:left w:val="single" w:color="000000" w:sz="4" w:space="0"/>
              <w:bottom w:val="single" w:color="000000" w:sz="4" w:space="0"/>
              <w:right w:val="single" w:color="000000" w:sz="4" w:space="0"/>
            </w:tcBorders>
            <w:vAlign w:val="center"/>
          </w:tcPr>
          <w:p w14:paraId="104C5FE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永宁镇</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14:paraId="5D086C0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西偏村</w:t>
            </w:r>
          </w:p>
        </w:tc>
        <w:tc>
          <w:tcPr>
            <w:tcW w:w="2560" w:type="dxa"/>
            <w:tcBorders>
              <w:top w:val="single" w:color="000000" w:sz="4" w:space="0"/>
              <w:left w:val="single" w:color="000000" w:sz="4" w:space="0"/>
              <w:bottom w:val="single" w:color="000000" w:sz="4" w:space="0"/>
              <w:right w:val="single" w:color="000000" w:sz="4" w:space="0"/>
            </w:tcBorders>
            <w:vAlign w:val="center"/>
          </w:tcPr>
          <w:p w14:paraId="2725F29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西偏村体育文创园工程（二期）</w:t>
            </w:r>
          </w:p>
        </w:tc>
        <w:tc>
          <w:tcPr>
            <w:tcW w:w="1020" w:type="dxa"/>
            <w:tcBorders>
              <w:top w:val="single" w:color="000000" w:sz="4" w:space="0"/>
              <w:left w:val="single" w:color="000000" w:sz="4" w:space="0"/>
              <w:bottom w:val="single" w:color="000000" w:sz="4" w:space="0"/>
              <w:right w:val="single" w:color="000000" w:sz="4" w:space="0"/>
            </w:tcBorders>
            <w:vAlign w:val="center"/>
          </w:tcPr>
          <w:p w14:paraId="75D913E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2000</w:t>
            </w:r>
          </w:p>
        </w:tc>
        <w:tc>
          <w:tcPr>
            <w:tcW w:w="1030" w:type="dxa"/>
            <w:tcBorders>
              <w:top w:val="single" w:color="000000" w:sz="4" w:space="0"/>
              <w:left w:val="single" w:color="000000" w:sz="4" w:space="0"/>
              <w:bottom w:val="single" w:color="000000" w:sz="4" w:space="0"/>
              <w:right w:val="single" w:color="000000" w:sz="4" w:space="0"/>
            </w:tcBorders>
            <w:vAlign w:val="center"/>
          </w:tcPr>
          <w:p w14:paraId="23DC63F9">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760</w:t>
            </w:r>
          </w:p>
        </w:tc>
        <w:tc>
          <w:tcPr>
            <w:tcW w:w="1040" w:type="dxa"/>
            <w:tcBorders>
              <w:top w:val="single" w:color="000000" w:sz="4" w:space="0"/>
              <w:left w:val="single" w:color="000000" w:sz="4" w:space="0"/>
              <w:bottom w:val="single" w:color="000000" w:sz="4" w:space="0"/>
              <w:right w:val="single" w:color="000000" w:sz="4" w:space="0"/>
            </w:tcBorders>
            <w:vAlign w:val="center"/>
          </w:tcPr>
          <w:p w14:paraId="58F41B0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2328.18</w:t>
            </w:r>
          </w:p>
        </w:tc>
        <w:tc>
          <w:tcPr>
            <w:tcW w:w="871" w:type="dxa"/>
            <w:tcBorders>
              <w:top w:val="single" w:color="000000" w:sz="4" w:space="0"/>
              <w:left w:val="single" w:color="000000" w:sz="4" w:space="0"/>
              <w:bottom w:val="single" w:color="000000" w:sz="4" w:space="0"/>
              <w:right w:val="single" w:color="000000" w:sz="4" w:space="0"/>
            </w:tcBorders>
            <w:vAlign w:val="center"/>
          </w:tcPr>
          <w:p w14:paraId="27BCBD2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760</w:t>
            </w:r>
          </w:p>
        </w:tc>
      </w:tr>
      <w:tr w14:paraId="2D4BD8B0">
        <w:tblPrEx>
          <w:tblCellMar>
            <w:top w:w="0" w:type="dxa"/>
            <w:left w:w="108" w:type="dxa"/>
            <w:bottom w:w="0" w:type="dxa"/>
            <w:right w:w="108" w:type="dxa"/>
          </w:tblCellMar>
        </w:tblPrEx>
        <w:trPr>
          <w:trHeight w:val="575"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398EF10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6</w:t>
            </w:r>
          </w:p>
        </w:tc>
        <w:tc>
          <w:tcPr>
            <w:tcW w:w="794" w:type="dxa"/>
            <w:vMerge w:val="continue"/>
            <w:tcBorders>
              <w:top w:val="nil"/>
              <w:left w:val="single" w:color="000000" w:sz="4" w:space="0"/>
              <w:bottom w:val="single" w:color="000000" w:sz="4" w:space="0"/>
              <w:right w:val="single" w:color="000000" w:sz="4" w:space="0"/>
            </w:tcBorders>
            <w:vAlign w:val="center"/>
          </w:tcPr>
          <w:p w14:paraId="3BC266C0">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2BECA439">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vAlign w:val="center"/>
          </w:tcPr>
          <w:p w14:paraId="3064FBB2">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万里碧道建设项目</w:t>
            </w:r>
          </w:p>
        </w:tc>
        <w:tc>
          <w:tcPr>
            <w:tcW w:w="1020" w:type="dxa"/>
            <w:tcBorders>
              <w:top w:val="single" w:color="000000" w:sz="4" w:space="0"/>
              <w:left w:val="single" w:color="000000" w:sz="4" w:space="0"/>
              <w:bottom w:val="single" w:color="000000" w:sz="4" w:space="0"/>
              <w:right w:val="single" w:color="000000" w:sz="4" w:space="0"/>
            </w:tcBorders>
            <w:vAlign w:val="center"/>
          </w:tcPr>
          <w:p w14:paraId="2D189F1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45</w:t>
            </w:r>
          </w:p>
        </w:tc>
        <w:tc>
          <w:tcPr>
            <w:tcW w:w="1030" w:type="dxa"/>
            <w:tcBorders>
              <w:top w:val="single" w:color="000000" w:sz="4" w:space="0"/>
              <w:left w:val="single" w:color="000000" w:sz="4" w:space="0"/>
              <w:bottom w:val="single" w:color="000000" w:sz="4" w:space="0"/>
              <w:right w:val="single" w:color="000000" w:sz="4" w:space="0"/>
            </w:tcBorders>
            <w:vAlign w:val="center"/>
          </w:tcPr>
          <w:p w14:paraId="249C6E3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40</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203C9ED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51.01</w:t>
            </w:r>
          </w:p>
        </w:tc>
        <w:tc>
          <w:tcPr>
            <w:tcW w:w="871" w:type="dxa"/>
            <w:tcBorders>
              <w:top w:val="single" w:color="000000" w:sz="4" w:space="0"/>
              <w:left w:val="single" w:color="000000" w:sz="4" w:space="0"/>
              <w:bottom w:val="single" w:color="000000" w:sz="4" w:space="0"/>
              <w:right w:val="single" w:color="000000" w:sz="4" w:space="0"/>
            </w:tcBorders>
            <w:vAlign w:val="center"/>
          </w:tcPr>
          <w:p w14:paraId="50A6E27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40</w:t>
            </w:r>
          </w:p>
        </w:tc>
      </w:tr>
      <w:tr w14:paraId="38B793FA">
        <w:tblPrEx>
          <w:tblCellMar>
            <w:top w:w="0" w:type="dxa"/>
            <w:left w:w="108" w:type="dxa"/>
            <w:bottom w:w="0" w:type="dxa"/>
            <w:right w:w="108" w:type="dxa"/>
          </w:tblCellMar>
        </w:tblPrEx>
        <w:trPr>
          <w:trHeight w:val="1140"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1C4946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7</w:t>
            </w:r>
          </w:p>
        </w:tc>
        <w:tc>
          <w:tcPr>
            <w:tcW w:w="794" w:type="dxa"/>
            <w:vMerge w:val="restart"/>
            <w:tcBorders>
              <w:top w:val="single" w:color="000000" w:sz="4" w:space="0"/>
              <w:left w:val="single" w:color="000000" w:sz="4" w:space="0"/>
              <w:bottom w:val="single" w:color="000000" w:sz="4" w:space="0"/>
              <w:right w:val="single" w:color="000000" w:sz="4" w:space="0"/>
            </w:tcBorders>
            <w:vAlign w:val="center"/>
          </w:tcPr>
          <w:p w14:paraId="7D7E23A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祥芝镇</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14:paraId="6B2AE7F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湖西村</w:t>
            </w:r>
          </w:p>
        </w:tc>
        <w:tc>
          <w:tcPr>
            <w:tcW w:w="2560" w:type="dxa"/>
            <w:tcBorders>
              <w:top w:val="single" w:color="000000" w:sz="4" w:space="0"/>
              <w:left w:val="single" w:color="000000" w:sz="4" w:space="0"/>
              <w:bottom w:val="single" w:color="000000" w:sz="4" w:space="0"/>
              <w:right w:val="single" w:color="000000" w:sz="4" w:space="0"/>
            </w:tcBorders>
            <w:vAlign w:val="center"/>
          </w:tcPr>
          <w:p w14:paraId="68125D1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湖西村宜居住宅小区配套设施工程</w:t>
            </w:r>
          </w:p>
        </w:tc>
        <w:tc>
          <w:tcPr>
            <w:tcW w:w="1020" w:type="dxa"/>
            <w:tcBorders>
              <w:top w:val="single" w:color="000000" w:sz="4" w:space="0"/>
              <w:left w:val="single" w:color="000000" w:sz="4" w:space="0"/>
              <w:bottom w:val="single" w:color="000000" w:sz="4" w:space="0"/>
              <w:right w:val="single" w:color="000000" w:sz="4" w:space="0"/>
            </w:tcBorders>
            <w:vAlign w:val="center"/>
          </w:tcPr>
          <w:p w14:paraId="23899A7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400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0F784A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346.38</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62A99239">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370</w:t>
            </w:r>
          </w:p>
        </w:tc>
        <w:tc>
          <w:tcPr>
            <w:tcW w:w="871" w:type="dxa"/>
            <w:tcBorders>
              <w:top w:val="single" w:color="000000" w:sz="4" w:space="0"/>
              <w:left w:val="single" w:color="000000" w:sz="4" w:space="0"/>
              <w:bottom w:val="single" w:color="000000" w:sz="4" w:space="0"/>
              <w:right w:val="single" w:color="000000" w:sz="4" w:space="0"/>
            </w:tcBorders>
            <w:noWrap/>
            <w:vAlign w:val="center"/>
          </w:tcPr>
          <w:p w14:paraId="1E5B898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174</w:t>
            </w:r>
          </w:p>
        </w:tc>
      </w:tr>
      <w:tr w14:paraId="731F7CAE">
        <w:tblPrEx>
          <w:tblCellMar>
            <w:top w:w="0" w:type="dxa"/>
            <w:left w:w="108" w:type="dxa"/>
            <w:bottom w:w="0" w:type="dxa"/>
            <w:right w:w="108" w:type="dxa"/>
          </w:tblCellMar>
        </w:tblPrEx>
        <w:trPr>
          <w:trHeight w:val="578"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75B49D6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8</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2D088D55">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3C22BFD5">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vAlign w:val="center"/>
          </w:tcPr>
          <w:p w14:paraId="1C2632E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湖西村人居环境整治提升工程</w:t>
            </w:r>
          </w:p>
        </w:tc>
        <w:tc>
          <w:tcPr>
            <w:tcW w:w="1020" w:type="dxa"/>
            <w:tcBorders>
              <w:top w:val="single" w:color="000000" w:sz="4" w:space="0"/>
              <w:left w:val="single" w:color="000000" w:sz="4" w:space="0"/>
              <w:bottom w:val="single" w:color="000000" w:sz="4" w:space="0"/>
              <w:right w:val="single" w:color="000000" w:sz="4" w:space="0"/>
            </w:tcBorders>
            <w:vAlign w:val="center"/>
          </w:tcPr>
          <w:p w14:paraId="007CCB8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150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E989F3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124</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502091B1">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148</w:t>
            </w:r>
          </w:p>
        </w:tc>
        <w:tc>
          <w:tcPr>
            <w:tcW w:w="871" w:type="dxa"/>
            <w:tcBorders>
              <w:top w:val="single" w:color="000000" w:sz="4" w:space="0"/>
              <w:left w:val="single" w:color="000000" w:sz="4" w:space="0"/>
              <w:bottom w:val="single" w:color="000000" w:sz="4" w:space="0"/>
              <w:right w:val="single" w:color="000000" w:sz="4" w:space="0"/>
            </w:tcBorders>
            <w:vAlign w:val="center"/>
          </w:tcPr>
          <w:p w14:paraId="0C8205A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84</w:t>
            </w:r>
          </w:p>
        </w:tc>
      </w:tr>
      <w:tr w14:paraId="7846DF31">
        <w:tblPrEx>
          <w:tblCellMar>
            <w:top w:w="0" w:type="dxa"/>
            <w:left w:w="108" w:type="dxa"/>
            <w:bottom w:w="0" w:type="dxa"/>
            <w:right w:w="108" w:type="dxa"/>
          </w:tblCellMar>
        </w:tblPrEx>
        <w:trPr>
          <w:trHeight w:val="836"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19FF151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9</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69D84919">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29794410">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vAlign w:val="center"/>
          </w:tcPr>
          <w:p w14:paraId="2C34D69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湖西村整合职工公寓改造提升工程</w:t>
            </w:r>
          </w:p>
        </w:tc>
        <w:tc>
          <w:tcPr>
            <w:tcW w:w="1020" w:type="dxa"/>
            <w:tcBorders>
              <w:top w:val="single" w:color="000000" w:sz="4" w:space="0"/>
              <w:left w:val="single" w:color="000000" w:sz="4" w:space="0"/>
              <w:bottom w:val="single" w:color="000000" w:sz="4" w:space="0"/>
              <w:right w:val="single" w:color="000000" w:sz="4" w:space="0"/>
            </w:tcBorders>
            <w:vAlign w:val="center"/>
          </w:tcPr>
          <w:p w14:paraId="0218D18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D2AA86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27</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388BE731">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19.35</w:t>
            </w:r>
          </w:p>
        </w:tc>
        <w:tc>
          <w:tcPr>
            <w:tcW w:w="871" w:type="dxa"/>
            <w:tcBorders>
              <w:top w:val="single" w:color="000000" w:sz="4" w:space="0"/>
              <w:left w:val="single" w:color="000000" w:sz="4" w:space="0"/>
              <w:bottom w:val="single" w:color="000000" w:sz="4" w:space="0"/>
              <w:right w:val="single" w:color="000000" w:sz="4" w:space="0"/>
            </w:tcBorders>
            <w:vAlign w:val="center"/>
          </w:tcPr>
          <w:p w14:paraId="6A3116D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w:t>
            </w:r>
          </w:p>
        </w:tc>
      </w:tr>
      <w:tr w14:paraId="798D18D2">
        <w:tblPrEx>
          <w:tblCellMar>
            <w:top w:w="0" w:type="dxa"/>
            <w:left w:w="108" w:type="dxa"/>
            <w:bottom w:w="0" w:type="dxa"/>
            <w:right w:w="108" w:type="dxa"/>
          </w:tblCellMar>
        </w:tblPrEx>
        <w:trPr>
          <w:trHeight w:val="727"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1ED62D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10</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1AF6D975">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0B012C2F">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vAlign w:val="center"/>
          </w:tcPr>
          <w:p w14:paraId="4708AFE9">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祥芝镇湖西村美食街工程</w:t>
            </w:r>
          </w:p>
        </w:tc>
        <w:tc>
          <w:tcPr>
            <w:tcW w:w="1020" w:type="dxa"/>
            <w:tcBorders>
              <w:top w:val="single" w:color="000000" w:sz="4" w:space="0"/>
              <w:left w:val="single" w:color="000000" w:sz="4" w:space="0"/>
              <w:bottom w:val="single" w:color="000000" w:sz="4" w:space="0"/>
              <w:right w:val="single" w:color="000000" w:sz="4" w:space="0"/>
            </w:tcBorders>
            <w:vAlign w:val="center"/>
          </w:tcPr>
          <w:p w14:paraId="33515743">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150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28D621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124</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14F98B9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135.9</w:t>
            </w:r>
          </w:p>
        </w:tc>
        <w:tc>
          <w:tcPr>
            <w:tcW w:w="871" w:type="dxa"/>
            <w:tcBorders>
              <w:top w:val="single" w:color="000000" w:sz="4" w:space="0"/>
              <w:left w:val="single" w:color="000000" w:sz="4" w:space="0"/>
              <w:bottom w:val="single" w:color="000000" w:sz="4" w:space="0"/>
              <w:right w:val="single" w:color="000000" w:sz="4" w:space="0"/>
            </w:tcBorders>
            <w:vAlign w:val="center"/>
          </w:tcPr>
          <w:p w14:paraId="446BE06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90</w:t>
            </w:r>
          </w:p>
        </w:tc>
      </w:tr>
      <w:tr w14:paraId="522226B6">
        <w:tblPrEx>
          <w:tblCellMar>
            <w:top w:w="0" w:type="dxa"/>
            <w:left w:w="108" w:type="dxa"/>
            <w:bottom w:w="0" w:type="dxa"/>
            <w:right w:w="108" w:type="dxa"/>
          </w:tblCellMar>
        </w:tblPrEx>
        <w:trPr>
          <w:trHeight w:val="412"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34FE3A1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11</w:t>
            </w:r>
          </w:p>
        </w:tc>
        <w:tc>
          <w:tcPr>
            <w:tcW w:w="794" w:type="dxa"/>
            <w:vMerge w:val="restart"/>
            <w:tcBorders>
              <w:top w:val="single" w:color="000000" w:sz="4" w:space="0"/>
              <w:left w:val="single" w:color="000000" w:sz="4" w:space="0"/>
              <w:bottom w:val="single" w:color="000000" w:sz="4" w:space="0"/>
              <w:right w:val="single" w:color="000000" w:sz="4" w:space="0"/>
            </w:tcBorders>
            <w:noWrap/>
            <w:vAlign w:val="center"/>
          </w:tcPr>
          <w:p w14:paraId="180712F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鸿山镇</w:t>
            </w:r>
          </w:p>
        </w:tc>
        <w:tc>
          <w:tcPr>
            <w:tcW w:w="870" w:type="dxa"/>
            <w:vMerge w:val="restart"/>
            <w:tcBorders>
              <w:top w:val="single" w:color="000000" w:sz="4" w:space="0"/>
              <w:left w:val="single" w:color="000000" w:sz="4" w:space="0"/>
              <w:bottom w:val="single" w:color="000000" w:sz="4" w:space="0"/>
              <w:right w:val="single" w:color="000000" w:sz="4" w:space="0"/>
            </w:tcBorders>
            <w:noWrap/>
            <w:vAlign w:val="center"/>
          </w:tcPr>
          <w:p w14:paraId="626F77A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邱下村</w:t>
            </w:r>
          </w:p>
        </w:tc>
        <w:tc>
          <w:tcPr>
            <w:tcW w:w="2560" w:type="dxa"/>
            <w:tcBorders>
              <w:top w:val="single" w:color="000000" w:sz="4" w:space="0"/>
              <w:left w:val="single" w:color="000000" w:sz="4" w:space="0"/>
              <w:bottom w:val="single" w:color="000000" w:sz="4" w:space="0"/>
              <w:right w:val="single" w:color="000000" w:sz="4" w:space="0"/>
            </w:tcBorders>
            <w:vAlign w:val="center"/>
          </w:tcPr>
          <w:p w14:paraId="694F21E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人居环境改造提升项目</w:t>
            </w:r>
          </w:p>
        </w:tc>
        <w:tc>
          <w:tcPr>
            <w:tcW w:w="1020" w:type="dxa"/>
            <w:tcBorders>
              <w:top w:val="single" w:color="000000" w:sz="4" w:space="0"/>
              <w:left w:val="single" w:color="000000" w:sz="4" w:space="0"/>
              <w:bottom w:val="single" w:color="000000" w:sz="4" w:space="0"/>
              <w:right w:val="single" w:color="000000" w:sz="4" w:space="0"/>
            </w:tcBorders>
            <w:vAlign w:val="center"/>
          </w:tcPr>
          <w:p w14:paraId="1BD4970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70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5B1AD0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40</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4C487B3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w:t>
            </w:r>
          </w:p>
        </w:tc>
        <w:tc>
          <w:tcPr>
            <w:tcW w:w="871" w:type="dxa"/>
            <w:tcBorders>
              <w:top w:val="single" w:color="000000" w:sz="4" w:space="0"/>
              <w:left w:val="single" w:color="000000" w:sz="4" w:space="0"/>
              <w:bottom w:val="single" w:color="000000" w:sz="4" w:space="0"/>
              <w:right w:val="single" w:color="000000" w:sz="4" w:space="0"/>
            </w:tcBorders>
            <w:vAlign w:val="center"/>
          </w:tcPr>
          <w:p w14:paraId="13AC400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w:t>
            </w:r>
          </w:p>
        </w:tc>
      </w:tr>
      <w:tr w14:paraId="3BABF52F">
        <w:tblPrEx>
          <w:tblCellMar>
            <w:top w:w="0" w:type="dxa"/>
            <w:left w:w="108" w:type="dxa"/>
            <w:bottom w:w="0" w:type="dxa"/>
            <w:right w:w="108" w:type="dxa"/>
          </w:tblCellMar>
        </w:tblPrEx>
        <w:trPr>
          <w:trHeight w:val="565"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0333F4D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12</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7B4515C6">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2461512F">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vAlign w:val="center"/>
          </w:tcPr>
          <w:p w14:paraId="4474330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邱下村文创服务中心</w:t>
            </w:r>
          </w:p>
        </w:tc>
        <w:tc>
          <w:tcPr>
            <w:tcW w:w="1020" w:type="dxa"/>
            <w:tcBorders>
              <w:top w:val="single" w:color="000000" w:sz="4" w:space="0"/>
              <w:left w:val="single" w:color="000000" w:sz="4" w:space="0"/>
              <w:bottom w:val="single" w:color="000000" w:sz="4" w:space="0"/>
              <w:right w:val="single" w:color="000000" w:sz="4" w:space="0"/>
            </w:tcBorders>
            <w:vAlign w:val="center"/>
          </w:tcPr>
          <w:p w14:paraId="38D704F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550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BE634A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360</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397E91A2">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410</w:t>
            </w:r>
          </w:p>
        </w:tc>
        <w:tc>
          <w:tcPr>
            <w:tcW w:w="871" w:type="dxa"/>
            <w:tcBorders>
              <w:top w:val="single" w:color="000000" w:sz="4" w:space="0"/>
              <w:left w:val="single" w:color="000000" w:sz="4" w:space="0"/>
              <w:bottom w:val="single" w:color="000000" w:sz="4" w:space="0"/>
              <w:right w:val="single" w:color="000000" w:sz="4" w:space="0"/>
            </w:tcBorders>
            <w:vAlign w:val="center"/>
          </w:tcPr>
          <w:p w14:paraId="47A5B8B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280</w:t>
            </w:r>
          </w:p>
        </w:tc>
      </w:tr>
      <w:tr w14:paraId="3238949F">
        <w:tblPrEx>
          <w:tblCellMar>
            <w:top w:w="0" w:type="dxa"/>
            <w:left w:w="108" w:type="dxa"/>
            <w:bottom w:w="0" w:type="dxa"/>
            <w:right w:w="108" w:type="dxa"/>
          </w:tblCellMar>
        </w:tblPrEx>
        <w:trPr>
          <w:trHeight w:val="422"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4EE9E87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13</w:t>
            </w:r>
          </w:p>
        </w:tc>
        <w:tc>
          <w:tcPr>
            <w:tcW w:w="794" w:type="dxa"/>
            <w:vMerge w:val="restart"/>
            <w:tcBorders>
              <w:top w:val="single" w:color="000000" w:sz="4" w:space="0"/>
              <w:left w:val="single" w:color="000000" w:sz="4" w:space="0"/>
              <w:bottom w:val="single" w:color="000000" w:sz="4" w:space="0"/>
              <w:right w:val="single" w:color="000000" w:sz="4" w:space="0"/>
            </w:tcBorders>
            <w:noWrap/>
            <w:vAlign w:val="center"/>
          </w:tcPr>
          <w:p w14:paraId="7E87CF4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锦尚镇</w:t>
            </w:r>
          </w:p>
        </w:tc>
        <w:tc>
          <w:tcPr>
            <w:tcW w:w="870" w:type="dxa"/>
            <w:vMerge w:val="restart"/>
            <w:tcBorders>
              <w:top w:val="single" w:color="000000" w:sz="4" w:space="0"/>
              <w:left w:val="single" w:color="000000" w:sz="4" w:space="0"/>
              <w:bottom w:val="single" w:color="000000" w:sz="4" w:space="0"/>
              <w:right w:val="single" w:color="000000" w:sz="4" w:space="0"/>
            </w:tcBorders>
            <w:noWrap/>
            <w:vAlign w:val="center"/>
          </w:tcPr>
          <w:p w14:paraId="3B27E3E2">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东店村</w:t>
            </w:r>
          </w:p>
        </w:tc>
        <w:tc>
          <w:tcPr>
            <w:tcW w:w="2560" w:type="dxa"/>
            <w:tcBorders>
              <w:top w:val="single" w:color="000000" w:sz="4" w:space="0"/>
              <w:left w:val="single" w:color="000000" w:sz="4" w:space="0"/>
              <w:bottom w:val="single" w:color="000000" w:sz="4" w:space="0"/>
              <w:right w:val="single" w:color="000000" w:sz="4" w:space="0"/>
            </w:tcBorders>
            <w:noWrap/>
            <w:vAlign w:val="center"/>
          </w:tcPr>
          <w:p w14:paraId="045E302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东店村农贸市场改造</w:t>
            </w:r>
          </w:p>
        </w:tc>
        <w:tc>
          <w:tcPr>
            <w:tcW w:w="1020" w:type="dxa"/>
            <w:tcBorders>
              <w:top w:val="single" w:color="000000" w:sz="4" w:space="0"/>
              <w:left w:val="single" w:color="000000" w:sz="4" w:space="0"/>
              <w:bottom w:val="single" w:color="000000" w:sz="4" w:space="0"/>
              <w:right w:val="single" w:color="000000" w:sz="4" w:space="0"/>
            </w:tcBorders>
            <w:vAlign w:val="center"/>
          </w:tcPr>
          <w:p w14:paraId="2C69A32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BA4F35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45</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3218718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43.76</w:t>
            </w:r>
          </w:p>
        </w:tc>
        <w:tc>
          <w:tcPr>
            <w:tcW w:w="871" w:type="dxa"/>
            <w:tcBorders>
              <w:top w:val="single" w:color="000000" w:sz="4" w:space="0"/>
              <w:left w:val="single" w:color="000000" w:sz="4" w:space="0"/>
              <w:bottom w:val="single" w:color="000000" w:sz="4" w:space="0"/>
              <w:right w:val="single" w:color="000000" w:sz="4" w:space="0"/>
            </w:tcBorders>
            <w:vAlign w:val="center"/>
          </w:tcPr>
          <w:p w14:paraId="6EC90E5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39.3</w:t>
            </w:r>
          </w:p>
        </w:tc>
      </w:tr>
      <w:tr w14:paraId="66D1C982">
        <w:tblPrEx>
          <w:tblCellMar>
            <w:top w:w="0" w:type="dxa"/>
            <w:left w:w="108" w:type="dxa"/>
            <w:bottom w:w="0" w:type="dxa"/>
            <w:right w:w="108" w:type="dxa"/>
          </w:tblCellMar>
        </w:tblPrEx>
        <w:trPr>
          <w:trHeight w:val="557"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3FAA706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14</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08A6F4B1">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0805D28B">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noWrap/>
            <w:vAlign w:val="center"/>
          </w:tcPr>
          <w:p w14:paraId="626AC05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公租房建设（一期）</w:t>
            </w:r>
          </w:p>
        </w:tc>
        <w:tc>
          <w:tcPr>
            <w:tcW w:w="1020" w:type="dxa"/>
            <w:tcBorders>
              <w:top w:val="single" w:color="000000" w:sz="4" w:space="0"/>
              <w:left w:val="single" w:color="000000" w:sz="4" w:space="0"/>
              <w:bottom w:val="single" w:color="000000" w:sz="4" w:space="0"/>
              <w:right w:val="single" w:color="000000" w:sz="4" w:space="0"/>
            </w:tcBorders>
            <w:vAlign w:val="center"/>
          </w:tcPr>
          <w:p w14:paraId="34628D85">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395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3DC0A12">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271</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6B7B3DD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w:t>
            </w:r>
          </w:p>
        </w:tc>
        <w:tc>
          <w:tcPr>
            <w:tcW w:w="871" w:type="dxa"/>
            <w:tcBorders>
              <w:top w:val="single" w:color="000000" w:sz="4" w:space="0"/>
              <w:left w:val="single" w:color="000000" w:sz="4" w:space="0"/>
              <w:bottom w:val="single" w:color="000000" w:sz="4" w:space="0"/>
              <w:right w:val="single" w:color="000000" w:sz="4" w:space="0"/>
            </w:tcBorders>
            <w:vAlign w:val="center"/>
          </w:tcPr>
          <w:p w14:paraId="71FF3644">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w:t>
            </w:r>
          </w:p>
        </w:tc>
      </w:tr>
      <w:tr w14:paraId="31ED7F87">
        <w:tblPrEx>
          <w:tblCellMar>
            <w:top w:w="0" w:type="dxa"/>
            <w:left w:w="108" w:type="dxa"/>
            <w:bottom w:w="0" w:type="dxa"/>
            <w:right w:w="108" w:type="dxa"/>
          </w:tblCellMar>
        </w:tblPrEx>
        <w:trPr>
          <w:trHeight w:val="567" w:hRule="atLeast"/>
        </w:trPr>
        <w:tc>
          <w:tcPr>
            <w:tcW w:w="457" w:type="dxa"/>
            <w:tcBorders>
              <w:top w:val="single" w:color="000000" w:sz="4" w:space="0"/>
              <w:left w:val="single" w:color="000000" w:sz="4" w:space="0"/>
              <w:bottom w:val="nil"/>
              <w:right w:val="single" w:color="000000" w:sz="4" w:space="0"/>
            </w:tcBorders>
            <w:vAlign w:val="center"/>
          </w:tcPr>
          <w:p w14:paraId="192C755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15</w:t>
            </w:r>
          </w:p>
        </w:tc>
        <w:tc>
          <w:tcPr>
            <w:tcW w:w="794" w:type="dxa"/>
            <w:vMerge w:val="restart"/>
            <w:tcBorders>
              <w:top w:val="single" w:color="000000" w:sz="4" w:space="0"/>
              <w:left w:val="single" w:color="000000" w:sz="4" w:space="0"/>
              <w:bottom w:val="single" w:color="000000" w:sz="4" w:space="0"/>
              <w:right w:val="single" w:color="000000" w:sz="4" w:space="0"/>
            </w:tcBorders>
            <w:noWrap/>
            <w:vAlign w:val="center"/>
          </w:tcPr>
          <w:p w14:paraId="599E60C6">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锦尚镇</w:t>
            </w:r>
          </w:p>
        </w:tc>
        <w:tc>
          <w:tcPr>
            <w:tcW w:w="870" w:type="dxa"/>
            <w:vMerge w:val="restart"/>
            <w:tcBorders>
              <w:top w:val="single" w:color="000000" w:sz="4" w:space="0"/>
              <w:left w:val="single" w:color="000000" w:sz="4" w:space="0"/>
              <w:bottom w:val="single" w:color="000000" w:sz="4" w:space="0"/>
              <w:right w:val="single" w:color="000000" w:sz="4" w:space="0"/>
            </w:tcBorders>
            <w:noWrap/>
            <w:vAlign w:val="center"/>
          </w:tcPr>
          <w:p w14:paraId="2BF3616D">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东店村</w:t>
            </w:r>
          </w:p>
        </w:tc>
        <w:tc>
          <w:tcPr>
            <w:tcW w:w="2560" w:type="dxa"/>
            <w:tcBorders>
              <w:top w:val="single" w:color="000000" w:sz="4" w:space="0"/>
              <w:left w:val="single" w:color="000000" w:sz="4" w:space="0"/>
              <w:bottom w:val="nil"/>
              <w:right w:val="single" w:color="000000" w:sz="4" w:space="0"/>
            </w:tcBorders>
            <w:noWrap/>
            <w:vAlign w:val="center"/>
          </w:tcPr>
          <w:p w14:paraId="32ED4FB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东店村人居环境整治</w:t>
            </w:r>
          </w:p>
        </w:tc>
        <w:tc>
          <w:tcPr>
            <w:tcW w:w="1020" w:type="dxa"/>
            <w:tcBorders>
              <w:top w:val="single" w:color="000000" w:sz="4" w:space="0"/>
              <w:left w:val="single" w:color="000000" w:sz="4" w:space="0"/>
              <w:bottom w:val="nil"/>
              <w:right w:val="single" w:color="000000" w:sz="4" w:space="0"/>
            </w:tcBorders>
            <w:vAlign w:val="center"/>
          </w:tcPr>
          <w:p w14:paraId="5518E7E4">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171</w:t>
            </w:r>
          </w:p>
        </w:tc>
        <w:tc>
          <w:tcPr>
            <w:tcW w:w="1030" w:type="dxa"/>
            <w:tcBorders>
              <w:top w:val="single" w:color="000000" w:sz="4" w:space="0"/>
              <w:left w:val="single" w:color="000000" w:sz="4" w:space="0"/>
              <w:bottom w:val="nil"/>
              <w:right w:val="single" w:color="000000" w:sz="4" w:space="0"/>
            </w:tcBorders>
            <w:noWrap/>
            <w:vAlign w:val="center"/>
          </w:tcPr>
          <w:p w14:paraId="3784F4B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153</w:t>
            </w:r>
          </w:p>
        </w:tc>
        <w:tc>
          <w:tcPr>
            <w:tcW w:w="1040" w:type="dxa"/>
            <w:tcBorders>
              <w:top w:val="single" w:color="000000" w:sz="4" w:space="0"/>
              <w:left w:val="single" w:color="000000" w:sz="4" w:space="0"/>
              <w:bottom w:val="nil"/>
              <w:right w:val="single" w:color="000000" w:sz="4" w:space="0"/>
            </w:tcBorders>
            <w:noWrap/>
            <w:vAlign w:val="center"/>
          </w:tcPr>
          <w:p w14:paraId="02ABDC22">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164.52</w:t>
            </w:r>
          </w:p>
        </w:tc>
        <w:tc>
          <w:tcPr>
            <w:tcW w:w="871" w:type="dxa"/>
            <w:tcBorders>
              <w:top w:val="single" w:color="000000" w:sz="4" w:space="0"/>
              <w:left w:val="single" w:color="000000" w:sz="4" w:space="0"/>
              <w:bottom w:val="nil"/>
              <w:right w:val="single" w:color="000000" w:sz="4" w:space="0"/>
            </w:tcBorders>
            <w:vAlign w:val="center"/>
          </w:tcPr>
          <w:p w14:paraId="1628AFD0">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144.5</w:t>
            </w:r>
          </w:p>
        </w:tc>
      </w:tr>
      <w:tr w14:paraId="20A64D11">
        <w:tblPrEx>
          <w:tblCellMar>
            <w:top w:w="0" w:type="dxa"/>
            <w:left w:w="108" w:type="dxa"/>
            <w:bottom w:w="0" w:type="dxa"/>
            <w:right w:w="108" w:type="dxa"/>
          </w:tblCellMar>
        </w:tblPrEx>
        <w:trPr>
          <w:trHeight w:val="567"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7F423B0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16</w:t>
            </w:r>
          </w:p>
        </w:tc>
        <w:tc>
          <w:tcPr>
            <w:tcW w:w="794" w:type="dxa"/>
            <w:vMerge w:val="continue"/>
            <w:tcBorders>
              <w:top w:val="single" w:color="000000" w:sz="4" w:space="0"/>
              <w:left w:val="single" w:color="000000" w:sz="4" w:space="0"/>
              <w:bottom w:val="single" w:color="000000" w:sz="4" w:space="0"/>
              <w:right w:val="single" w:color="000000" w:sz="4" w:space="0"/>
            </w:tcBorders>
            <w:vAlign w:val="center"/>
          </w:tcPr>
          <w:p w14:paraId="2ADF6558">
            <w:pPr>
              <w:widowControl/>
              <w:jc w:val="left"/>
              <w:rPr>
                <w:rFonts w:hint="eastAsia" w:ascii="仿宋" w:hAnsi="仿宋" w:eastAsia="仿宋" w:cs="宋体"/>
                <w:color w:val="000000"/>
                <w:kern w:val="0"/>
                <w:sz w:val="21"/>
                <w:szCs w:val="21"/>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14:paraId="573FA6BA">
            <w:pPr>
              <w:widowControl/>
              <w:jc w:val="left"/>
              <w:rPr>
                <w:rFonts w:hint="eastAsia" w:ascii="仿宋" w:hAnsi="仿宋" w:eastAsia="仿宋" w:cs="宋体"/>
                <w:color w:val="000000"/>
                <w:kern w:val="0"/>
                <w:sz w:val="21"/>
                <w:szCs w:val="21"/>
              </w:rPr>
            </w:pPr>
          </w:p>
        </w:tc>
        <w:tc>
          <w:tcPr>
            <w:tcW w:w="2560" w:type="dxa"/>
            <w:tcBorders>
              <w:top w:val="single" w:color="000000" w:sz="4" w:space="0"/>
              <w:left w:val="single" w:color="000000" w:sz="4" w:space="0"/>
              <w:bottom w:val="single" w:color="000000" w:sz="4" w:space="0"/>
              <w:right w:val="single" w:color="000000" w:sz="4" w:space="0"/>
            </w:tcBorders>
            <w:noWrap/>
            <w:vAlign w:val="center"/>
          </w:tcPr>
          <w:p w14:paraId="3FEC0B8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集中办宴点</w:t>
            </w:r>
          </w:p>
        </w:tc>
        <w:tc>
          <w:tcPr>
            <w:tcW w:w="1020" w:type="dxa"/>
            <w:tcBorders>
              <w:top w:val="single" w:color="000000" w:sz="4" w:space="0"/>
              <w:left w:val="single" w:color="000000" w:sz="4" w:space="0"/>
              <w:bottom w:val="single" w:color="000000" w:sz="4" w:space="0"/>
              <w:right w:val="single" w:color="000000" w:sz="4" w:space="0"/>
            </w:tcBorders>
            <w:vAlign w:val="center"/>
          </w:tcPr>
          <w:p w14:paraId="5D8331B4">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90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D16A34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81</w:t>
            </w:r>
          </w:p>
        </w:tc>
        <w:tc>
          <w:tcPr>
            <w:tcW w:w="1040" w:type="dxa"/>
            <w:tcBorders>
              <w:top w:val="single" w:color="000000" w:sz="4" w:space="0"/>
              <w:left w:val="single" w:color="000000" w:sz="4" w:space="0"/>
              <w:bottom w:val="single" w:color="000000" w:sz="4" w:space="0"/>
              <w:right w:val="single" w:color="000000" w:sz="4" w:space="0"/>
            </w:tcBorders>
            <w:noWrap/>
            <w:vAlign w:val="center"/>
          </w:tcPr>
          <w:p w14:paraId="3883A3C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83.58</w:t>
            </w:r>
          </w:p>
        </w:tc>
        <w:tc>
          <w:tcPr>
            <w:tcW w:w="871" w:type="dxa"/>
            <w:tcBorders>
              <w:top w:val="single" w:color="000000" w:sz="4" w:space="0"/>
              <w:left w:val="single" w:color="000000" w:sz="4" w:space="0"/>
              <w:bottom w:val="single" w:color="000000" w:sz="4" w:space="0"/>
              <w:right w:val="single" w:color="000000" w:sz="4" w:space="0"/>
            </w:tcBorders>
            <w:vAlign w:val="center"/>
          </w:tcPr>
          <w:p w14:paraId="2D2FDFB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w:t>
            </w:r>
          </w:p>
        </w:tc>
      </w:tr>
      <w:tr w14:paraId="43876D92">
        <w:tblPrEx>
          <w:tblCellMar>
            <w:top w:w="0" w:type="dxa"/>
            <w:left w:w="108" w:type="dxa"/>
            <w:bottom w:w="0" w:type="dxa"/>
            <w:right w:w="108" w:type="dxa"/>
          </w:tblCellMar>
        </w:tblPrEx>
        <w:trPr>
          <w:trHeight w:val="634"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26E759F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17</w:t>
            </w:r>
          </w:p>
        </w:tc>
        <w:tc>
          <w:tcPr>
            <w:tcW w:w="794" w:type="dxa"/>
            <w:tcBorders>
              <w:top w:val="single" w:color="000000" w:sz="4" w:space="0"/>
              <w:left w:val="single" w:color="000000" w:sz="4" w:space="0"/>
              <w:bottom w:val="single" w:color="000000" w:sz="4" w:space="0"/>
              <w:right w:val="single" w:color="000000" w:sz="4" w:space="0"/>
            </w:tcBorders>
            <w:noWrap/>
            <w:vAlign w:val="center"/>
          </w:tcPr>
          <w:p w14:paraId="147456CB">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永宁镇</w:t>
            </w:r>
          </w:p>
        </w:tc>
        <w:tc>
          <w:tcPr>
            <w:tcW w:w="870" w:type="dxa"/>
            <w:tcBorders>
              <w:top w:val="single" w:color="000000" w:sz="4" w:space="0"/>
              <w:left w:val="single" w:color="000000" w:sz="4" w:space="0"/>
              <w:bottom w:val="single" w:color="000000" w:sz="4" w:space="0"/>
              <w:right w:val="single" w:color="000000" w:sz="4" w:space="0"/>
            </w:tcBorders>
            <w:vAlign w:val="center"/>
          </w:tcPr>
          <w:p w14:paraId="4E32645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w:t>
            </w:r>
          </w:p>
        </w:tc>
        <w:tc>
          <w:tcPr>
            <w:tcW w:w="2560" w:type="dxa"/>
            <w:tcBorders>
              <w:top w:val="single" w:color="000000" w:sz="4" w:space="0"/>
              <w:left w:val="single" w:color="000000" w:sz="4" w:space="0"/>
              <w:bottom w:val="single" w:color="000000" w:sz="4" w:space="0"/>
              <w:right w:val="single" w:color="000000" w:sz="4" w:space="0"/>
            </w:tcBorders>
            <w:noWrap/>
            <w:vAlign w:val="center"/>
          </w:tcPr>
          <w:p w14:paraId="7E40391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洛伽寺公共服务改造项目</w:t>
            </w:r>
          </w:p>
        </w:tc>
        <w:tc>
          <w:tcPr>
            <w:tcW w:w="1020" w:type="dxa"/>
            <w:tcBorders>
              <w:top w:val="single" w:color="000000" w:sz="4" w:space="0"/>
              <w:left w:val="single" w:color="000000" w:sz="4" w:space="0"/>
              <w:bottom w:val="single" w:color="000000" w:sz="4" w:space="0"/>
              <w:right w:val="single" w:color="000000" w:sz="4" w:space="0"/>
            </w:tcBorders>
            <w:vAlign w:val="center"/>
          </w:tcPr>
          <w:p w14:paraId="00DB1F3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500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14A58F9">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300</w:t>
            </w:r>
          </w:p>
        </w:tc>
        <w:tc>
          <w:tcPr>
            <w:tcW w:w="1040" w:type="dxa"/>
            <w:tcBorders>
              <w:top w:val="single" w:color="000000" w:sz="4" w:space="0"/>
              <w:left w:val="single" w:color="000000" w:sz="4" w:space="0"/>
              <w:bottom w:val="single" w:color="000000" w:sz="4" w:space="0"/>
              <w:right w:val="single" w:color="000000" w:sz="4" w:space="0"/>
            </w:tcBorders>
            <w:vAlign w:val="center"/>
          </w:tcPr>
          <w:p w14:paraId="4C44454A">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50</w:t>
            </w:r>
          </w:p>
        </w:tc>
        <w:tc>
          <w:tcPr>
            <w:tcW w:w="871" w:type="dxa"/>
            <w:tcBorders>
              <w:top w:val="single" w:color="000000" w:sz="4" w:space="0"/>
              <w:left w:val="single" w:color="000000" w:sz="4" w:space="0"/>
              <w:bottom w:val="single" w:color="000000" w:sz="4" w:space="0"/>
              <w:right w:val="single" w:color="000000" w:sz="4" w:space="0"/>
            </w:tcBorders>
            <w:vAlign w:val="center"/>
          </w:tcPr>
          <w:p w14:paraId="7222FE6C">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0</w:t>
            </w:r>
          </w:p>
        </w:tc>
      </w:tr>
      <w:tr w14:paraId="1A389FAC">
        <w:tblPrEx>
          <w:tblCellMar>
            <w:top w:w="0" w:type="dxa"/>
            <w:left w:w="108" w:type="dxa"/>
            <w:bottom w:w="0" w:type="dxa"/>
            <w:right w:w="108" w:type="dxa"/>
          </w:tblCellMar>
        </w:tblPrEx>
        <w:trPr>
          <w:trHeight w:val="567" w:hRule="atLeast"/>
        </w:trPr>
        <w:tc>
          <w:tcPr>
            <w:tcW w:w="4681" w:type="dxa"/>
            <w:gridSpan w:val="4"/>
            <w:tcBorders>
              <w:top w:val="single" w:color="000000" w:sz="4" w:space="0"/>
              <w:left w:val="single" w:color="000000" w:sz="4" w:space="0"/>
              <w:bottom w:val="single" w:color="000000" w:sz="4" w:space="0"/>
              <w:right w:val="nil"/>
            </w:tcBorders>
            <w:noWrap/>
            <w:vAlign w:val="center"/>
          </w:tcPr>
          <w:p w14:paraId="3D834917">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合计</w:t>
            </w:r>
          </w:p>
        </w:tc>
        <w:tc>
          <w:tcPr>
            <w:tcW w:w="1020" w:type="dxa"/>
            <w:tcBorders>
              <w:top w:val="single" w:color="000000" w:sz="4" w:space="0"/>
              <w:left w:val="single" w:color="000000" w:sz="4" w:space="0"/>
              <w:bottom w:val="single" w:color="000000" w:sz="4" w:space="0"/>
              <w:right w:val="single" w:color="000000" w:sz="4" w:space="0"/>
            </w:tcBorders>
            <w:vAlign w:val="center"/>
          </w:tcPr>
          <w:p w14:paraId="7097C30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4961</w:t>
            </w:r>
          </w:p>
        </w:tc>
        <w:tc>
          <w:tcPr>
            <w:tcW w:w="1030" w:type="dxa"/>
            <w:tcBorders>
              <w:top w:val="single" w:color="000000" w:sz="4" w:space="0"/>
              <w:left w:val="single" w:color="000000" w:sz="4" w:space="0"/>
              <w:bottom w:val="single" w:color="000000" w:sz="4" w:space="0"/>
              <w:right w:val="single" w:color="000000" w:sz="4" w:space="0"/>
            </w:tcBorders>
            <w:vAlign w:val="center"/>
          </w:tcPr>
          <w:p w14:paraId="0921F548">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2971.38</w:t>
            </w:r>
          </w:p>
        </w:tc>
        <w:tc>
          <w:tcPr>
            <w:tcW w:w="1040" w:type="dxa"/>
            <w:tcBorders>
              <w:top w:val="single" w:color="000000" w:sz="4" w:space="0"/>
              <w:left w:val="single" w:color="000000" w:sz="4" w:space="0"/>
              <w:bottom w:val="single" w:color="000000" w:sz="4" w:space="0"/>
              <w:right w:val="single" w:color="000000" w:sz="4" w:space="0"/>
            </w:tcBorders>
            <w:vAlign w:val="center"/>
          </w:tcPr>
          <w:p w14:paraId="76CB89DE">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4178.71</w:t>
            </w:r>
          </w:p>
        </w:tc>
        <w:tc>
          <w:tcPr>
            <w:tcW w:w="871" w:type="dxa"/>
            <w:tcBorders>
              <w:top w:val="single" w:color="000000" w:sz="4" w:space="0"/>
              <w:left w:val="single" w:color="000000" w:sz="4" w:space="0"/>
              <w:bottom w:val="single" w:color="000000" w:sz="4" w:space="0"/>
              <w:right w:val="single" w:color="000000" w:sz="4" w:space="0"/>
            </w:tcBorders>
            <w:vAlign w:val="center"/>
          </w:tcPr>
          <w:p w14:paraId="79750B1F">
            <w:pPr>
              <w:widowControl/>
              <w:jc w:val="center"/>
              <w:rPr>
                <w:rFonts w:hint="eastAsia" w:ascii="仿宋" w:hAnsi="仿宋" w:eastAsia="仿宋" w:cs="宋体"/>
                <w:color w:val="000000"/>
                <w:kern w:val="0"/>
                <w:sz w:val="21"/>
                <w:szCs w:val="21"/>
              </w:rPr>
            </w:pPr>
            <w:r>
              <w:rPr>
                <w:rFonts w:hint="eastAsia" w:ascii="仿宋" w:hAnsi="仿宋" w:eastAsia="仿宋" w:cs="宋体"/>
                <w:color w:val="000000"/>
                <w:kern w:val="0"/>
                <w:sz w:val="21"/>
                <w:szCs w:val="21"/>
              </w:rPr>
              <w:t>1851.1</w:t>
            </w:r>
          </w:p>
        </w:tc>
      </w:tr>
    </w:tbl>
    <w:p w14:paraId="2B6D016A">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宋体"/>
          <w:color w:val="000000"/>
          <w:kern w:val="0"/>
          <w:sz w:val="21"/>
          <w:szCs w:val="21"/>
          <w:lang w:val="en-US" w:eastAsia="zh-CN"/>
        </w:rPr>
      </w:pPr>
      <w:bookmarkStart w:id="41" w:name="_Toc20937"/>
      <w:bookmarkStart w:id="42" w:name="_Toc205852119"/>
      <w:bookmarkStart w:id="43" w:name="_Toc184981298"/>
      <w:bookmarkStart w:id="44" w:name="_Toc8936"/>
      <w:bookmarkStart w:id="45" w:name="_Toc184981060"/>
      <w:bookmarkStart w:id="46" w:name="_Toc1739"/>
      <w:r>
        <w:rPr>
          <w:rFonts w:hint="eastAsia" w:ascii="仿宋" w:hAnsi="仿宋" w:eastAsia="仿宋" w:cs="宋体"/>
          <w:color w:val="000000"/>
          <w:kern w:val="0"/>
          <w:sz w:val="21"/>
          <w:szCs w:val="21"/>
          <w:lang w:val="en-US" w:eastAsia="zh-CN"/>
        </w:rPr>
        <w:t>注：2024年底下达的</w:t>
      </w:r>
      <w:r>
        <w:rPr>
          <w:rFonts w:hint="eastAsia" w:ascii="仿宋" w:hAnsi="仿宋" w:eastAsia="仿宋" w:cs="宋体"/>
          <w:color w:val="000000"/>
          <w:kern w:val="0"/>
          <w:sz w:val="21"/>
          <w:szCs w:val="21"/>
        </w:rPr>
        <w:t>128.62万元</w:t>
      </w:r>
      <w:r>
        <w:rPr>
          <w:rFonts w:hint="eastAsia" w:ascii="仿宋" w:hAnsi="仿宋" w:eastAsia="仿宋" w:cs="宋体"/>
          <w:color w:val="000000"/>
          <w:kern w:val="0"/>
          <w:sz w:val="21"/>
          <w:szCs w:val="21"/>
          <w:lang w:val="en-US" w:eastAsia="zh-CN"/>
        </w:rPr>
        <w:t>资金</w:t>
      </w:r>
      <w:r>
        <w:rPr>
          <w:rFonts w:hint="eastAsia" w:ascii="仿宋" w:hAnsi="仿宋" w:eastAsia="仿宋" w:cs="宋体"/>
          <w:color w:val="000000"/>
          <w:kern w:val="0"/>
          <w:sz w:val="21"/>
          <w:szCs w:val="21"/>
        </w:rPr>
        <w:t>未进行具体分配</w:t>
      </w:r>
      <w:r>
        <w:rPr>
          <w:rFonts w:hint="eastAsia" w:ascii="仿宋" w:hAnsi="仿宋" w:eastAsia="仿宋" w:cs="宋体"/>
          <w:color w:val="000000"/>
          <w:kern w:val="0"/>
          <w:sz w:val="21"/>
          <w:szCs w:val="21"/>
          <w:lang w:eastAsia="zh-CN"/>
        </w:rPr>
        <w:t>。</w:t>
      </w:r>
      <w:bookmarkEnd w:id="41"/>
    </w:p>
    <w:p w14:paraId="33EAF02D">
      <w:pPr>
        <w:spacing w:line="360" w:lineRule="auto"/>
        <w:ind w:firstLine="482" w:firstLineChars="200"/>
        <w:outlineLvl w:val="1"/>
        <w:rPr>
          <w:rFonts w:ascii="仿宋_GB2312" w:hAnsi="Times New Roman" w:eastAsia="仿宋_GB2312" w:cs="Times New Roman"/>
          <w:b/>
          <w:bCs/>
          <w:sz w:val="24"/>
        </w:rPr>
      </w:pPr>
      <w:bookmarkStart w:id="47" w:name="_Toc7430"/>
      <w:bookmarkStart w:id="48" w:name="_Toc8565"/>
      <w:r>
        <w:rPr>
          <w:rFonts w:hint="eastAsia" w:ascii="仿宋_GB2312" w:hAnsi="Times New Roman" w:eastAsia="仿宋_GB2312" w:cs="Times New Roman"/>
          <w:b/>
          <w:bCs/>
          <w:sz w:val="24"/>
        </w:rPr>
        <w:t>（二）项目绩效目标</w:t>
      </w:r>
      <w:bookmarkEnd w:id="42"/>
      <w:bookmarkEnd w:id="43"/>
      <w:bookmarkEnd w:id="44"/>
      <w:bookmarkEnd w:id="45"/>
      <w:bookmarkEnd w:id="46"/>
      <w:bookmarkEnd w:id="47"/>
      <w:bookmarkEnd w:id="48"/>
    </w:p>
    <w:p w14:paraId="570CC6D6">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通过项目建设</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推进省级乡村振兴示范创建行动</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带动省级乡村振兴示范乡镇、示范村创建对象的特色产业做大做强，实现其乡村产业发展水平、乡村建设水平、乡村治理水平的全面提升。</w:t>
      </w:r>
    </w:p>
    <w:p w14:paraId="1A997F6D">
      <w:pPr>
        <w:spacing w:line="360" w:lineRule="auto"/>
        <w:ind w:firstLine="480" w:firstLineChars="200"/>
        <w:rPr>
          <w:rFonts w:hint="eastAsia" w:ascii="仿宋_GB2312" w:hAnsi="Times New Roman" w:eastAsia="仿宋_GB2312" w:cs="Times New Roman"/>
          <w:sz w:val="24"/>
          <w:lang w:val="zh-CN"/>
        </w:rPr>
      </w:pPr>
    </w:p>
    <w:p w14:paraId="2034ED71">
      <w:pPr>
        <w:spacing w:line="360" w:lineRule="auto"/>
        <w:ind w:firstLine="562" w:firstLineChars="200"/>
        <w:outlineLvl w:val="0"/>
        <w:rPr>
          <w:rFonts w:hint="eastAsia" w:ascii="仿宋" w:hAnsi="仿宋" w:eastAsia="仿宋" w:cs="仿宋"/>
          <w:b/>
          <w:bCs/>
          <w:sz w:val="28"/>
          <w:szCs w:val="28"/>
        </w:rPr>
      </w:pPr>
      <w:bookmarkStart w:id="49" w:name="_Toc23817"/>
      <w:bookmarkStart w:id="50" w:name="_Toc184981299"/>
      <w:bookmarkStart w:id="51" w:name="_Toc31285"/>
      <w:bookmarkStart w:id="52" w:name="_Toc205852120"/>
      <w:bookmarkStart w:id="53" w:name="_Toc5769"/>
      <w:bookmarkStart w:id="54" w:name="_Toc184981061"/>
      <w:bookmarkStart w:id="55" w:name="_Toc28086"/>
      <w:r>
        <w:rPr>
          <w:rFonts w:hint="eastAsia" w:ascii="仿宋" w:hAnsi="仿宋" w:eastAsia="仿宋" w:cs="仿宋"/>
          <w:b/>
          <w:bCs/>
          <w:sz w:val="28"/>
          <w:szCs w:val="28"/>
        </w:rPr>
        <w:t>二、绩效评价工作开展情况</w:t>
      </w:r>
      <w:bookmarkEnd w:id="49"/>
      <w:bookmarkEnd w:id="50"/>
      <w:bookmarkEnd w:id="51"/>
      <w:bookmarkEnd w:id="52"/>
      <w:bookmarkEnd w:id="53"/>
      <w:bookmarkEnd w:id="54"/>
      <w:bookmarkEnd w:id="55"/>
    </w:p>
    <w:p w14:paraId="2985B888">
      <w:pPr>
        <w:spacing w:line="360" w:lineRule="auto"/>
        <w:ind w:firstLine="482" w:firstLineChars="200"/>
        <w:outlineLvl w:val="1"/>
        <w:rPr>
          <w:rFonts w:ascii="仿宋_GB2312" w:hAnsi="Times New Roman" w:eastAsia="仿宋_GB2312" w:cs="Times New Roman"/>
          <w:b/>
          <w:bCs/>
          <w:sz w:val="24"/>
        </w:rPr>
      </w:pPr>
      <w:bookmarkStart w:id="56" w:name="_Toc27429"/>
      <w:bookmarkStart w:id="57" w:name="_Toc14710"/>
      <w:bookmarkStart w:id="58" w:name="_Toc184981300"/>
      <w:bookmarkStart w:id="59" w:name="_Toc184981062"/>
      <w:bookmarkStart w:id="60" w:name="_Toc205852121"/>
      <w:bookmarkStart w:id="61" w:name="_Toc27565"/>
      <w:bookmarkStart w:id="62" w:name="_Toc23305"/>
      <w:r>
        <w:rPr>
          <w:rFonts w:hint="eastAsia" w:ascii="仿宋_GB2312" w:hAnsi="Times New Roman" w:eastAsia="仿宋_GB2312" w:cs="Times New Roman"/>
          <w:b/>
          <w:bCs/>
          <w:sz w:val="24"/>
        </w:rPr>
        <w:t>（一）绩效评价目的、对象和范围</w:t>
      </w:r>
      <w:bookmarkEnd w:id="56"/>
      <w:bookmarkEnd w:id="57"/>
      <w:bookmarkEnd w:id="58"/>
      <w:bookmarkEnd w:id="59"/>
      <w:bookmarkEnd w:id="60"/>
      <w:bookmarkEnd w:id="61"/>
      <w:bookmarkEnd w:id="62"/>
    </w:p>
    <w:p w14:paraId="0A0500E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1.绩效评价目的</w:t>
      </w:r>
    </w:p>
    <w:p w14:paraId="7CFFE93D">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工作组对石狮市2024年省级示范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进行评价，目的是从决策角度的项目立项、绩效目标设定和资金投入考察资金投入的合规合理性，从过程角度了解资金管理情况和组织实施情况，从产出角度分析资金使用的产出数量和质量是否符合预期，从效益角度分析资金使用是否实现应有的效果和满意度。最终目的是通过对决策、过程、产出和效益四个角度的分析总结经验，为改善政府管理、纠正目标与实际的偏差提供依据。工作组通过对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拨付、使用和子项目施工情况的调研，拟定该项资金绩效评价指标体系，评价该项资金的绩效目标完成情况，剖析该项资金在决策、管理及项目实施过程中存在的问题，并探讨其可能的原因，最后提出相应的解决对策，为提高专项资金的使用效率提供参考依据。</w:t>
      </w:r>
    </w:p>
    <w:p w14:paraId="00A3D52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2.绩效评价的对象和范围</w:t>
      </w:r>
    </w:p>
    <w:p w14:paraId="28341228">
      <w:pPr>
        <w:spacing w:line="360" w:lineRule="auto"/>
        <w:ind w:firstLine="480" w:firstLineChars="200"/>
        <w:rPr>
          <w:rFonts w:ascii="仿宋_GB2312" w:hAnsi="Times New Roman" w:eastAsia="仿宋_GB2312" w:cs="Times New Roman"/>
          <w:strike w:val="0"/>
          <w:sz w:val="24"/>
          <w:highlight w:val="none"/>
          <w:lang w:val="zh-CN"/>
        </w:rPr>
      </w:pPr>
      <w:r>
        <w:rPr>
          <w:rFonts w:hint="eastAsia" w:ascii="仿宋_GB2312" w:hAnsi="Times New Roman" w:eastAsia="仿宋_GB2312" w:cs="Times New Roman"/>
          <w:sz w:val="24"/>
          <w:lang w:val="zh-CN"/>
        </w:rPr>
        <w:t>绩效评价对象为石狮市2024年省级示范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本报告所评价资金为2024年度项目投入的专项经费。评价范围是项目决策：包括立项程序、绩效目标设定和资金投入情况；项目过程：包括资金管理、组织实施情况等；项目产出：包括产出数量、质量、时效、成本；</w:t>
      </w:r>
      <w:r>
        <w:rPr>
          <w:rFonts w:hint="eastAsia" w:ascii="仿宋_GB2312" w:hAnsi="Times New Roman" w:eastAsia="仿宋_GB2312" w:cs="Times New Roman"/>
          <w:strike w:val="0"/>
          <w:sz w:val="24"/>
          <w:highlight w:val="none"/>
          <w:lang w:val="zh-CN"/>
        </w:rPr>
        <w:t>项目效益：包括带来的社会效益、经济效益、生态效益、可持续影响和满意度。</w:t>
      </w:r>
    </w:p>
    <w:p w14:paraId="70A940BA">
      <w:pPr>
        <w:spacing w:line="360" w:lineRule="auto"/>
        <w:ind w:firstLine="482" w:firstLineChars="200"/>
        <w:outlineLvl w:val="1"/>
        <w:rPr>
          <w:rFonts w:ascii="仿宋_GB2312" w:hAnsi="Times New Roman" w:eastAsia="仿宋_GB2312" w:cs="Times New Roman"/>
          <w:b/>
          <w:bCs/>
          <w:sz w:val="24"/>
        </w:rPr>
      </w:pPr>
      <w:bookmarkStart w:id="63" w:name="_Toc19227"/>
      <w:bookmarkStart w:id="64" w:name="_Toc205852122"/>
      <w:bookmarkStart w:id="65" w:name="_Toc2527"/>
      <w:bookmarkStart w:id="66" w:name="_Toc22644"/>
      <w:bookmarkStart w:id="67" w:name="_Toc184981301"/>
      <w:bookmarkStart w:id="68" w:name="_Toc184981063"/>
      <w:bookmarkStart w:id="69" w:name="_Toc739"/>
      <w:r>
        <w:rPr>
          <w:rFonts w:hint="eastAsia" w:ascii="仿宋_GB2312" w:hAnsi="Times New Roman" w:eastAsia="仿宋_GB2312" w:cs="Times New Roman"/>
          <w:b/>
          <w:bCs/>
          <w:sz w:val="24"/>
        </w:rPr>
        <w:t>（二）绩效评价原则、评价指标体系、评价方法、评价标准</w:t>
      </w:r>
      <w:bookmarkEnd w:id="63"/>
      <w:bookmarkEnd w:id="64"/>
      <w:bookmarkEnd w:id="65"/>
      <w:bookmarkEnd w:id="66"/>
      <w:bookmarkEnd w:id="67"/>
      <w:bookmarkEnd w:id="68"/>
      <w:bookmarkEnd w:id="69"/>
    </w:p>
    <w:p w14:paraId="28250DC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1.绩效评价原则</w:t>
      </w:r>
    </w:p>
    <w:p w14:paraId="308D6FD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绩效评价应根据设定的绩效目标，运用科学、合理的绩效评价指标、评价标准和评价方法，按照财政支出绩效考评4E原则，对项目经费的经济性、效率性、效果性和公平性进行客观、公正的评价。根据《项目支出绩效评价管理办法》（财预〔2020〕10号），绩效评价指标的确定应当遵循以下基本原则：</w:t>
      </w:r>
    </w:p>
    <w:p w14:paraId="3D07827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（1）相关性原则。确定的绩效评价指标应当与绩效目标有直接的联系，能够恰当反映目标的实现程度。</w:t>
      </w:r>
    </w:p>
    <w:p w14:paraId="6423D08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（2）重要性原则。应当优先使用最具评价对象代表性、最能反映评价要求的核心指标。</w:t>
      </w:r>
    </w:p>
    <w:p w14:paraId="4D040D6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（3）可比性原则。对同类评价对象要设定共性的绩效评价指标，以便于评价结果可以相互比较。</w:t>
      </w:r>
    </w:p>
    <w:p w14:paraId="2F832F5D">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（4）系统性原则。应当将定量指标与定性指标相结合，系统反映财政支出所产生的社会效益、经济效益、生态效益和可持续影响等。</w:t>
      </w:r>
    </w:p>
    <w:p w14:paraId="56BCE1C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（5）经济性原则。绩效评价指标应当通俗易懂、简便易行，数据的获得应当考虑现实条件和可操作性，符合成本效益原则。</w:t>
      </w:r>
    </w:p>
    <w:p w14:paraId="272F0EE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2.评价指标体系</w:t>
      </w:r>
    </w:p>
    <w:p w14:paraId="535A70F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工作组根据财政部《项目支出绩效评价管理办法》（财预〔2020〕10号）文件的要求，依据上述原则，根据项目立项文件，围绕决策、过程、产出和效益四个方面设计绩效评价指标以及评分标准和分值。指标体系共设置4个一级指标、13个二级指标、25个三级指标。指标体系设定满分100分，其中：“决策”20分，主要体现项目立项、绩效目标和资金投入情况；“过程”18分，主要体现项目的资金管理、组织实施方面的情况；“产出”30分，主要体现项目产出数量、产出质量、产出时效和产出成本；“效益”32分，主要体现项目社会效益、经济效益、可持续影响和服务对象满意度等。基于第三方独立评价的特点和要求，指标设置和评分标准力求可行性、客观性、科学性与简明性。指标体系和评分标准详见附表。</w:t>
      </w:r>
    </w:p>
    <w:p w14:paraId="4FAC28B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3.绩效评价方法的选用</w:t>
      </w:r>
    </w:p>
    <w:p w14:paraId="1AA2D9C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根据财政部《项目支出绩效评价管理办法》（财预〔2020〕10号）规定的绩效评价方法，石狮市2024年省级示范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创建专项资金绩效评价主要采用成本效益分析法、比较法、公众评判法等。</w:t>
      </w:r>
    </w:p>
    <w:p w14:paraId="7489BDA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成本效益分析法。指将投入与产出、效益进行关联性分析的方法。工作组将通过对项目资金的预算执行情况、项目管理、审计等相关资料进行比较分析，对资金投入与产出、效益进行关联性分析，进而评价资金绩效目标的实现程度。</w:t>
      </w:r>
    </w:p>
    <w:p w14:paraId="633E5E87">
      <w:pPr>
        <w:spacing w:line="360" w:lineRule="auto"/>
        <w:ind w:firstLine="480" w:firstLineChars="200"/>
        <w:rPr>
          <w:rFonts w:hint="default" w:ascii="仿宋_GB2312" w:hAnsi="Times New Roman" w:eastAsia="仿宋_GB2312" w:cs="Times New Roman"/>
          <w:sz w:val="24"/>
          <w:lang w:val="en-US" w:eastAsia="zh-CN"/>
        </w:rPr>
      </w:pPr>
      <w:r>
        <w:rPr>
          <w:rFonts w:hint="eastAsia" w:ascii="仿宋_GB2312" w:hAnsi="Times New Roman" w:eastAsia="仿宋_GB2312" w:cs="Times New Roman"/>
          <w:sz w:val="24"/>
          <w:lang w:val="zh-CN"/>
        </w:rPr>
        <w:t>（2）比较法。指通过实际支出、实施效果等与绩效目标的比较，综合分析绩效目标实现程度。该项目绩效评价主要将</w:t>
      </w:r>
      <w:r>
        <w:rPr>
          <w:rFonts w:hint="eastAsia" w:ascii="仿宋_GB2312" w:hAnsi="Times New Roman" w:eastAsia="仿宋_GB2312" w:cs="Times New Roman"/>
          <w:sz w:val="24"/>
          <w:lang w:val="en-US" w:eastAsia="zh-CN"/>
        </w:rPr>
        <w:t>实施项目建设前后</w:t>
      </w:r>
      <w:r>
        <w:rPr>
          <w:rFonts w:hint="eastAsia" w:ascii="仿宋_GB2312" w:hAnsi="Times New Roman" w:eastAsia="仿宋_GB2312" w:cs="Times New Roman"/>
          <w:sz w:val="24"/>
          <w:lang w:val="zh-CN"/>
        </w:rPr>
        <w:t>的情况进行对比，综合分析绩效目标实现程度。</w:t>
      </w:r>
    </w:p>
    <w:p w14:paraId="6ABD425F">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（3）公众评判法：通过对受益对象进行问卷及抽样调查等方式，广泛收集公众对财政支出效果的评价意见，以此评价绩效目标实现程度。</w:t>
      </w:r>
    </w:p>
    <w:p w14:paraId="79A834D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4.评价标准</w:t>
      </w:r>
    </w:p>
    <w:p w14:paraId="44FFFF63">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专项资金绩效评价标准是衡量专项资金绩效目标完成程度的尺度。依据财政部制定的《项目支出绩效评价管理办法》（财预〔2020〕10号）、福建省财政厅制定的《福建省财政支出绩效评价管理办法》（闽财绩〔2015〕4号）文件精神，绩效评价标准有以下4种：</w:t>
      </w:r>
    </w:p>
    <w:p w14:paraId="2BF5465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（1）计划标准。是指以预先制定的目标、计划、预算、定额等数据作为评价的标准。</w:t>
      </w:r>
    </w:p>
    <w:p w14:paraId="7B994FF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（2）行业标准。是指参照国家公布的行业指标数据制定的评价标准。</w:t>
      </w:r>
    </w:p>
    <w:p w14:paraId="439DFCC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（3）历史标准。是指参照同类指标的历史数据制定的评价标准。</w:t>
      </w:r>
    </w:p>
    <w:p w14:paraId="1EF6C80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（4）其他经财政部门确认的标准。</w:t>
      </w:r>
    </w:p>
    <w:p w14:paraId="7C65037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工作组根据石狮市2024年省级示范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创建专项资金项目实施的实际情况，主要是参照计划标准和行业标准，对于事先已制定了相应目标、计划、预算的指标，采用计划标准进行评价，将实际情况与计划情况相比较。</w:t>
      </w:r>
    </w:p>
    <w:p w14:paraId="4A43ED23">
      <w:pPr>
        <w:spacing w:line="360" w:lineRule="auto"/>
        <w:ind w:firstLine="482" w:firstLineChars="200"/>
        <w:outlineLvl w:val="1"/>
        <w:rPr>
          <w:rFonts w:hint="eastAsia" w:ascii="仿宋_GB2312" w:hAnsi="Times New Roman" w:eastAsia="仿宋_GB2312" w:cs="Times New Roman"/>
          <w:b/>
          <w:bCs/>
          <w:sz w:val="24"/>
          <w:lang w:val="zh-CN"/>
        </w:rPr>
      </w:pPr>
      <w:bookmarkStart w:id="70" w:name="_Toc184981302"/>
      <w:bookmarkStart w:id="71" w:name="_Toc184981064"/>
      <w:bookmarkStart w:id="72" w:name="_Toc20982"/>
      <w:r>
        <w:rPr>
          <w:rFonts w:hint="eastAsia" w:ascii="仿宋_GB2312" w:hAnsi="Times New Roman" w:eastAsia="仿宋_GB2312" w:cs="Times New Roman"/>
          <w:b/>
          <w:bCs/>
          <w:sz w:val="24"/>
          <w:lang w:val="zh-CN"/>
        </w:rPr>
        <w:t>（三）绩效评价工作过程</w:t>
      </w:r>
      <w:bookmarkEnd w:id="70"/>
      <w:bookmarkEnd w:id="71"/>
      <w:bookmarkEnd w:id="72"/>
    </w:p>
    <w:p w14:paraId="2AED350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根据《项目支出绩效评价管理办法》（财预〔2020〕10号）要求，为开展石狮市2024年省级示范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创建专项资金绩效评价，成立专项评价工作组，制定工作实施方案。</w:t>
      </w:r>
    </w:p>
    <w:p w14:paraId="6917204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第一阶段，评价工作组应通过对项目资料进行初步收集整理，形成调研及初步拟定绩效评价指标的思路。</w:t>
      </w:r>
    </w:p>
    <w:p w14:paraId="373F525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第二阶段，工作组开展实地调研，与相关工作人员进行座谈，查阅相关的档案、资料，深入了解项目建设及资金使用情况等。工作组拟定项目绩效评价指标体系，</w:t>
      </w:r>
      <w:r>
        <w:rPr>
          <w:rFonts w:hint="eastAsia" w:ascii="仿宋_GB2312" w:hAnsi="Times New Roman" w:eastAsia="仿宋_GB2312" w:cs="Times New Roman"/>
          <w:sz w:val="24"/>
          <w:highlight w:val="none"/>
          <w:lang w:val="zh-CN"/>
        </w:rPr>
        <w:t>与石狮市财政局相关科室商讨指标体系，</w:t>
      </w:r>
      <w:r>
        <w:rPr>
          <w:rFonts w:hint="eastAsia" w:ascii="仿宋_GB2312" w:hAnsi="Times New Roman" w:eastAsia="仿宋_GB2312" w:cs="Times New Roman"/>
          <w:sz w:val="24"/>
          <w:lang w:val="zh-CN"/>
        </w:rPr>
        <w:t>根据反馈意见，修订绩效评价指标体系；根据评价需要补充新的数据资料。</w:t>
      </w:r>
    </w:p>
    <w:p w14:paraId="13468CB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第三阶段，工作组全面分析并撰写报告初稿。根据已确定的指标体系，对省级示范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创建资金的使用情况、使用效益和服务对象满意度进行全面分析，完成绩效评价报告初稿。初稿应征询石狮市财政局、石狮市农业农村局的意见，及时根据反馈意见进行修改并完成报告终稿。</w:t>
      </w:r>
    </w:p>
    <w:p w14:paraId="39790F3D">
      <w:pPr>
        <w:spacing w:line="360" w:lineRule="auto"/>
        <w:ind w:firstLine="480" w:firstLineChars="200"/>
        <w:rPr>
          <w:rFonts w:hint="eastAsia" w:ascii="仿宋_GB2312" w:hAnsi="Times New Roman" w:eastAsia="仿宋_GB2312" w:cs="Times New Roman"/>
          <w:sz w:val="24"/>
          <w:lang w:val="zh-CN"/>
        </w:rPr>
      </w:pPr>
    </w:p>
    <w:p w14:paraId="1490989B">
      <w:pPr>
        <w:spacing w:line="360" w:lineRule="auto"/>
        <w:ind w:firstLine="562" w:firstLineChars="200"/>
        <w:outlineLvl w:val="0"/>
        <w:rPr>
          <w:rFonts w:hint="eastAsia" w:ascii="仿宋" w:hAnsi="仿宋" w:eastAsia="仿宋" w:cs="仿宋"/>
          <w:b/>
          <w:bCs/>
          <w:sz w:val="28"/>
          <w:szCs w:val="28"/>
          <w:lang w:val="zh-CN"/>
        </w:rPr>
      </w:pPr>
      <w:bookmarkStart w:id="73" w:name="_Toc205852123"/>
      <w:bookmarkStart w:id="74" w:name="_Toc184981303"/>
      <w:bookmarkStart w:id="75" w:name="_Toc895"/>
      <w:bookmarkStart w:id="76" w:name="_Toc11043"/>
      <w:bookmarkStart w:id="77" w:name="_Toc28167"/>
      <w:bookmarkStart w:id="78" w:name="_Toc184981065"/>
      <w:bookmarkStart w:id="79" w:name="_Toc23750"/>
      <w:r>
        <w:rPr>
          <w:rFonts w:hint="eastAsia" w:ascii="仿宋" w:hAnsi="仿宋" w:eastAsia="仿宋" w:cs="仿宋"/>
          <w:b/>
          <w:bCs/>
          <w:sz w:val="28"/>
          <w:szCs w:val="28"/>
          <w:lang w:val="zh-CN"/>
        </w:rPr>
        <w:t>三、综合评价情况及评价结论</w:t>
      </w:r>
      <w:bookmarkEnd w:id="73"/>
      <w:bookmarkEnd w:id="74"/>
      <w:bookmarkEnd w:id="75"/>
      <w:bookmarkEnd w:id="76"/>
      <w:bookmarkEnd w:id="77"/>
      <w:bookmarkEnd w:id="78"/>
      <w:bookmarkEnd w:id="79"/>
    </w:p>
    <w:p w14:paraId="0A3B232A">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石狮市2024年省级示范村创建项目在提升乡村产业质量，农村人居环境，乡村治理方面取得了积极成效，但在预算编制、前期调研、事中监管等方面存在不足。经过工作组的审慎和科学评估，该项目总得分</w:t>
      </w:r>
      <w:r>
        <w:rPr>
          <w:rFonts w:hint="eastAsia" w:ascii="仿宋_GB2312" w:hAnsi="Times New Roman" w:eastAsia="仿宋_GB2312" w:cs="Times New Roman"/>
          <w:sz w:val="24"/>
          <w:lang w:val="en-US" w:eastAsia="zh-CN"/>
        </w:rPr>
        <w:t>85.32</w:t>
      </w:r>
      <w:r>
        <w:rPr>
          <w:rFonts w:hint="eastAsia" w:ascii="仿宋_GB2312" w:hAnsi="Times New Roman" w:eastAsia="仿宋_GB2312" w:cs="Times New Roman"/>
          <w:sz w:val="24"/>
          <w:lang w:val="zh-CN"/>
        </w:rPr>
        <w:t>分，评价等级结果为</w:t>
      </w:r>
      <w:r>
        <w:rPr>
          <w:rFonts w:hint="eastAsia" w:ascii="仿宋_GB2312" w:hAnsi="Times New Roman" w:eastAsia="仿宋_GB2312" w:cs="Times New Roman"/>
          <w:color w:val="auto"/>
          <w:sz w:val="24"/>
          <w:lang w:val="en-US" w:eastAsia="zh-CN"/>
        </w:rPr>
        <w:t>良</w:t>
      </w:r>
      <w:r>
        <w:rPr>
          <w:rFonts w:hint="eastAsia" w:ascii="仿宋_GB2312" w:hAnsi="Times New Roman" w:eastAsia="仿宋_GB2312" w:cs="Times New Roman"/>
          <w:sz w:val="24"/>
          <w:lang w:val="zh-CN"/>
        </w:rPr>
        <w:t>，分指标分析详见第四部分。</w:t>
      </w:r>
    </w:p>
    <w:p w14:paraId="0021E103">
      <w:pPr>
        <w:spacing w:line="360" w:lineRule="auto"/>
        <w:ind w:firstLine="480" w:firstLineChars="200"/>
        <w:rPr>
          <w:rFonts w:hint="eastAsia" w:ascii="仿宋_GB2312" w:hAnsi="Times New Roman" w:eastAsia="仿宋_GB2312" w:cs="Times New Roman"/>
          <w:sz w:val="24"/>
          <w:lang w:val="zh-CN"/>
        </w:rPr>
      </w:pPr>
    </w:p>
    <w:p w14:paraId="19C0C638">
      <w:pPr>
        <w:spacing w:line="360" w:lineRule="auto"/>
        <w:ind w:firstLine="562" w:firstLineChars="200"/>
        <w:outlineLvl w:val="0"/>
        <w:rPr>
          <w:rFonts w:hint="eastAsia" w:ascii="仿宋" w:hAnsi="仿宋" w:eastAsia="仿宋" w:cs="仿宋"/>
          <w:b/>
          <w:bCs/>
          <w:sz w:val="28"/>
          <w:szCs w:val="28"/>
          <w:lang w:val="zh-CN"/>
        </w:rPr>
      </w:pPr>
      <w:bookmarkStart w:id="80" w:name="_Toc28182"/>
      <w:bookmarkStart w:id="81" w:name="_Toc184981304"/>
      <w:bookmarkStart w:id="82" w:name="_Toc12393"/>
      <w:bookmarkStart w:id="83" w:name="_Toc16319"/>
      <w:bookmarkStart w:id="84" w:name="_Toc184981066"/>
      <w:bookmarkStart w:id="85" w:name="_Toc205852124"/>
      <w:bookmarkStart w:id="86" w:name="_Toc16626"/>
      <w:r>
        <w:rPr>
          <w:rFonts w:hint="eastAsia" w:ascii="仿宋" w:hAnsi="仿宋" w:eastAsia="仿宋" w:cs="仿宋"/>
          <w:b/>
          <w:bCs/>
          <w:sz w:val="28"/>
          <w:szCs w:val="28"/>
          <w:lang w:val="zh-CN"/>
        </w:rPr>
        <w:t>四、绩效评价指标分析</w:t>
      </w:r>
      <w:bookmarkEnd w:id="80"/>
      <w:bookmarkEnd w:id="81"/>
      <w:bookmarkEnd w:id="82"/>
      <w:bookmarkEnd w:id="83"/>
      <w:bookmarkEnd w:id="84"/>
      <w:bookmarkEnd w:id="85"/>
      <w:bookmarkEnd w:id="86"/>
    </w:p>
    <w:p w14:paraId="13812285">
      <w:pPr>
        <w:spacing w:line="360" w:lineRule="auto"/>
        <w:ind w:firstLine="482" w:firstLineChars="200"/>
        <w:outlineLvl w:val="1"/>
        <w:rPr>
          <w:rFonts w:ascii="仿宋_GB2312" w:hAnsi="Times New Roman" w:eastAsia="仿宋_GB2312" w:cs="Times New Roman"/>
          <w:b/>
          <w:bCs/>
          <w:sz w:val="24"/>
        </w:rPr>
      </w:pPr>
      <w:bookmarkStart w:id="87" w:name="_Toc184981067"/>
      <w:bookmarkStart w:id="88" w:name="_Toc184981305"/>
      <w:bookmarkStart w:id="89" w:name="_Toc31967"/>
      <w:bookmarkStart w:id="90" w:name="_Toc8775"/>
      <w:bookmarkStart w:id="91" w:name="_Toc205852125"/>
      <w:bookmarkStart w:id="92" w:name="_Toc24166"/>
      <w:bookmarkStart w:id="93" w:name="_Toc1204"/>
      <w:r>
        <w:rPr>
          <w:rFonts w:hint="eastAsia" w:ascii="仿宋_GB2312" w:hAnsi="Times New Roman" w:eastAsia="仿宋_GB2312" w:cs="Times New Roman"/>
          <w:b/>
          <w:bCs/>
          <w:sz w:val="24"/>
        </w:rPr>
        <w:t>（一）项目决策情况</w:t>
      </w:r>
      <w:bookmarkEnd w:id="87"/>
      <w:bookmarkEnd w:id="88"/>
      <w:r>
        <w:rPr>
          <w:rFonts w:hint="eastAsia" w:ascii="仿宋_GB2312" w:hAnsi="Times New Roman" w:eastAsia="仿宋_GB2312" w:cs="Times New Roman"/>
          <w:b/>
          <w:bCs/>
          <w:sz w:val="24"/>
        </w:rPr>
        <w:t>（分值20分，得分1</w:t>
      </w:r>
      <w:r>
        <w:rPr>
          <w:rFonts w:hint="eastAsia" w:ascii="仿宋_GB2312" w:hAnsi="Times New Roman" w:eastAsia="仿宋_GB2312" w:cs="Times New Roman"/>
          <w:b/>
          <w:bCs/>
          <w:sz w:val="24"/>
          <w:lang w:val="en-US" w:eastAsia="zh-CN"/>
        </w:rPr>
        <w:t>9</w:t>
      </w:r>
      <w:r>
        <w:rPr>
          <w:rFonts w:hint="eastAsia" w:ascii="仿宋_GB2312" w:hAnsi="Times New Roman" w:eastAsia="仿宋_GB2312" w:cs="Times New Roman"/>
          <w:b/>
          <w:bCs/>
          <w:sz w:val="24"/>
        </w:rPr>
        <w:t>分）</w:t>
      </w:r>
      <w:bookmarkEnd w:id="89"/>
      <w:bookmarkEnd w:id="90"/>
      <w:bookmarkEnd w:id="91"/>
      <w:bookmarkEnd w:id="92"/>
      <w:bookmarkEnd w:id="93"/>
    </w:p>
    <w:p w14:paraId="5C16096D">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1.项目立项（</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5分，得分5分）</w:t>
      </w:r>
    </w:p>
    <w:p w14:paraId="547494E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（1）立项依据充分性（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2分，得分2分）</w:t>
      </w:r>
    </w:p>
    <w:p w14:paraId="1780665D">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“立项依据充分性”方面，石狮市2024年省级示范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项目立项符合乡村振兴发展战略；符合《中华人民共和国国民经济和社会发展第十四个五年规划和2035年远景目标纲要》，坚持农业农村优先发展，全面推进乡村振兴，加快农业农村现代化要求。石狮市农业农村局主要职责包含统筹推动发展农村社会事业、农村公共服务、农村文化、农村基础设施和乡村治理；承担市扶贫开发领导小组的日常工作等。项目资金遵循县域统筹、保障重点原则，聚焦农村基础设施、公共服务、产业融合等领域，符合公共财政支持范围。在项目立项上，项目符合国家法律法规、国民经济发展规划和相关政策；符合行业发展规划和政策要求；与农业农村局部门职责范围相符，属于部门履职所需；</w:t>
      </w:r>
      <w:r>
        <w:rPr>
          <w:rFonts w:hint="eastAsia" w:ascii="仿宋_GB2312" w:hAnsi="Times New Roman" w:eastAsia="仿宋_GB2312" w:cs="Times New Roman"/>
          <w:sz w:val="24"/>
        </w:rPr>
        <w:t>项目</w:t>
      </w:r>
      <w:r>
        <w:rPr>
          <w:rFonts w:hint="eastAsia" w:ascii="仿宋_GB2312" w:hAnsi="Times New Roman" w:eastAsia="仿宋_GB2312" w:cs="Times New Roman"/>
          <w:sz w:val="24"/>
          <w:lang w:val="zh-CN"/>
        </w:rPr>
        <w:t>属于公共财政支持范围，符合中央、地方事权支出责任划分原则；未</w:t>
      </w:r>
      <w:r>
        <w:rPr>
          <w:rFonts w:hint="eastAsia" w:ascii="仿宋_GB2312" w:hAnsi="Times New Roman" w:eastAsia="仿宋_GB2312" w:cs="Times New Roman"/>
          <w:sz w:val="24"/>
        </w:rPr>
        <w:t>发现</w:t>
      </w:r>
      <w:r>
        <w:rPr>
          <w:rFonts w:hint="eastAsia" w:ascii="仿宋_GB2312" w:hAnsi="Times New Roman" w:eastAsia="仿宋_GB2312" w:cs="Times New Roman"/>
          <w:sz w:val="24"/>
          <w:lang w:val="zh-CN"/>
        </w:rPr>
        <w:t>与相关部门同类项目或部门内部相关项目重复。综上所述，该项指标可得满分2分。</w:t>
      </w:r>
    </w:p>
    <w:p w14:paraId="33E3C37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（2）立项程序规范性（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3分，得分3分）</w:t>
      </w:r>
    </w:p>
    <w:p w14:paraId="43CEA996">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zh-CN"/>
        </w:rPr>
        <w:t>项目响应《中共福建省委扶贫开发成果巩固与乡村振兴工作领导小组关于开展“千村示范引领、万村共富共美”工程走具有福建特色乡村振兴之路的实施意见》(闽委振兴组〔2023〕4号)、《福建省乡村振兴示范创建资金管理办法》（闽委振兴办〔2024〕4号）等文件精神，支持乡村振兴示范乡镇、示范村创建。根据</w:t>
      </w:r>
      <w:r>
        <w:rPr>
          <w:rFonts w:ascii="仿宋_GB2312" w:hAnsi="Times New Roman" w:eastAsia="仿宋_GB2312" w:cs="Times New Roman"/>
          <w:sz w:val="24"/>
        </w:rPr>
        <w:t>市农业农村局</w:t>
      </w:r>
      <w:r>
        <w:rPr>
          <w:rFonts w:hint="eastAsia" w:ascii="仿宋_GB2312" w:hAnsi="Times New Roman" w:eastAsia="仿宋_GB2312" w:cs="Times New Roman"/>
          <w:sz w:val="24"/>
          <w:lang w:val="zh-CN"/>
        </w:rPr>
        <w:t>（党组会）议题申报表可得知项目立项程序：石狮市第一批省级乡村振兴示范村创建对象从2024年市级乡村振兴项目储备库中择优选择项目申报，经镇级审核通过，由市委乡村振兴办提出拟实施项目，征求市有关单位意见后，会同市财政局提出2024年示范创建资金分配方案。根据有关文件要求，拟实施项目和2024年示范创建资金分配方案计划提请市委扶贫开发成果巩固与乡村振兴工作领导小组审批。2024年7月30日中共石狮市委扶贫开发成果巩固与乡村振兴工作领导小组公布第一批省级乡村振兴示范村创建对象实施项目及2024年示范创建资金分配方案的通知，该项目事前经过集体决策。综上所述，该项指标得满分3分。</w:t>
      </w:r>
    </w:p>
    <w:p w14:paraId="6A4CB4E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2.绩效目标（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7分，得分</w:t>
      </w:r>
      <w:r>
        <w:rPr>
          <w:rFonts w:hint="eastAsia" w:ascii="仿宋_GB2312" w:hAnsi="Times New Roman" w:eastAsia="仿宋_GB2312" w:cs="Times New Roman"/>
          <w:sz w:val="24"/>
          <w:lang w:val="en-US" w:eastAsia="zh-CN"/>
        </w:rPr>
        <w:t>6</w:t>
      </w:r>
      <w:r>
        <w:rPr>
          <w:rFonts w:hint="eastAsia" w:ascii="仿宋_GB2312" w:hAnsi="Times New Roman" w:eastAsia="仿宋_GB2312" w:cs="Times New Roman"/>
          <w:sz w:val="24"/>
          <w:lang w:val="zh-CN"/>
        </w:rPr>
        <w:t>分）</w:t>
      </w:r>
    </w:p>
    <w:p w14:paraId="1BC52B2F">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（1）绩效目标合理性（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分）</w:t>
      </w:r>
    </w:p>
    <w:p w14:paraId="76166A0F">
      <w:pPr>
        <w:spacing w:line="360" w:lineRule="auto"/>
        <w:ind w:firstLine="480" w:firstLineChars="200"/>
        <w:rPr>
          <w:rFonts w:hint="eastAsia" w:ascii="仿宋_GB2312" w:hAnsi="Times New Roman" w:eastAsia="仿宋_GB2312" w:cs="Times New Roman"/>
          <w:sz w:val="24"/>
          <w:lang w:val="zh-CN"/>
        </w:rPr>
      </w:pPr>
      <w:r>
        <w:rPr>
          <w:rFonts w:hint="eastAsia" w:ascii="仿宋_GB2312" w:hAnsi="Times New Roman" w:eastAsia="仿宋_GB2312" w:cs="Times New Roman"/>
          <w:sz w:val="24"/>
          <w:lang w:val="zh-CN"/>
        </w:rPr>
        <w:t>“绩效目标合理性”评价项目绩效目标的设</w:t>
      </w:r>
      <w:r>
        <w:rPr>
          <w:rFonts w:hint="eastAsia" w:ascii="仿宋_GB2312" w:hAnsi="Times New Roman" w:eastAsia="仿宋_GB2312" w:cs="Times New Roman"/>
          <w:sz w:val="24"/>
          <w:lang w:val="zh-CN" w:eastAsia="zh-CN"/>
        </w:rPr>
        <w:t>置情况。根据石狮市</w:t>
      </w:r>
      <w:r>
        <w:rPr>
          <w:rFonts w:hint="eastAsia" w:ascii="仿宋_GB2312" w:hAnsi="Times New Roman" w:eastAsia="仿宋_GB2312" w:cs="Times New Roman"/>
          <w:sz w:val="24"/>
          <w:lang w:val="en-US" w:eastAsia="zh-CN"/>
        </w:rPr>
        <w:t>农业农村局所提供的2024年该项目的</w:t>
      </w:r>
      <w:r>
        <w:rPr>
          <w:rFonts w:hint="eastAsia" w:ascii="仿宋_GB2312" w:hAnsi="Times New Roman" w:eastAsia="仿宋_GB2312" w:cs="Times New Roman"/>
          <w:sz w:val="24"/>
          <w:lang w:val="zh-CN" w:eastAsia="zh-CN"/>
        </w:rPr>
        <w:t>专项资金绩效目标申报表，</w:t>
      </w:r>
      <w:r>
        <w:rPr>
          <w:rFonts w:hint="eastAsia" w:ascii="仿宋_GB2312" w:hAnsi="Times New Roman" w:eastAsia="仿宋_GB2312" w:cs="Times New Roman"/>
          <w:sz w:val="24"/>
          <w:lang w:val="en-US" w:eastAsia="zh-CN"/>
        </w:rPr>
        <w:t>对同样用于示范乡镇、示范村创建对象的三笔资金，包括福建省第一批乡村振兴示范创建省级补助资金、省级财政衔接推进乡村振兴补助资金（示范创建）和省级示范村泉州市级配套资金，虽然都</w:t>
      </w:r>
      <w:r>
        <w:rPr>
          <w:rFonts w:hint="eastAsia" w:ascii="仿宋_GB2312" w:hAnsi="Times New Roman" w:eastAsia="仿宋_GB2312" w:cs="Times New Roman"/>
          <w:sz w:val="24"/>
          <w:lang w:val="zh-CN"/>
        </w:rPr>
        <w:t>设置了7个三级指标</w:t>
      </w:r>
      <w:r>
        <w:rPr>
          <w:rFonts w:hint="eastAsia" w:ascii="仿宋_GB2312" w:hAnsi="Times New Roman" w:eastAsia="仿宋_GB2312" w:cs="Times New Roman"/>
          <w:sz w:val="24"/>
          <w:lang w:val="zh-CN" w:eastAsia="zh-CN"/>
        </w:rPr>
        <w:t>（如表</w:t>
      </w:r>
      <w:r>
        <w:rPr>
          <w:rFonts w:hint="eastAsia" w:ascii="仿宋_GB2312" w:hAnsi="Times New Roman" w:eastAsia="仿宋_GB2312" w:cs="Times New Roman"/>
          <w:sz w:val="24"/>
          <w:lang w:val="en-US" w:eastAsia="zh-CN"/>
        </w:rPr>
        <w:t>2</w:t>
      </w:r>
      <w:r>
        <w:rPr>
          <w:rFonts w:hint="eastAsia" w:ascii="仿宋_GB2312" w:hAnsi="Times New Roman" w:eastAsia="仿宋_GB2312" w:cs="Times New Roman"/>
          <w:sz w:val="24"/>
          <w:lang w:val="zh-CN" w:eastAsia="zh-CN"/>
        </w:rPr>
        <w:t>所示）</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lang w:val="en-US" w:eastAsia="zh-CN"/>
        </w:rPr>
        <w:t>但指标和目标值都存在显著差异。部分</w:t>
      </w:r>
      <w:r>
        <w:rPr>
          <w:rFonts w:hint="eastAsia" w:ascii="仿宋_GB2312" w:hAnsi="Times New Roman" w:eastAsia="仿宋_GB2312" w:cs="Times New Roman"/>
          <w:sz w:val="24"/>
          <w:lang w:val="zh-CN"/>
        </w:rPr>
        <w:t>指标的设计不符合《项目支出绩效评价管理办法》（财预〔2020〕10号）要求，</w:t>
      </w:r>
      <w:r>
        <w:rPr>
          <w:rFonts w:hint="eastAsia" w:ascii="仿宋_GB2312" w:hAnsi="Times New Roman" w:eastAsia="仿宋_GB2312" w:cs="Times New Roman"/>
          <w:sz w:val="24"/>
          <w:lang w:val="en-US" w:eastAsia="zh-CN"/>
        </w:rPr>
        <w:t>如“成本指标”使用“资金拨付率”或</w:t>
      </w:r>
      <w:r>
        <w:rPr>
          <w:rFonts w:hint="eastAsia" w:ascii="仿宋_GB2312" w:hAnsi="Times New Roman" w:eastAsia="仿宋_GB2312" w:cs="Times New Roman"/>
          <w:sz w:val="24"/>
          <w:lang w:val="zh-CN"/>
        </w:rPr>
        <w:t>“泉州市级财政配套资金”</w:t>
      </w:r>
      <w:r>
        <w:rPr>
          <w:rFonts w:hint="eastAsia" w:ascii="仿宋_GB2312" w:hAnsi="Times New Roman" w:eastAsia="仿宋_GB2312" w:cs="Times New Roman"/>
          <w:sz w:val="24"/>
          <w:lang w:val="en-US" w:eastAsia="zh-CN"/>
        </w:rPr>
        <w:t>并不恰当，</w:t>
      </w:r>
      <w:r>
        <w:rPr>
          <w:rFonts w:hint="eastAsia" w:ascii="仿宋_GB2312" w:hAnsi="Times New Roman" w:eastAsia="仿宋_GB2312" w:cs="Times New Roman"/>
          <w:sz w:val="24"/>
          <w:lang w:val="zh-CN"/>
        </w:rPr>
        <w:t>无法反映“成本指标”考核的初衷和目的</w:t>
      </w:r>
      <w:r>
        <w:rPr>
          <w:rFonts w:hint="eastAsia" w:ascii="仿宋_GB2312" w:hAnsi="Times New Roman" w:eastAsia="仿宋_GB2312" w:cs="Times New Roman"/>
          <w:sz w:val="24"/>
          <w:lang w:val="en-US" w:eastAsia="zh-CN"/>
        </w:rPr>
        <w:t>；同一张绩效目标表中出现指标的雷同性问题，如“数量指标”的“平均</w:t>
      </w:r>
      <w:r>
        <w:rPr>
          <w:rFonts w:hint="eastAsia" w:ascii="仿宋_GB2312" w:hAnsi="Times New Roman" w:eastAsia="仿宋_GB2312" w:cs="Times New Roman"/>
          <w:sz w:val="24"/>
          <w:lang w:val="zh-CN"/>
        </w:rPr>
        <w:t>每村培育</w:t>
      </w:r>
      <w:r>
        <w:rPr>
          <w:rFonts w:hint="eastAsia" w:ascii="仿宋_GB2312" w:hAnsi="Times New Roman" w:eastAsia="仿宋_GB2312" w:cs="Times New Roman"/>
          <w:sz w:val="24"/>
          <w:lang w:val="en-US" w:eastAsia="zh-CN"/>
        </w:rPr>
        <w:t>项目</w:t>
      </w:r>
      <w:r>
        <w:rPr>
          <w:rFonts w:hint="eastAsia" w:ascii="仿宋_GB2312" w:hAnsi="Times New Roman" w:eastAsia="仿宋_GB2312" w:cs="Times New Roman"/>
          <w:sz w:val="24"/>
          <w:lang w:val="zh-CN"/>
        </w:rPr>
        <w:t>数</w:t>
      </w:r>
      <w:r>
        <w:rPr>
          <w:rFonts w:hint="eastAsia" w:ascii="仿宋_GB2312" w:hAnsi="Times New Roman" w:eastAsia="仿宋_GB2312" w:cs="Times New Roman"/>
          <w:sz w:val="24"/>
          <w:lang w:val="en-US" w:eastAsia="zh-CN"/>
        </w:rPr>
        <w:t>”和</w:t>
      </w:r>
      <w:r>
        <w:rPr>
          <w:rFonts w:hint="eastAsia" w:ascii="仿宋_GB2312" w:hAnsi="Times New Roman" w:eastAsia="仿宋_GB2312" w:cs="Times New Roman"/>
          <w:sz w:val="24"/>
          <w:lang w:val="zh-CN"/>
        </w:rPr>
        <w:t>“经济效益指标”的“平均每村培育典型数”</w:t>
      </w:r>
      <w:r>
        <w:rPr>
          <w:rFonts w:hint="eastAsia" w:ascii="仿宋_GB2312" w:hAnsi="Times New Roman" w:eastAsia="仿宋_GB2312" w:cs="Times New Roman"/>
          <w:sz w:val="24"/>
          <w:lang w:val="en-US" w:eastAsia="zh-CN"/>
        </w:rPr>
        <w:t>所设置的目标值相同</w:t>
      </w:r>
      <w:r>
        <w:rPr>
          <w:rFonts w:hint="eastAsia" w:ascii="仿宋_GB2312" w:hAnsi="Times New Roman" w:eastAsia="仿宋_GB2312" w:cs="Times New Roman"/>
          <w:sz w:val="24"/>
          <w:lang w:val="zh-CN"/>
        </w:rPr>
        <w:t>。</w:t>
      </w:r>
      <w:bookmarkStart w:id="94" w:name="_Hlk204351863"/>
      <w:r>
        <w:rPr>
          <w:rFonts w:hint="eastAsia" w:ascii="仿宋_GB2312" w:hAnsi="Times New Roman" w:eastAsia="仿宋_GB2312" w:cs="Times New Roman"/>
          <w:sz w:val="24"/>
          <w:lang w:val="zh-CN"/>
        </w:rPr>
        <w:t>综上所述，</w:t>
      </w:r>
      <w:bookmarkEnd w:id="94"/>
      <w:r>
        <w:rPr>
          <w:rFonts w:hint="eastAsia" w:ascii="仿宋_GB2312" w:hAnsi="Times New Roman" w:eastAsia="仿宋_GB2312" w:cs="Times New Roman"/>
          <w:sz w:val="24"/>
          <w:lang w:val="zh-CN"/>
        </w:rPr>
        <w:t>该指标扣</w:t>
      </w:r>
      <w:r>
        <w:rPr>
          <w:rFonts w:hint="eastAsia" w:ascii="仿宋_GB2312" w:hAnsi="Times New Roman" w:eastAsia="仿宋_GB2312" w:cs="Times New Roman"/>
          <w:sz w:val="24"/>
          <w:lang w:val="en-US" w:eastAsia="zh-CN"/>
        </w:rPr>
        <w:t>1</w:t>
      </w:r>
      <w:r>
        <w:rPr>
          <w:rFonts w:hint="eastAsia" w:ascii="仿宋_GB2312" w:hAnsi="Times New Roman" w:eastAsia="仿宋_GB2312" w:cs="Times New Roman"/>
          <w:sz w:val="24"/>
          <w:lang w:val="zh-CN"/>
        </w:rPr>
        <w:t>分，得</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分。</w:t>
      </w:r>
    </w:p>
    <w:p w14:paraId="11067292">
      <w:pPr>
        <w:spacing w:line="360" w:lineRule="auto"/>
        <w:ind w:firstLine="482" w:firstLineChars="200"/>
        <w:jc w:val="center"/>
        <w:rPr>
          <w:rFonts w:hint="eastAsia" w:ascii="仿宋_GB2312" w:hAnsi="Times New Roman" w:eastAsia="仿宋_GB2312" w:cs="Times New Roman"/>
          <w:b/>
          <w:bCs/>
          <w:sz w:val="24"/>
          <w:lang w:val="zh-CN"/>
        </w:rPr>
      </w:pPr>
      <w:r>
        <w:rPr>
          <w:rFonts w:hint="eastAsia" w:ascii="仿宋_GB2312" w:hAnsi="Times New Roman" w:eastAsia="仿宋_GB2312" w:cs="Times New Roman"/>
          <w:b/>
          <w:bCs/>
          <w:kern w:val="2"/>
          <w:sz w:val="24"/>
          <w:szCs w:val="24"/>
          <w:lang w:val="zh-CN" w:eastAsia="zh-CN" w:bidi="ar-SA"/>
        </w:rPr>
        <w:t>表</w:t>
      </w:r>
      <w:r>
        <w:rPr>
          <w:rFonts w:hint="eastAsia" w:ascii="仿宋_GB2312" w:hAnsi="Times New Roman" w:eastAsia="仿宋_GB2312" w:cs="Times New Roman"/>
          <w:b/>
          <w:bCs/>
          <w:kern w:val="2"/>
          <w:sz w:val="24"/>
          <w:szCs w:val="24"/>
          <w:lang w:val="en-US" w:eastAsia="zh-CN" w:bidi="ar-SA"/>
        </w:rPr>
        <w:t xml:space="preserve">2  </w:t>
      </w:r>
      <w:r>
        <w:rPr>
          <w:rFonts w:hint="eastAsia" w:ascii="仿宋_GB2312" w:hAnsi="Times New Roman" w:eastAsia="仿宋_GB2312" w:cs="Times New Roman"/>
          <w:b/>
          <w:bCs/>
          <w:sz w:val="24"/>
          <w:lang w:val="zh-CN"/>
        </w:rPr>
        <w:t>石狮市</w:t>
      </w:r>
      <w:r>
        <w:rPr>
          <w:rFonts w:hint="eastAsia" w:ascii="仿宋_GB2312" w:hAnsi="Times New Roman" w:eastAsia="仿宋_GB2312" w:cs="Times New Roman"/>
          <w:b/>
          <w:bCs/>
          <w:sz w:val="24"/>
          <w:lang w:val="en-US" w:eastAsia="zh-CN"/>
        </w:rPr>
        <w:t>2024年乡村振兴示范创建</w:t>
      </w:r>
      <w:r>
        <w:rPr>
          <w:rFonts w:hint="eastAsia" w:ascii="仿宋_GB2312" w:hAnsi="Times New Roman" w:eastAsia="仿宋_GB2312" w:cs="Times New Roman"/>
          <w:b/>
          <w:bCs/>
          <w:sz w:val="24"/>
          <w:lang w:val="zh-CN" w:eastAsia="zh-CN"/>
        </w:rPr>
        <w:t>专项资金绩效目标</w:t>
      </w:r>
      <w:r>
        <w:rPr>
          <w:rFonts w:hint="eastAsia" w:ascii="仿宋_GB2312" w:hAnsi="Times New Roman" w:eastAsia="仿宋_GB2312" w:cs="Times New Roman"/>
          <w:b/>
          <w:bCs/>
          <w:sz w:val="24"/>
          <w:lang w:val="zh-CN"/>
        </w:rPr>
        <w:t>申报表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759"/>
        <w:gridCol w:w="1230"/>
        <w:gridCol w:w="1231"/>
        <w:gridCol w:w="1230"/>
        <w:gridCol w:w="1231"/>
        <w:gridCol w:w="1230"/>
        <w:gridCol w:w="1235"/>
      </w:tblGrid>
      <w:tr w14:paraId="26B08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restart"/>
            <w:vAlign w:val="center"/>
          </w:tcPr>
          <w:p w14:paraId="0AA27F9A">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b/>
                <w:bCs/>
                <w:i w:val="0"/>
                <w:iCs w:val="0"/>
                <w:color w:val="000000"/>
                <w:kern w:val="0"/>
                <w:sz w:val="21"/>
                <w:szCs w:val="21"/>
                <w:u w:val="none"/>
                <w:lang w:val="en-US" w:eastAsia="zh-CN" w:bidi="ar"/>
              </w:rPr>
              <w:t>一级指标</w:t>
            </w:r>
          </w:p>
        </w:tc>
        <w:tc>
          <w:tcPr>
            <w:tcW w:w="759" w:type="dxa"/>
            <w:vMerge w:val="restart"/>
            <w:vAlign w:val="center"/>
          </w:tcPr>
          <w:p w14:paraId="4F625FF5">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二级指标</w:t>
            </w:r>
          </w:p>
        </w:tc>
        <w:tc>
          <w:tcPr>
            <w:tcW w:w="2461" w:type="dxa"/>
            <w:gridSpan w:val="2"/>
            <w:vAlign w:val="center"/>
          </w:tcPr>
          <w:p w14:paraId="449DA9E2">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福建省第一批乡村振兴示范创建省级补助资金</w:t>
            </w:r>
          </w:p>
        </w:tc>
        <w:tc>
          <w:tcPr>
            <w:tcW w:w="2461" w:type="dxa"/>
            <w:gridSpan w:val="2"/>
            <w:vAlign w:val="center"/>
          </w:tcPr>
          <w:p w14:paraId="43367C59">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省级财政衔接推进乡村振兴补助资金（示范创建）</w:t>
            </w:r>
          </w:p>
        </w:tc>
        <w:tc>
          <w:tcPr>
            <w:tcW w:w="2465" w:type="dxa"/>
            <w:gridSpan w:val="2"/>
            <w:vAlign w:val="center"/>
          </w:tcPr>
          <w:p w14:paraId="5B1F78C0">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省级示范村泉州市级配套资金</w:t>
            </w:r>
          </w:p>
        </w:tc>
      </w:tr>
      <w:tr w14:paraId="7E0E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continue"/>
          </w:tcPr>
          <w:p w14:paraId="1EB05A45">
            <w:pPr>
              <w:spacing w:line="360" w:lineRule="auto"/>
              <w:jc w:val="center"/>
              <w:rPr>
                <w:rFonts w:hint="eastAsia" w:ascii="仿宋_GB2312" w:hAnsi="Times New Roman" w:eastAsia="仿宋_GB2312" w:cs="Times New Roman"/>
                <w:b/>
                <w:bCs/>
                <w:sz w:val="24"/>
                <w:vertAlign w:val="baseline"/>
                <w:lang w:val="zh-CN"/>
              </w:rPr>
            </w:pPr>
          </w:p>
        </w:tc>
        <w:tc>
          <w:tcPr>
            <w:tcW w:w="759" w:type="dxa"/>
            <w:vMerge w:val="continue"/>
          </w:tcPr>
          <w:p w14:paraId="6D1FA17D">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p>
        </w:tc>
        <w:tc>
          <w:tcPr>
            <w:tcW w:w="1230" w:type="dxa"/>
            <w:vAlign w:val="center"/>
          </w:tcPr>
          <w:p w14:paraId="27150979">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三级指标</w:t>
            </w:r>
          </w:p>
        </w:tc>
        <w:tc>
          <w:tcPr>
            <w:tcW w:w="1231" w:type="dxa"/>
            <w:vAlign w:val="center"/>
          </w:tcPr>
          <w:p w14:paraId="74BDABA4">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绩效目标值</w:t>
            </w:r>
          </w:p>
        </w:tc>
        <w:tc>
          <w:tcPr>
            <w:tcW w:w="1230" w:type="dxa"/>
            <w:vAlign w:val="center"/>
          </w:tcPr>
          <w:p w14:paraId="61C97F91">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三级指标</w:t>
            </w:r>
          </w:p>
        </w:tc>
        <w:tc>
          <w:tcPr>
            <w:tcW w:w="1231" w:type="dxa"/>
            <w:vAlign w:val="center"/>
          </w:tcPr>
          <w:p w14:paraId="2816EAEA">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绩效目标值</w:t>
            </w:r>
          </w:p>
        </w:tc>
        <w:tc>
          <w:tcPr>
            <w:tcW w:w="1230" w:type="dxa"/>
            <w:vAlign w:val="center"/>
          </w:tcPr>
          <w:p w14:paraId="2945E300">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三级指标</w:t>
            </w:r>
          </w:p>
        </w:tc>
        <w:tc>
          <w:tcPr>
            <w:tcW w:w="1235" w:type="dxa"/>
            <w:vAlign w:val="center"/>
          </w:tcPr>
          <w:p w14:paraId="22AFE638">
            <w:pPr>
              <w:keepNext w:val="0"/>
              <w:keepLines w:val="0"/>
              <w:widowControl/>
              <w:suppressLineNumbers w:val="0"/>
              <w:jc w:val="center"/>
              <w:textAlignment w:val="center"/>
              <w:rPr>
                <w:rFonts w:hint="eastAsia" w:ascii="仿宋" w:hAnsi="仿宋" w:eastAsia="仿宋" w:cs="仿宋"/>
                <w:b/>
                <w:bCs/>
                <w:i w:val="0"/>
                <w:iCs w:val="0"/>
                <w:color w:val="000000"/>
                <w:kern w:val="0"/>
                <w:sz w:val="21"/>
                <w:szCs w:val="21"/>
                <w:u w:val="none"/>
                <w:lang w:val="zh-CN" w:eastAsia="zh-CN" w:bidi="ar"/>
              </w:rPr>
            </w:pPr>
            <w:r>
              <w:rPr>
                <w:rFonts w:hint="eastAsia" w:ascii="仿宋" w:hAnsi="仿宋" w:eastAsia="仿宋" w:cs="仿宋"/>
                <w:b/>
                <w:bCs/>
                <w:i w:val="0"/>
                <w:iCs w:val="0"/>
                <w:color w:val="000000"/>
                <w:kern w:val="0"/>
                <w:sz w:val="21"/>
                <w:szCs w:val="21"/>
                <w:u w:val="none"/>
                <w:lang w:val="en-US" w:eastAsia="zh-CN" w:bidi="ar"/>
              </w:rPr>
              <w:t>绩效目标值</w:t>
            </w:r>
          </w:p>
        </w:tc>
      </w:tr>
      <w:tr w14:paraId="23F3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restart"/>
            <w:vAlign w:val="center"/>
          </w:tcPr>
          <w:p w14:paraId="1C9C139D">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产出指标</w:t>
            </w:r>
          </w:p>
        </w:tc>
        <w:tc>
          <w:tcPr>
            <w:tcW w:w="759" w:type="dxa"/>
            <w:vAlign w:val="center"/>
          </w:tcPr>
          <w:p w14:paraId="272AC246">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时效指标</w:t>
            </w:r>
          </w:p>
        </w:tc>
        <w:tc>
          <w:tcPr>
            <w:tcW w:w="1230" w:type="dxa"/>
            <w:vAlign w:val="center"/>
          </w:tcPr>
          <w:p w14:paraId="5F518416">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项目开工率</w:t>
            </w:r>
          </w:p>
        </w:tc>
        <w:tc>
          <w:tcPr>
            <w:tcW w:w="1231" w:type="dxa"/>
            <w:vAlign w:val="center"/>
          </w:tcPr>
          <w:p w14:paraId="185B533F">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≥80%</w:t>
            </w:r>
          </w:p>
        </w:tc>
        <w:tc>
          <w:tcPr>
            <w:tcW w:w="1230" w:type="dxa"/>
            <w:vAlign w:val="center"/>
          </w:tcPr>
          <w:p w14:paraId="190EE67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项目开工率</w:t>
            </w:r>
          </w:p>
        </w:tc>
        <w:tc>
          <w:tcPr>
            <w:tcW w:w="1231" w:type="dxa"/>
            <w:vAlign w:val="center"/>
          </w:tcPr>
          <w:p w14:paraId="143A9319">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≥80%</w:t>
            </w:r>
          </w:p>
        </w:tc>
        <w:tc>
          <w:tcPr>
            <w:tcW w:w="1230" w:type="dxa"/>
            <w:vAlign w:val="center"/>
          </w:tcPr>
          <w:p w14:paraId="23E8C112">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资金拨付率</w:t>
            </w:r>
          </w:p>
        </w:tc>
        <w:tc>
          <w:tcPr>
            <w:tcW w:w="1235" w:type="dxa"/>
            <w:vAlign w:val="center"/>
          </w:tcPr>
          <w:p w14:paraId="0528CA57">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100%</w:t>
            </w:r>
          </w:p>
        </w:tc>
      </w:tr>
      <w:tr w14:paraId="0F23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continue"/>
          </w:tcPr>
          <w:p w14:paraId="5F6F2850">
            <w:pPr>
              <w:spacing w:line="360" w:lineRule="auto"/>
              <w:jc w:val="center"/>
              <w:rPr>
                <w:rFonts w:hint="eastAsia" w:ascii="仿宋_GB2312" w:hAnsi="Times New Roman" w:eastAsia="仿宋_GB2312" w:cs="Times New Roman"/>
                <w:b/>
                <w:bCs/>
                <w:sz w:val="24"/>
                <w:vertAlign w:val="baseline"/>
                <w:lang w:val="zh-CN"/>
              </w:rPr>
            </w:pPr>
          </w:p>
        </w:tc>
        <w:tc>
          <w:tcPr>
            <w:tcW w:w="759" w:type="dxa"/>
            <w:vAlign w:val="center"/>
          </w:tcPr>
          <w:p w14:paraId="6CDB3E6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成本指标</w:t>
            </w:r>
          </w:p>
        </w:tc>
        <w:tc>
          <w:tcPr>
            <w:tcW w:w="1230" w:type="dxa"/>
            <w:vAlign w:val="center"/>
          </w:tcPr>
          <w:p w14:paraId="550EB80A">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完成投资额</w:t>
            </w:r>
          </w:p>
        </w:tc>
        <w:tc>
          <w:tcPr>
            <w:tcW w:w="1231" w:type="dxa"/>
            <w:vAlign w:val="center"/>
          </w:tcPr>
          <w:p w14:paraId="295B962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≥1000万元</w:t>
            </w:r>
          </w:p>
        </w:tc>
        <w:tc>
          <w:tcPr>
            <w:tcW w:w="1230" w:type="dxa"/>
            <w:vAlign w:val="center"/>
          </w:tcPr>
          <w:p w14:paraId="325891A7">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资金拨付率</w:t>
            </w:r>
          </w:p>
        </w:tc>
        <w:tc>
          <w:tcPr>
            <w:tcW w:w="1231" w:type="dxa"/>
            <w:vAlign w:val="center"/>
          </w:tcPr>
          <w:p w14:paraId="63FCC62D">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100%</w:t>
            </w:r>
          </w:p>
        </w:tc>
        <w:tc>
          <w:tcPr>
            <w:tcW w:w="1230" w:type="dxa"/>
            <w:vAlign w:val="center"/>
          </w:tcPr>
          <w:p w14:paraId="3268E836">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泉州市级财政配套资金</w:t>
            </w:r>
          </w:p>
        </w:tc>
        <w:tc>
          <w:tcPr>
            <w:tcW w:w="1235" w:type="dxa"/>
            <w:vAlign w:val="center"/>
          </w:tcPr>
          <w:p w14:paraId="5C445002">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432.86万元</w:t>
            </w:r>
          </w:p>
        </w:tc>
      </w:tr>
      <w:tr w14:paraId="34DA3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continue"/>
          </w:tcPr>
          <w:p w14:paraId="42963A8C">
            <w:pPr>
              <w:spacing w:line="360" w:lineRule="auto"/>
              <w:jc w:val="center"/>
              <w:rPr>
                <w:rFonts w:hint="eastAsia" w:ascii="仿宋_GB2312" w:hAnsi="Times New Roman" w:eastAsia="仿宋_GB2312" w:cs="Times New Roman"/>
                <w:b/>
                <w:bCs/>
                <w:sz w:val="24"/>
                <w:vertAlign w:val="baseline"/>
                <w:lang w:val="zh-CN"/>
              </w:rPr>
            </w:pPr>
          </w:p>
        </w:tc>
        <w:tc>
          <w:tcPr>
            <w:tcW w:w="759" w:type="dxa"/>
            <w:vAlign w:val="center"/>
          </w:tcPr>
          <w:p w14:paraId="00FF3CE7">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数量指标</w:t>
            </w:r>
          </w:p>
        </w:tc>
        <w:tc>
          <w:tcPr>
            <w:tcW w:w="1230" w:type="dxa"/>
            <w:vAlign w:val="center"/>
          </w:tcPr>
          <w:p w14:paraId="15AB8C13">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创建对象数量</w:t>
            </w:r>
          </w:p>
        </w:tc>
        <w:tc>
          <w:tcPr>
            <w:tcW w:w="1231" w:type="dxa"/>
            <w:vAlign w:val="center"/>
          </w:tcPr>
          <w:p w14:paraId="3D28C75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≥3个</w:t>
            </w:r>
          </w:p>
        </w:tc>
        <w:tc>
          <w:tcPr>
            <w:tcW w:w="1230" w:type="dxa"/>
            <w:vAlign w:val="center"/>
          </w:tcPr>
          <w:p w14:paraId="09E2424D">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创建对象</w:t>
            </w:r>
          </w:p>
        </w:tc>
        <w:tc>
          <w:tcPr>
            <w:tcW w:w="1231" w:type="dxa"/>
            <w:vAlign w:val="center"/>
          </w:tcPr>
          <w:p w14:paraId="54C46D04">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≥1个</w:t>
            </w:r>
          </w:p>
        </w:tc>
        <w:tc>
          <w:tcPr>
            <w:tcW w:w="1230" w:type="dxa"/>
            <w:vAlign w:val="center"/>
          </w:tcPr>
          <w:p w14:paraId="1F3E1ACD">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平均每村实施项目数</w:t>
            </w:r>
          </w:p>
        </w:tc>
        <w:tc>
          <w:tcPr>
            <w:tcW w:w="1235" w:type="dxa"/>
            <w:vAlign w:val="center"/>
          </w:tcPr>
          <w:p w14:paraId="6A0CA29D">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≥3个</w:t>
            </w:r>
          </w:p>
        </w:tc>
      </w:tr>
      <w:tr w14:paraId="32FC8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continue"/>
          </w:tcPr>
          <w:p w14:paraId="0B0C520D">
            <w:pPr>
              <w:spacing w:line="360" w:lineRule="auto"/>
              <w:jc w:val="center"/>
              <w:rPr>
                <w:rFonts w:hint="eastAsia" w:ascii="仿宋_GB2312" w:hAnsi="Times New Roman" w:eastAsia="仿宋_GB2312" w:cs="Times New Roman"/>
                <w:b/>
                <w:bCs/>
                <w:sz w:val="24"/>
                <w:vertAlign w:val="baseline"/>
                <w:lang w:val="zh-CN"/>
              </w:rPr>
            </w:pPr>
          </w:p>
        </w:tc>
        <w:tc>
          <w:tcPr>
            <w:tcW w:w="759" w:type="dxa"/>
            <w:vAlign w:val="center"/>
          </w:tcPr>
          <w:p w14:paraId="30D76883">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质量指标</w:t>
            </w:r>
          </w:p>
        </w:tc>
        <w:tc>
          <w:tcPr>
            <w:tcW w:w="1230" w:type="dxa"/>
            <w:vAlign w:val="center"/>
          </w:tcPr>
          <w:p w14:paraId="5F948CE7">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产业发展</w:t>
            </w:r>
          </w:p>
        </w:tc>
        <w:tc>
          <w:tcPr>
            <w:tcW w:w="1231" w:type="dxa"/>
            <w:vAlign w:val="center"/>
          </w:tcPr>
          <w:p w14:paraId="0EC64457">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≥40%</w:t>
            </w:r>
          </w:p>
        </w:tc>
        <w:tc>
          <w:tcPr>
            <w:tcW w:w="1230" w:type="dxa"/>
            <w:vAlign w:val="center"/>
          </w:tcPr>
          <w:p w14:paraId="32B20474">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产业发展</w:t>
            </w:r>
          </w:p>
        </w:tc>
        <w:tc>
          <w:tcPr>
            <w:tcW w:w="1231" w:type="dxa"/>
            <w:vAlign w:val="center"/>
          </w:tcPr>
          <w:p w14:paraId="45E7E7E5">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≥40%</w:t>
            </w:r>
          </w:p>
        </w:tc>
        <w:tc>
          <w:tcPr>
            <w:tcW w:w="1230" w:type="dxa"/>
            <w:vAlign w:val="center"/>
          </w:tcPr>
          <w:p w14:paraId="7E7FB816">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资金扶持方向</w:t>
            </w:r>
          </w:p>
        </w:tc>
        <w:tc>
          <w:tcPr>
            <w:tcW w:w="1235" w:type="dxa"/>
            <w:vAlign w:val="center"/>
          </w:tcPr>
          <w:p w14:paraId="7C1B3918">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用于乡村振兴项目建设、培育乡村振兴典型</w:t>
            </w:r>
          </w:p>
        </w:tc>
      </w:tr>
      <w:tr w14:paraId="6BCD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restart"/>
            <w:vAlign w:val="center"/>
          </w:tcPr>
          <w:p w14:paraId="27050D2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效益指标</w:t>
            </w:r>
          </w:p>
        </w:tc>
        <w:tc>
          <w:tcPr>
            <w:tcW w:w="759" w:type="dxa"/>
            <w:vAlign w:val="center"/>
          </w:tcPr>
          <w:p w14:paraId="23C94D70">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经济效益指标</w:t>
            </w:r>
          </w:p>
        </w:tc>
        <w:tc>
          <w:tcPr>
            <w:tcW w:w="1230" w:type="dxa"/>
            <w:vAlign w:val="center"/>
          </w:tcPr>
          <w:p w14:paraId="3C37FE2F">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村集体经济发展</w:t>
            </w:r>
          </w:p>
        </w:tc>
        <w:tc>
          <w:tcPr>
            <w:tcW w:w="1231" w:type="dxa"/>
            <w:vAlign w:val="center"/>
          </w:tcPr>
          <w:p w14:paraId="53E38789">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≥1个</w:t>
            </w:r>
          </w:p>
        </w:tc>
        <w:tc>
          <w:tcPr>
            <w:tcW w:w="1230" w:type="dxa"/>
            <w:vAlign w:val="center"/>
          </w:tcPr>
          <w:p w14:paraId="740EA05C">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村集体经济发展</w:t>
            </w:r>
          </w:p>
        </w:tc>
        <w:tc>
          <w:tcPr>
            <w:tcW w:w="1231" w:type="dxa"/>
            <w:vAlign w:val="center"/>
          </w:tcPr>
          <w:p w14:paraId="640A790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≥1个</w:t>
            </w:r>
          </w:p>
        </w:tc>
        <w:tc>
          <w:tcPr>
            <w:tcW w:w="1230" w:type="dxa"/>
            <w:vAlign w:val="center"/>
          </w:tcPr>
          <w:p w14:paraId="19A76C8C">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平均每村培育典型数</w:t>
            </w:r>
          </w:p>
        </w:tc>
        <w:tc>
          <w:tcPr>
            <w:tcW w:w="1235" w:type="dxa"/>
            <w:vAlign w:val="center"/>
          </w:tcPr>
          <w:p w14:paraId="198C262F">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≥3个</w:t>
            </w:r>
          </w:p>
        </w:tc>
      </w:tr>
      <w:tr w14:paraId="68F7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Merge w:val="continue"/>
          </w:tcPr>
          <w:p w14:paraId="6EE63719">
            <w:pPr>
              <w:spacing w:line="360" w:lineRule="auto"/>
              <w:jc w:val="center"/>
              <w:rPr>
                <w:rFonts w:hint="eastAsia" w:ascii="仿宋_GB2312" w:hAnsi="Times New Roman" w:eastAsia="仿宋_GB2312" w:cs="Times New Roman"/>
                <w:b/>
                <w:bCs/>
                <w:sz w:val="24"/>
                <w:vertAlign w:val="baseline"/>
                <w:lang w:val="zh-CN"/>
              </w:rPr>
            </w:pPr>
          </w:p>
        </w:tc>
        <w:tc>
          <w:tcPr>
            <w:tcW w:w="759" w:type="dxa"/>
            <w:vAlign w:val="center"/>
          </w:tcPr>
          <w:p w14:paraId="49901513">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生态效益指标</w:t>
            </w:r>
          </w:p>
        </w:tc>
        <w:tc>
          <w:tcPr>
            <w:tcW w:w="1230" w:type="dxa"/>
            <w:vAlign w:val="center"/>
          </w:tcPr>
          <w:p w14:paraId="50AB94E6">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农村生态环境水平</w:t>
            </w:r>
          </w:p>
        </w:tc>
        <w:tc>
          <w:tcPr>
            <w:tcW w:w="1231" w:type="dxa"/>
            <w:vAlign w:val="center"/>
          </w:tcPr>
          <w:p w14:paraId="39CD1A1F">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100%</w:t>
            </w:r>
          </w:p>
        </w:tc>
        <w:tc>
          <w:tcPr>
            <w:tcW w:w="1230" w:type="dxa"/>
            <w:vAlign w:val="center"/>
          </w:tcPr>
          <w:p w14:paraId="6BF9F029">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农村生态环境水平</w:t>
            </w:r>
          </w:p>
        </w:tc>
        <w:tc>
          <w:tcPr>
            <w:tcW w:w="1231" w:type="dxa"/>
            <w:vAlign w:val="center"/>
          </w:tcPr>
          <w:p w14:paraId="07B257DD">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100%</w:t>
            </w:r>
          </w:p>
        </w:tc>
        <w:tc>
          <w:tcPr>
            <w:tcW w:w="1230" w:type="dxa"/>
            <w:vAlign w:val="center"/>
          </w:tcPr>
          <w:p w14:paraId="32525277">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农村生态环境水平</w:t>
            </w:r>
          </w:p>
        </w:tc>
        <w:tc>
          <w:tcPr>
            <w:tcW w:w="1235" w:type="dxa"/>
            <w:vAlign w:val="center"/>
          </w:tcPr>
          <w:p w14:paraId="2BBBE8F4">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100%</w:t>
            </w:r>
          </w:p>
        </w:tc>
      </w:tr>
      <w:tr w14:paraId="6F000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FE6843E">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满意度指标</w:t>
            </w:r>
          </w:p>
        </w:tc>
        <w:tc>
          <w:tcPr>
            <w:tcW w:w="759" w:type="dxa"/>
            <w:vAlign w:val="center"/>
          </w:tcPr>
          <w:p w14:paraId="112E2C2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服务对象满意度指标</w:t>
            </w:r>
          </w:p>
        </w:tc>
        <w:tc>
          <w:tcPr>
            <w:tcW w:w="1230" w:type="dxa"/>
            <w:vAlign w:val="center"/>
          </w:tcPr>
          <w:p w14:paraId="1945F476">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村民满意度</w:t>
            </w:r>
          </w:p>
        </w:tc>
        <w:tc>
          <w:tcPr>
            <w:tcW w:w="1231" w:type="dxa"/>
            <w:vAlign w:val="center"/>
          </w:tcPr>
          <w:p w14:paraId="0E5E3601">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≥90％</w:t>
            </w:r>
          </w:p>
        </w:tc>
        <w:tc>
          <w:tcPr>
            <w:tcW w:w="1230" w:type="dxa"/>
            <w:vAlign w:val="center"/>
          </w:tcPr>
          <w:p w14:paraId="22CF2754">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村民满意度</w:t>
            </w:r>
          </w:p>
        </w:tc>
        <w:tc>
          <w:tcPr>
            <w:tcW w:w="1231" w:type="dxa"/>
            <w:vAlign w:val="center"/>
          </w:tcPr>
          <w:p w14:paraId="7DDF0F49">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≥90％</w:t>
            </w:r>
          </w:p>
        </w:tc>
        <w:tc>
          <w:tcPr>
            <w:tcW w:w="1230" w:type="dxa"/>
            <w:vAlign w:val="center"/>
          </w:tcPr>
          <w:p w14:paraId="19DFAE4F">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村民满意度</w:t>
            </w:r>
          </w:p>
        </w:tc>
        <w:tc>
          <w:tcPr>
            <w:tcW w:w="1235" w:type="dxa"/>
            <w:vAlign w:val="center"/>
          </w:tcPr>
          <w:p w14:paraId="24F49618">
            <w:pPr>
              <w:keepNext w:val="0"/>
              <w:keepLines w:val="0"/>
              <w:widowControl/>
              <w:suppressLineNumbers w:val="0"/>
              <w:jc w:val="center"/>
              <w:textAlignment w:val="center"/>
              <w:rPr>
                <w:rFonts w:hint="eastAsia" w:ascii="仿宋_GB2312" w:hAnsi="Times New Roman" w:eastAsia="仿宋_GB2312" w:cs="Times New Roman"/>
                <w:b/>
                <w:bCs/>
                <w:sz w:val="24"/>
                <w:vertAlign w:val="baseline"/>
                <w:lang w:val="zh-CN"/>
              </w:rPr>
            </w:pPr>
            <w:r>
              <w:rPr>
                <w:rFonts w:hint="eastAsia" w:ascii="仿宋" w:hAnsi="仿宋" w:eastAsia="仿宋" w:cs="仿宋"/>
                <w:i w:val="0"/>
                <w:iCs w:val="0"/>
                <w:color w:val="000000"/>
                <w:kern w:val="0"/>
                <w:sz w:val="21"/>
                <w:szCs w:val="21"/>
                <w:u w:val="none"/>
                <w:lang w:val="en-US" w:eastAsia="zh-CN" w:bidi="ar"/>
              </w:rPr>
              <w:t>≥90％</w:t>
            </w:r>
          </w:p>
        </w:tc>
      </w:tr>
    </w:tbl>
    <w:p w14:paraId="54EFC64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（2）绩效指标明确性（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3分，得分3分）</w:t>
      </w:r>
    </w:p>
    <w:p w14:paraId="0D972D6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创建专项资金绩效目标表中的总体目标为省级乡村振兴示范乡镇、示范村创建对象乡村产业发展水平、乡村建设水平、乡村治理水平得到提升。绩效目标表明确将绩效目标细化分解，7个三级指标清晰、可衡量；</w:t>
      </w:r>
      <w:r>
        <w:rPr>
          <w:rFonts w:hint="eastAsia" w:ascii="仿宋_GB2312" w:hAnsi="Times New Roman" w:eastAsia="仿宋_GB2312" w:cs="Times New Roman"/>
          <w:sz w:val="24"/>
          <w:highlight w:val="none"/>
          <w:lang w:val="zh-CN"/>
        </w:rPr>
        <w:t>与目标任务数据可对应；</w:t>
      </w:r>
      <w:r>
        <w:rPr>
          <w:rFonts w:hint="eastAsia" w:ascii="仿宋_GB2312" w:hAnsi="Times New Roman" w:eastAsia="仿宋_GB2312" w:cs="Times New Roman"/>
          <w:sz w:val="24"/>
          <w:lang w:val="zh-CN"/>
        </w:rPr>
        <w:t>基本建立了可量化的指标体系。综上所述，该项指标可得满分3分。</w:t>
      </w:r>
    </w:p>
    <w:p w14:paraId="7BB5691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3.资金投入（</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8分，得分</w:t>
      </w:r>
      <w:r>
        <w:rPr>
          <w:rFonts w:hint="eastAsia" w:ascii="仿宋_GB2312" w:hAnsi="Times New Roman" w:eastAsia="仿宋_GB2312" w:cs="Times New Roman"/>
          <w:sz w:val="24"/>
        </w:rPr>
        <w:t>8</w:t>
      </w:r>
      <w:r>
        <w:rPr>
          <w:rFonts w:hint="eastAsia" w:ascii="仿宋_GB2312" w:hAnsi="Times New Roman" w:eastAsia="仿宋_GB2312" w:cs="Times New Roman"/>
          <w:sz w:val="24"/>
          <w:lang w:val="zh-CN"/>
        </w:rPr>
        <w:t>分）</w:t>
      </w:r>
    </w:p>
    <w:p w14:paraId="798D525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（1）预算编制科学性（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3D9C123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rPr>
        <w:t>根据</w:t>
      </w:r>
      <w:r>
        <w:rPr>
          <w:rFonts w:hint="eastAsia" w:ascii="仿宋_GB2312" w:hAnsi="Times New Roman" w:eastAsia="仿宋_GB2312" w:cs="Times New Roman"/>
          <w:sz w:val="24"/>
          <w:lang w:val="zh-CN"/>
        </w:rPr>
        <w:t>《石狮市乡村振兴示范创建资金使用管理实施细则》</w:t>
      </w:r>
      <w:r>
        <w:rPr>
          <w:rFonts w:hint="eastAsia" w:ascii="仿宋_GB2312" w:hAnsi="Times New Roman" w:eastAsia="仿宋_GB2312" w:cs="Times New Roman"/>
          <w:sz w:val="24"/>
        </w:rPr>
        <w:t>文件规定，</w:t>
      </w:r>
      <w:r>
        <w:rPr>
          <w:rFonts w:hint="eastAsia" w:ascii="仿宋_GB2312" w:hAnsi="Times New Roman" w:eastAsia="仿宋_GB2312" w:cs="Times New Roman"/>
          <w:sz w:val="24"/>
          <w:lang w:val="zh-CN"/>
        </w:rPr>
        <w:t>资金可用于支持创建期内的乡村振兴示范村创建对象，</w:t>
      </w:r>
      <w:r>
        <w:rPr>
          <w:rFonts w:hint="eastAsia" w:ascii="仿宋_GB2312" w:hAnsi="Times New Roman" w:eastAsia="仿宋_GB2312" w:cs="Times New Roman"/>
          <w:sz w:val="24"/>
        </w:rPr>
        <w:t>用于省级乡村振兴示范乡镇、示范村创建工作，同时给予每个项目不超过完成投资额90%的补助。抽查的部分建设项目</w:t>
      </w:r>
      <w:r>
        <w:rPr>
          <w:rFonts w:hint="eastAsia" w:ascii="仿宋_GB2312" w:hAnsi="Times New Roman" w:eastAsia="仿宋_GB2312" w:cs="Times New Roman"/>
          <w:color w:val="auto"/>
          <w:sz w:val="24"/>
          <w:u w:val="none"/>
        </w:rPr>
        <w:t>开工前已编制</w:t>
      </w:r>
      <w:r>
        <w:rPr>
          <w:rFonts w:hint="eastAsia" w:ascii="仿宋_GB2312" w:hAnsi="Times New Roman" w:eastAsia="仿宋_GB2312" w:cs="Times New Roman"/>
          <w:sz w:val="24"/>
        </w:rPr>
        <w:t>工程概算，本项目</w:t>
      </w:r>
      <w:r>
        <w:rPr>
          <w:rFonts w:hint="eastAsia" w:ascii="仿宋_GB2312" w:hAnsi="Times New Roman" w:eastAsia="仿宋_GB2312" w:cs="Times New Roman"/>
          <w:sz w:val="24"/>
          <w:lang w:val="zh-CN"/>
        </w:rPr>
        <w:t>预算编制有经过科学论证，预算内容与项目内容基本匹配，额度测算依据充分、标准合规，资金量与年度工作任务相匹配，预算编制科学、合理、可执行。综上所述，该项指标可得满分4分。</w:t>
      </w:r>
    </w:p>
    <w:p w14:paraId="2772CC20">
      <w:pPr>
        <w:spacing w:line="360" w:lineRule="auto"/>
        <w:ind w:firstLine="480" w:firstLineChars="200"/>
        <w:rPr>
          <w:rFonts w:ascii="仿宋_GB2312" w:hAnsi="Times New Roman" w:eastAsia="仿宋_GB2312" w:cs="Times New Roman"/>
          <w:sz w:val="24"/>
          <w:lang w:val="zh-CN"/>
        </w:rPr>
      </w:pPr>
      <w:bookmarkStart w:id="95" w:name="OLE_LINK1"/>
      <w:r>
        <w:rPr>
          <w:rFonts w:hint="eastAsia" w:ascii="仿宋_GB2312" w:hAnsi="Times New Roman" w:eastAsia="仿宋_GB2312" w:cs="Times New Roman"/>
          <w:sz w:val="24"/>
          <w:lang w:val="zh-CN"/>
        </w:rPr>
        <w:t>（2）资金分配合理性（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7A0DB7C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福建省乡村振兴示范创建资金管理办法》要求，市委乡村振兴办和市财政局结合工作实际制定《石狮市乡村振兴示范创建资金使用管理实施细则》，其中明确年度资金分配方案的制定。拟实施项目经镇级审核后报送至市委乡村振兴办，市委乡村振兴办于当年度资金下达后及时研究提出年度资金分配方案，报市委扶贫开发成果巩固与乡村振兴工作领导小组同意后实施，于收到资金30日内分解下达，并报泉州市委乡村振兴办和泉州市财政局备案，同步录入福建省乡村振兴(扶贫惠民)资金在线监管平台，确保资金来源与投向合法合规。此外</w:t>
      </w:r>
      <w:bookmarkEnd w:id="95"/>
      <w:r>
        <w:rPr>
          <w:rFonts w:hint="eastAsia" w:ascii="仿宋_GB2312" w:hAnsi="Times New Roman" w:eastAsia="仿宋_GB2312" w:cs="Times New Roman"/>
          <w:sz w:val="24"/>
          <w:lang w:val="zh-CN"/>
        </w:rPr>
        <w:t>文件规定分配年度补助资金时，不搞平均主义，采取项目申报方式，由有关镇组织村级申请，市级统筹市域布局、工作重点，综合考虑人口、面积、发展基础等条件，根据示范村创建实施方案，按申报项目的促进村财增收、联农带农、撬动社会资本、发挥社会效益、前期工作深度等因素予以分配资金。资金分配</w:t>
      </w:r>
      <w:r>
        <w:rPr>
          <w:rFonts w:hint="eastAsia" w:ascii="仿宋_GB2312" w:hAnsi="Times New Roman" w:eastAsia="仿宋_GB2312" w:cs="Times New Roman"/>
          <w:sz w:val="24"/>
        </w:rPr>
        <w:t>依据充分，分配</w:t>
      </w:r>
      <w:r>
        <w:rPr>
          <w:rFonts w:hint="eastAsia" w:ascii="仿宋_GB2312" w:hAnsi="Times New Roman" w:eastAsia="仿宋_GB2312" w:cs="Times New Roman"/>
          <w:sz w:val="24"/>
          <w:lang w:val="zh-CN"/>
        </w:rPr>
        <w:t>额度基本合理，与项目实际情况相适应。</w:t>
      </w:r>
      <w:bookmarkStart w:id="96" w:name="_Toc184981068"/>
      <w:bookmarkStart w:id="97" w:name="_Toc184981306"/>
      <w:bookmarkStart w:id="98" w:name="_Toc7228"/>
      <w:r>
        <w:rPr>
          <w:rFonts w:hint="eastAsia" w:ascii="仿宋_GB2312" w:hAnsi="Times New Roman" w:eastAsia="仿宋_GB2312" w:cs="Times New Roman"/>
          <w:sz w:val="24"/>
          <w:lang w:val="zh-CN"/>
        </w:rPr>
        <w:t>综上所述，该项指标可得满分4分。</w:t>
      </w:r>
    </w:p>
    <w:p w14:paraId="7B50F495">
      <w:pPr>
        <w:spacing w:line="360" w:lineRule="auto"/>
        <w:ind w:firstLine="482" w:firstLineChars="200"/>
        <w:outlineLvl w:val="1"/>
        <w:rPr>
          <w:rFonts w:ascii="仿宋_GB2312" w:hAnsi="Times New Roman" w:eastAsia="仿宋_GB2312" w:cs="Times New Roman"/>
          <w:b/>
          <w:bCs/>
          <w:sz w:val="24"/>
        </w:rPr>
      </w:pPr>
      <w:bookmarkStart w:id="99" w:name="_Toc31430"/>
      <w:bookmarkStart w:id="100" w:name="_Toc15655"/>
      <w:bookmarkStart w:id="101" w:name="_Toc205852126"/>
      <w:bookmarkStart w:id="102" w:name="_Toc22505"/>
      <w:r>
        <w:rPr>
          <w:rFonts w:hint="eastAsia" w:ascii="仿宋_GB2312" w:hAnsi="Times New Roman" w:eastAsia="仿宋_GB2312" w:cs="Times New Roman"/>
          <w:b/>
          <w:bCs/>
          <w:sz w:val="24"/>
        </w:rPr>
        <w:t>（二）项目过程情况</w:t>
      </w:r>
      <w:bookmarkEnd w:id="96"/>
      <w:bookmarkEnd w:id="97"/>
      <w:r>
        <w:rPr>
          <w:rFonts w:hint="eastAsia" w:ascii="仿宋_GB2312" w:hAnsi="Times New Roman" w:eastAsia="仿宋_GB2312" w:cs="Times New Roman"/>
          <w:b/>
          <w:bCs/>
          <w:sz w:val="24"/>
        </w:rPr>
        <w:t>（分值18分，得分1</w:t>
      </w:r>
      <w:r>
        <w:rPr>
          <w:rFonts w:hint="eastAsia" w:ascii="仿宋_GB2312" w:hAnsi="Times New Roman" w:eastAsia="仿宋_GB2312" w:cs="Times New Roman"/>
          <w:b/>
          <w:bCs/>
          <w:sz w:val="24"/>
          <w:lang w:val="en-US" w:eastAsia="zh-CN"/>
        </w:rPr>
        <w:t>6</w:t>
      </w:r>
      <w:r>
        <w:rPr>
          <w:rFonts w:hint="eastAsia" w:ascii="仿宋_GB2312" w:hAnsi="Times New Roman" w:eastAsia="仿宋_GB2312" w:cs="Times New Roman"/>
          <w:b/>
          <w:bCs/>
          <w:sz w:val="24"/>
        </w:rPr>
        <w:t>.79分）</w:t>
      </w:r>
      <w:bookmarkEnd w:id="98"/>
      <w:bookmarkEnd w:id="99"/>
      <w:bookmarkEnd w:id="100"/>
      <w:bookmarkEnd w:id="101"/>
      <w:bookmarkEnd w:id="102"/>
    </w:p>
    <w:p w14:paraId="6BC3F27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1.资金管理（</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10分，得分</w:t>
      </w:r>
      <w:r>
        <w:rPr>
          <w:rFonts w:hint="eastAsia" w:ascii="仿宋_GB2312" w:hAnsi="Times New Roman" w:eastAsia="仿宋_GB2312" w:cs="Times New Roman"/>
          <w:sz w:val="24"/>
        </w:rPr>
        <w:t>8.79</w:t>
      </w:r>
      <w:r>
        <w:rPr>
          <w:rFonts w:hint="eastAsia" w:ascii="仿宋_GB2312" w:hAnsi="Times New Roman" w:eastAsia="仿宋_GB2312" w:cs="Times New Roman"/>
          <w:sz w:val="24"/>
          <w:lang w:val="zh-CN"/>
        </w:rPr>
        <w:t>分）</w:t>
      </w:r>
    </w:p>
    <w:p w14:paraId="573A70B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（1）资金到位率（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w:t>
      </w:r>
      <w:r>
        <w:rPr>
          <w:rFonts w:hint="eastAsia" w:ascii="仿宋_GB2312" w:hAnsi="Times New Roman" w:eastAsia="仿宋_GB2312" w:cs="Times New Roman"/>
          <w:sz w:val="24"/>
        </w:rPr>
        <w:t>3</w:t>
      </w:r>
      <w:r>
        <w:rPr>
          <w:rFonts w:hint="eastAsia" w:ascii="仿宋_GB2312" w:hAnsi="Times New Roman" w:eastAsia="仿宋_GB2312" w:cs="Times New Roman"/>
          <w:sz w:val="24"/>
          <w:lang w:val="zh-CN"/>
        </w:rPr>
        <w:t>分）</w:t>
      </w:r>
    </w:p>
    <w:p w14:paraId="7802E51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“资金到位率”用于评价项目实施年度财政资金到位情况。</w:t>
      </w:r>
    </w:p>
    <w:p w14:paraId="221B573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2024年度该项目实际到位</w:t>
      </w:r>
      <w:r>
        <w:rPr>
          <w:rFonts w:ascii="仿宋_GB2312" w:hAnsi="Times New Roman" w:eastAsia="仿宋_GB2312" w:cs="Times New Roman"/>
          <w:sz w:val="24"/>
          <w:lang w:val="zh-CN"/>
        </w:rPr>
        <w:t>3100.00</w:t>
      </w:r>
      <w:r>
        <w:rPr>
          <w:rFonts w:hint="eastAsia" w:ascii="仿宋_GB2312" w:hAnsi="Times New Roman" w:eastAsia="仿宋_GB2312" w:cs="Times New Roman"/>
          <w:sz w:val="24"/>
          <w:lang w:val="zh-CN"/>
        </w:rPr>
        <w:t>万元，期初本级财政资金计划数</w:t>
      </w:r>
      <w:r>
        <w:rPr>
          <w:rFonts w:ascii="仿宋_GB2312" w:hAnsi="Times New Roman" w:eastAsia="仿宋_GB2312" w:cs="Times New Roman"/>
          <w:sz w:val="24"/>
          <w:lang w:val="zh-CN"/>
        </w:rPr>
        <w:t>3100.00</w:t>
      </w:r>
      <w:r>
        <w:rPr>
          <w:rFonts w:hint="eastAsia" w:ascii="仿宋_GB2312" w:hAnsi="Times New Roman" w:eastAsia="仿宋_GB2312" w:cs="Times New Roman"/>
          <w:sz w:val="24"/>
          <w:lang w:val="zh-CN"/>
        </w:rPr>
        <w:t>万元，资金到位率=（实际到位资金/预算资金）×100%=（</w:t>
      </w:r>
      <w:r>
        <w:rPr>
          <w:rFonts w:ascii="仿宋_GB2312" w:hAnsi="Times New Roman" w:eastAsia="仿宋_GB2312" w:cs="Times New Roman"/>
          <w:sz w:val="24"/>
          <w:lang w:val="zh-CN"/>
        </w:rPr>
        <w:t>3100.00</w:t>
      </w:r>
      <w:r>
        <w:rPr>
          <w:rFonts w:hint="eastAsia" w:ascii="仿宋_GB2312" w:hAnsi="Times New Roman" w:eastAsia="仿宋_GB2312" w:cs="Times New Roman"/>
          <w:sz w:val="24"/>
          <w:lang w:val="zh-CN"/>
        </w:rPr>
        <w:t>/</w:t>
      </w:r>
      <w:r>
        <w:rPr>
          <w:rFonts w:ascii="仿宋_GB2312" w:hAnsi="Times New Roman" w:eastAsia="仿宋_GB2312" w:cs="Times New Roman"/>
          <w:sz w:val="24"/>
          <w:lang w:val="zh-CN"/>
        </w:rPr>
        <w:t>3100.00</w:t>
      </w:r>
      <w:r>
        <w:rPr>
          <w:rFonts w:hint="eastAsia" w:ascii="仿宋_GB2312" w:hAnsi="Times New Roman" w:eastAsia="仿宋_GB2312" w:cs="Times New Roman"/>
          <w:sz w:val="24"/>
          <w:lang w:val="zh-CN"/>
        </w:rPr>
        <w:t>）×100%=100%。依据评分标准，资金到位率×指标满分值（3分）=100%×3=3。综上所述，该项指标可得满分3分。</w:t>
      </w:r>
    </w:p>
    <w:p w14:paraId="0DED5A6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（2）资金使用合规性（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65B20C9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“资金使用合规性”指标用于评价资金使用是否违规。评价工作组通过对乡村振兴示范创建资金的拨付、使用情况等基本数据的了解，并实地抽查项目相关的支出材料，资金使用符合项目立项批复文件中列明</w:t>
      </w:r>
      <w:r>
        <w:rPr>
          <w:rFonts w:hint="eastAsia" w:ascii="仿宋_GB2312" w:hAnsi="Times New Roman" w:eastAsia="仿宋_GB2312" w:cs="Times New Roman"/>
          <w:sz w:val="24"/>
        </w:rPr>
        <w:t>的</w:t>
      </w:r>
      <w:r>
        <w:rPr>
          <w:rFonts w:hint="eastAsia" w:ascii="仿宋_GB2312" w:hAnsi="Times New Roman" w:eastAsia="仿宋_GB2312" w:cs="Times New Roman"/>
          <w:sz w:val="24"/>
          <w:lang w:val="zh-CN"/>
        </w:rPr>
        <w:t>使用用途，资金拨付有完整的审批程序和手续，且未发现资金截留、挤占、挪用、虚列支出等情况。综上所述，该项指标可得满分4分。</w:t>
      </w:r>
    </w:p>
    <w:p w14:paraId="7A98E6C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（3）预算执行率（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3分，得分1.79分）</w:t>
      </w:r>
    </w:p>
    <w:p w14:paraId="56DA1A7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“预算执行率”指标用于考察项目实施年度财政资金预算执行率，预算执行率=实际支出资金/实际到位资金×100%。</w:t>
      </w:r>
    </w:p>
    <w:p w14:paraId="083512B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2024年度该项目实际到位3100.00万元，当年度实际拨付1851.1万元，预算执行率=实际支出资金/实际到位资金×100%=（1851.1/3100.00）×100%=59.71%。依据评分标准，预算执行率×指标满分值（3分）=59.71%×3=1.79分。综上所述，该项指标扣1.21分，得1.79分。</w:t>
      </w:r>
    </w:p>
    <w:p w14:paraId="771C53D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2.组织实施（</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8分，得分</w:t>
      </w:r>
      <w:r>
        <w:rPr>
          <w:rFonts w:hint="eastAsia" w:ascii="仿宋_GB2312" w:hAnsi="Times New Roman" w:eastAsia="仿宋_GB2312" w:cs="Times New Roman"/>
          <w:sz w:val="24"/>
          <w:lang w:val="en-US" w:eastAsia="zh-CN"/>
        </w:rPr>
        <w:t>8</w:t>
      </w:r>
      <w:r>
        <w:rPr>
          <w:rFonts w:hint="eastAsia" w:ascii="仿宋_GB2312" w:hAnsi="Times New Roman" w:eastAsia="仿宋_GB2312" w:cs="Times New Roman"/>
          <w:sz w:val="24"/>
          <w:lang w:val="zh-CN"/>
        </w:rPr>
        <w:t>分）</w:t>
      </w:r>
    </w:p>
    <w:p w14:paraId="14C8687F">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（1）管理制度健全性（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4分，得分4分）</w:t>
      </w:r>
    </w:p>
    <w:p w14:paraId="675D957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管理制度健全性”指标评价项目支出是否已制定或具有相应的财务、业务及监督管理制度，财务、业务、监督管理制度是否合法、合规、完整。为响应《福建省乡村振兴示范创建资金管理办法》文件精神，市委乡村振兴办和市财政局结合工作实际制定《石狮市乡村振兴示范创建资金使用管理实施细则》，明确规定资金来源、安排和使用，以及相关监督检查制度，资金使用部分按照业务流程从项目申报贯穿资金拨付以及项目调整。相关管理制度合法、合规、完整。综上所述，该项指标可得满分4分。</w:t>
      </w:r>
    </w:p>
    <w:p w14:paraId="0C3B10E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（2）制度执行有效性（</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lang w:val="en-US" w:eastAsia="zh-CN"/>
        </w:rPr>
        <w:t>4</w:t>
      </w:r>
      <w:r>
        <w:rPr>
          <w:rFonts w:hint="eastAsia" w:ascii="仿宋_GB2312" w:hAnsi="Times New Roman" w:eastAsia="仿宋_GB2312" w:cs="Times New Roman"/>
          <w:sz w:val="24"/>
          <w:lang w:val="zh-CN"/>
        </w:rPr>
        <w:t>分）</w:t>
      </w:r>
    </w:p>
    <w:p w14:paraId="51053E1F">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zh-CN"/>
        </w:rPr>
        <w:t>“制度执行有效性”指标用于评价项目管理是否遵守相关法律法规和业务管理规定，项目资料是否齐全并及时归档，项目实施的人员条件、信息支撑等是否落实到位。通过工作组的实地调研并调阅部分项目相关资料</w:t>
      </w:r>
      <w:bookmarkStart w:id="103" w:name="_Toc184981069"/>
      <w:bookmarkStart w:id="104" w:name="_Toc184981307"/>
      <w:bookmarkStart w:id="105" w:name="_Toc8999"/>
      <w:r>
        <w:rPr>
          <w:rFonts w:hint="eastAsia" w:ascii="仿宋_GB2312" w:hAnsi="Times New Roman" w:eastAsia="仿宋_GB2312" w:cs="Times New Roman"/>
          <w:sz w:val="24"/>
        </w:rPr>
        <w:t>，项目可研报告、工程开工报审表，招标合同书、监理等资料齐全并及时归档，项目实施的人员条件、信息支撑等落实到位。</w:t>
      </w:r>
      <w:r>
        <w:rPr>
          <w:rFonts w:hint="eastAsia" w:ascii="仿宋_GB2312" w:hAnsi="Times New Roman" w:eastAsia="仿宋_GB2312" w:cs="Times New Roman"/>
          <w:sz w:val="24"/>
          <w:lang w:val="zh-CN"/>
        </w:rPr>
        <w:t>综上所述，该项指标可得满分4分。</w:t>
      </w:r>
    </w:p>
    <w:p w14:paraId="512D05ED">
      <w:pPr>
        <w:spacing w:line="360" w:lineRule="auto"/>
        <w:ind w:firstLine="482" w:firstLineChars="200"/>
        <w:outlineLvl w:val="1"/>
        <w:rPr>
          <w:rFonts w:ascii="仿宋_GB2312" w:hAnsi="Times New Roman" w:eastAsia="仿宋_GB2312" w:cs="Times New Roman"/>
          <w:b/>
          <w:bCs/>
          <w:sz w:val="24"/>
        </w:rPr>
      </w:pPr>
      <w:bookmarkStart w:id="106" w:name="_Toc7039"/>
      <w:bookmarkStart w:id="107" w:name="_Toc4593"/>
      <w:bookmarkStart w:id="108" w:name="_Toc29947"/>
      <w:bookmarkStart w:id="109" w:name="_Toc205852127"/>
      <w:r>
        <w:rPr>
          <w:rFonts w:hint="eastAsia" w:ascii="仿宋_GB2312" w:hAnsi="Times New Roman" w:eastAsia="仿宋_GB2312" w:cs="Times New Roman"/>
          <w:b/>
          <w:bCs/>
          <w:sz w:val="24"/>
        </w:rPr>
        <w:t>（三）项目产出情况</w:t>
      </w:r>
      <w:bookmarkEnd w:id="103"/>
      <w:bookmarkEnd w:id="104"/>
      <w:r>
        <w:rPr>
          <w:rFonts w:hint="eastAsia" w:ascii="仿宋_GB2312" w:hAnsi="Times New Roman" w:eastAsia="仿宋_GB2312" w:cs="Times New Roman"/>
          <w:b/>
          <w:bCs/>
          <w:sz w:val="24"/>
        </w:rPr>
        <w:t>（分值30分，得分</w:t>
      </w:r>
      <w:r>
        <w:rPr>
          <w:rFonts w:hint="eastAsia" w:ascii="仿宋_GB2312" w:hAnsi="Times New Roman" w:eastAsia="仿宋_GB2312" w:cs="Times New Roman"/>
          <w:b/>
          <w:bCs/>
          <w:sz w:val="24"/>
          <w:lang w:val="en-US" w:eastAsia="zh-CN"/>
        </w:rPr>
        <w:t>24</w:t>
      </w:r>
      <w:r>
        <w:rPr>
          <w:rFonts w:hint="eastAsia" w:ascii="仿宋_GB2312" w:hAnsi="Times New Roman" w:eastAsia="仿宋_GB2312" w:cs="Times New Roman"/>
          <w:b/>
          <w:bCs/>
          <w:sz w:val="24"/>
        </w:rPr>
        <w:t>.48分）</w:t>
      </w:r>
      <w:bookmarkEnd w:id="105"/>
      <w:bookmarkEnd w:id="106"/>
      <w:bookmarkEnd w:id="107"/>
      <w:bookmarkEnd w:id="108"/>
      <w:bookmarkEnd w:id="109"/>
    </w:p>
    <w:p w14:paraId="474926B2">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rPr>
        <w:t>石狮市2024年省级示范创建项目完工、竣工验收等情况详见表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rPr>
        <w:t>：</w:t>
      </w:r>
    </w:p>
    <w:p w14:paraId="5C5E4D15">
      <w:pPr>
        <w:spacing w:line="360" w:lineRule="auto"/>
        <w:ind w:firstLine="1440" w:firstLineChars="6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 xml:space="preserve"> 2024年省级示范创建</w:t>
      </w:r>
      <w:r>
        <w:rPr>
          <w:rFonts w:hint="eastAsia" w:ascii="仿宋_GB2312" w:hAnsi="Times New Roman" w:eastAsia="仿宋_GB2312" w:cs="Times New Roman"/>
          <w:sz w:val="24"/>
          <w:lang w:val="en-US" w:eastAsia="zh-CN"/>
        </w:rPr>
        <w:t>对象项目进展情况</w:t>
      </w:r>
      <w:r>
        <w:rPr>
          <w:rFonts w:hint="eastAsia" w:ascii="仿宋_GB2312" w:hAnsi="Times New Roman" w:eastAsia="仿宋_GB2312" w:cs="Times New Roman"/>
          <w:sz w:val="24"/>
          <w:lang w:val="zh-CN"/>
        </w:rPr>
        <w:t>表       单位：万元</w:t>
      </w:r>
    </w:p>
    <w:tbl>
      <w:tblPr>
        <w:tblStyle w:val="13"/>
        <w:tblW w:w="8502" w:type="dxa"/>
        <w:tblInd w:w="113" w:type="dxa"/>
        <w:tblLayout w:type="fixed"/>
        <w:tblCellMar>
          <w:top w:w="0" w:type="dxa"/>
          <w:left w:w="108" w:type="dxa"/>
          <w:bottom w:w="0" w:type="dxa"/>
          <w:right w:w="108" w:type="dxa"/>
        </w:tblCellMar>
      </w:tblPr>
      <w:tblGrid>
        <w:gridCol w:w="457"/>
        <w:gridCol w:w="457"/>
        <w:gridCol w:w="457"/>
        <w:gridCol w:w="2878"/>
        <w:gridCol w:w="792"/>
        <w:gridCol w:w="924"/>
        <w:gridCol w:w="859"/>
        <w:gridCol w:w="858"/>
        <w:gridCol w:w="820"/>
      </w:tblGrid>
      <w:tr w14:paraId="7F5E9B29">
        <w:tblPrEx>
          <w:tblCellMar>
            <w:top w:w="0" w:type="dxa"/>
            <w:left w:w="108" w:type="dxa"/>
            <w:bottom w:w="0" w:type="dxa"/>
            <w:right w:w="108" w:type="dxa"/>
          </w:tblCellMar>
        </w:tblPrEx>
        <w:trPr>
          <w:trHeight w:val="840" w:hRule="atLeast"/>
        </w:trPr>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28C01757">
            <w:pPr>
              <w:widowControl/>
              <w:jc w:val="center"/>
              <w:rPr>
                <w:rFonts w:hint="eastAsia" w:ascii="仿宋" w:hAnsi="仿宋" w:eastAsia="仿宋" w:cs="仿宋"/>
                <w:b/>
                <w:bCs/>
                <w:sz w:val="21"/>
                <w:szCs w:val="21"/>
              </w:rPr>
            </w:pPr>
            <w:r>
              <w:rPr>
                <w:rFonts w:hint="eastAsia" w:ascii="仿宋" w:hAnsi="仿宋" w:eastAsia="仿宋" w:cs="仿宋"/>
                <w:b/>
                <w:bCs/>
                <w:sz w:val="21"/>
                <w:szCs w:val="21"/>
              </w:rPr>
              <w:t>序号</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6C4C2FFB">
            <w:pPr>
              <w:widowControl/>
              <w:jc w:val="center"/>
              <w:rPr>
                <w:rFonts w:hint="eastAsia" w:ascii="仿宋" w:hAnsi="仿宋" w:eastAsia="仿宋" w:cs="仿宋"/>
                <w:b/>
                <w:bCs/>
                <w:sz w:val="21"/>
                <w:szCs w:val="21"/>
              </w:rPr>
            </w:pPr>
            <w:r>
              <w:rPr>
                <w:rFonts w:hint="eastAsia" w:ascii="仿宋" w:hAnsi="仿宋" w:eastAsia="仿宋" w:cs="仿宋"/>
                <w:b/>
                <w:bCs/>
                <w:sz w:val="21"/>
                <w:szCs w:val="21"/>
              </w:rPr>
              <w:t>镇</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41D9A60C">
            <w:pPr>
              <w:widowControl/>
              <w:jc w:val="center"/>
              <w:rPr>
                <w:rFonts w:hint="eastAsia" w:ascii="仿宋" w:hAnsi="仿宋" w:eastAsia="仿宋" w:cs="仿宋"/>
                <w:b/>
                <w:bCs/>
                <w:sz w:val="21"/>
                <w:szCs w:val="21"/>
              </w:rPr>
            </w:pPr>
            <w:r>
              <w:rPr>
                <w:rFonts w:hint="eastAsia" w:ascii="仿宋" w:hAnsi="仿宋" w:eastAsia="仿宋" w:cs="仿宋"/>
                <w:b/>
                <w:bCs/>
                <w:sz w:val="21"/>
                <w:szCs w:val="21"/>
              </w:rPr>
              <w:t>村</w:t>
            </w:r>
          </w:p>
        </w:tc>
        <w:tc>
          <w:tcPr>
            <w:tcW w:w="2878" w:type="dxa"/>
            <w:vMerge w:val="restart"/>
            <w:tcBorders>
              <w:top w:val="single" w:color="000000" w:sz="4" w:space="0"/>
              <w:left w:val="single" w:color="000000" w:sz="4" w:space="0"/>
              <w:bottom w:val="single" w:color="000000" w:sz="4" w:space="0"/>
              <w:right w:val="single" w:color="000000" w:sz="4" w:space="0"/>
            </w:tcBorders>
            <w:vAlign w:val="center"/>
          </w:tcPr>
          <w:p w14:paraId="55C3E98F">
            <w:pPr>
              <w:widowControl/>
              <w:jc w:val="center"/>
              <w:rPr>
                <w:rFonts w:hint="eastAsia" w:ascii="仿宋" w:hAnsi="仿宋" w:eastAsia="仿宋" w:cs="仿宋"/>
                <w:b/>
                <w:bCs/>
                <w:sz w:val="21"/>
                <w:szCs w:val="21"/>
              </w:rPr>
            </w:pPr>
            <w:r>
              <w:rPr>
                <w:rFonts w:hint="eastAsia" w:ascii="仿宋" w:hAnsi="仿宋" w:eastAsia="仿宋" w:cs="仿宋"/>
                <w:b/>
                <w:bCs/>
                <w:sz w:val="21"/>
                <w:szCs w:val="21"/>
              </w:rPr>
              <w:t>项目名称</w:t>
            </w:r>
          </w:p>
        </w:tc>
        <w:tc>
          <w:tcPr>
            <w:tcW w:w="792" w:type="dxa"/>
            <w:vMerge w:val="restart"/>
            <w:tcBorders>
              <w:top w:val="single" w:color="000000" w:sz="4" w:space="0"/>
              <w:left w:val="single" w:color="000000" w:sz="4" w:space="0"/>
              <w:right w:val="single" w:color="000000" w:sz="4" w:space="0"/>
            </w:tcBorders>
            <w:vAlign w:val="center"/>
          </w:tcPr>
          <w:p w14:paraId="57E3EC90">
            <w:pPr>
              <w:widowControl/>
              <w:jc w:val="center"/>
              <w:rPr>
                <w:rFonts w:hint="eastAsia" w:ascii="仿宋" w:hAnsi="仿宋" w:eastAsia="仿宋" w:cs="仿宋"/>
                <w:b/>
                <w:bCs/>
                <w:sz w:val="21"/>
                <w:szCs w:val="21"/>
              </w:rPr>
            </w:pPr>
            <w:r>
              <w:rPr>
                <w:rFonts w:hint="eastAsia" w:ascii="仿宋" w:hAnsi="仿宋" w:eastAsia="仿宋" w:cs="仿宋"/>
                <w:b/>
                <w:bCs/>
                <w:sz w:val="21"/>
                <w:szCs w:val="21"/>
              </w:rPr>
              <w:t>项目类型</w:t>
            </w:r>
          </w:p>
        </w:tc>
        <w:tc>
          <w:tcPr>
            <w:tcW w:w="924" w:type="dxa"/>
            <w:vMerge w:val="restart"/>
            <w:tcBorders>
              <w:top w:val="single" w:color="000000" w:sz="4" w:space="0"/>
              <w:left w:val="single" w:color="000000" w:sz="4" w:space="0"/>
              <w:bottom w:val="single" w:color="000000" w:sz="4" w:space="0"/>
              <w:right w:val="single" w:color="000000" w:sz="4" w:space="0"/>
            </w:tcBorders>
            <w:vAlign w:val="center"/>
          </w:tcPr>
          <w:p w14:paraId="5DF73371">
            <w:pPr>
              <w:widowControl/>
              <w:jc w:val="center"/>
              <w:rPr>
                <w:rFonts w:hint="eastAsia" w:ascii="仿宋" w:hAnsi="仿宋" w:eastAsia="仿宋" w:cs="仿宋"/>
                <w:b/>
                <w:bCs/>
                <w:sz w:val="21"/>
                <w:szCs w:val="21"/>
              </w:rPr>
            </w:pPr>
            <w:r>
              <w:rPr>
                <w:rFonts w:hint="eastAsia" w:ascii="仿宋" w:hAnsi="仿宋" w:eastAsia="仿宋" w:cs="仿宋"/>
                <w:b/>
                <w:bCs/>
                <w:sz w:val="21"/>
                <w:szCs w:val="21"/>
              </w:rPr>
              <w:t>计划投资额</w:t>
            </w:r>
          </w:p>
        </w:tc>
        <w:tc>
          <w:tcPr>
            <w:tcW w:w="859" w:type="dxa"/>
            <w:vMerge w:val="restart"/>
            <w:tcBorders>
              <w:top w:val="single" w:color="000000" w:sz="4" w:space="0"/>
              <w:left w:val="single" w:color="000000" w:sz="4" w:space="0"/>
              <w:bottom w:val="single" w:color="000000" w:sz="4" w:space="0"/>
              <w:right w:val="single" w:color="000000" w:sz="4" w:space="0"/>
            </w:tcBorders>
            <w:vAlign w:val="center"/>
          </w:tcPr>
          <w:p w14:paraId="6F7D5BCD">
            <w:pPr>
              <w:widowControl/>
              <w:jc w:val="center"/>
              <w:rPr>
                <w:rFonts w:hint="eastAsia" w:ascii="仿宋" w:hAnsi="仿宋" w:eastAsia="仿宋" w:cs="仿宋"/>
                <w:b/>
                <w:bCs/>
                <w:sz w:val="21"/>
                <w:szCs w:val="21"/>
              </w:rPr>
            </w:pPr>
            <w:r>
              <w:rPr>
                <w:rFonts w:hint="eastAsia" w:ascii="仿宋" w:hAnsi="仿宋" w:eastAsia="仿宋" w:cs="仿宋"/>
                <w:b/>
                <w:bCs/>
                <w:sz w:val="21"/>
                <w:szCs w:val="21"/>
              </w:rPr>
              <w:t>完成投资额</w:t>
            </w:r>
          </w:p>
        </w:tc>
        <w:tc>
          <w:tcPr>
            <w:tcW w:w="858" w:type="dxa"/>
            <w:vMerge w:val="restart"/>
            <w:tcBorders>
              <w:top w:val="single" w:color="000000" w:sz="4" w:space="0"/>
              <w:left w:val="single" w:color="000000" w:sz="4" w:space="0"/>
              <w:right w:val="single" w:color="000000" w:sz="4" w:space="0"/>
            </w:tcBorders>
            <w:vAlign w:val="center"/>
          </w:tcPr>
          <w:p w14:paraId="3737BAF0">
            <w:pPr>
              <w:widowControl/>
              <w:jc w:val="center"/>
              <w:rPr>
                <w:rFonts w:hint="eastAsia" w:ascii="仿宋" w:hAnsi="仿宋" w:eastAsia="仿宋" w:cs="仿宋"/>
                <w:b/>
                <w:bCs/>
                <w:sz w:val="21"/>
                <w:szCs w:val="21"/>
              </w:rPr>
            </w:pPr>
            <w:r>
              <w:rPr>
                <w:rFonts w:hint="eastAsia" w:ascii="仿宋" w:hAnsi="仿宋" w:eastAsia="仿宋" w:cs="仿宋"/>
                <w:b/>
                <w:bCs/>
                <w:sz w:val="21"/>
                <w:szCs w:val="21"/>
              </w:rPr>
              <w:t>项目总体进度</w:t>
            </w:r>
          </w:p>
        </w:tc>
        <w:tc>
          <w:tcPr>
            <w:tcW w:w="820" w:type="dxa"/>
            <w:vMerge w:val="restart"/>
            <w:tcBorders>
              <w:top w:val="single" w:color="000000" w:sz="4" w:space="0"/>
              <w:left w:val="single" w:color="000000" w:sz="4" w:space="0"/>
              <w:bottom w:val="single" w:color="000000" w:sz="4" w:space="0"/>
              <w:right w:val="single" w:color="000000" w:sz="4" w:space="0"/>
            </w:tcBorders>
            <w:vAlign w:val="center"/>
          </w:tcPr>
          <w:p w14:paraId="700B5F94">
            <w:pPr>
              <w:widowControl/>
              <w:jc w:val="center"/>
              <w:rPr>
                <w:rFonts w:hint="eastAsia" w:ascii="仿宋" w:hAnsi="仿宋" w:eastAsia="仿宋" w:cs="仿宋"/>
                <w:b/>
                <w:bCs/>
                <w:sz w:val="21"/>
                <w:szCs w:val="21"/>
              </w:rPr>
            </w:pPr>
            <w:r>
              <w:rPr>
                <w:rFonts w:hint="eastAsia" w:ascii="仿宋" w:hAnsi="仿宋" w:eastAsia="仿宋" w:cs="仿宋"/>
                <w:b/>
                <w:bCs/>
                <w:sz w:val="21"/>
                <w:szCs w:val="21"/>
              </w:rPr>
              <w:t>竣工验收</w:t>
            </w:r>
            <w:r>
              <w:rPr>
                <w:rFonts w:hint="eastAsia" w:ascii="仿宋" w:hAnsi="仿宋" w:eastAsia="仿宋" w:cs="仿宋"/>
                <w:b/>
                <w:bCs/>
                <w:sz w:val="21"/>
                <w:szCs w:val="21"/>
                <w:lang w:val="en-US" w:eastAsia="zh-CN"/>
              </w:rPr>
              <w:t>时间</w:t>
            </w:r>
          </w:p>
        </w:tc>
      </w:tr>
      <w:tr w14:paraId="5575D4CA">
        <w:tblPrEx>
          <w:tblCellMar>
            <w:top w:w="0" w:type="dxa"/>
            <w:left w:w="108" w:type="dxa"/>
            <w:bottom w:w="0" w:type="dxa"/>
            <w:right w:w="108" w:type="dxa"/>
          </w:tblCellMar>
        </w:tblPrEx>
        <w:trPr>
          <w:trHeight w:val="312" w:hRule="atLeast"/>
        </w:trPr>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6B737166">
            <w:pPr>
              <w:widowControl/>
              <w:jc w:val="left"/>
              <w:rPr>
                <w:rFonts w:hint="eastAsia" w:ascii="仿宋_GB2312" w:hAnsi="Times New Roman" w:eastAsia="仿宋_GB2312" w:cs="Times New Roman"/>
                <w:sz w:val="24"/>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46D2397C">
            <w:pPr>
              <w:widowControl/>
              <w:jc w:val="left"/>
              <w:rPr>
                <w:rFonts w:hint="eastAsia" w:ascii="仿宋_GB2312" w:hAnsi="Times New Roman" w:eastAsia="仿宋_GB2312" w:cs="Times New Roman"/>
                <w:sz w:val="24"/>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09F42563">
            <w:pPr>
              <w:widowControl/>
              <w:jc w:val="left"/>
              <w:rPr>
                <w:rFonts w:hint="eastAsia" w:ascii="仿宋_GB2312" w:hAnsi="Times New Roman" w:eastAsia="仿宋_GB2312" w:cs="Times New Roman"/>
                <w:sz w:val="24"/>
              </w:rPr>
            </w:pPr>
          </w:p>
        </w:tc>
        <w:tc>
          <w:tcPr>
            <w:tcW w:w="2878" w:type="dxa"/>
            <w:vMerge w:val="continue"/>
            <w:tcBorders>
              <w:top w:val="single" w:color="000000" w:sz="4" w:space="0"/>
              <w:left w:val="single" w:color="000000" w:sz="4" w:space="0"/>
              <w:bottom w:val="single" w:color="000000" w:sz="4" w:space="0"/>
              <w:right w:val="single" w:color="000000" w:sz="4" w:space="0"/>
            </w:tcBorders>
            <w:vAlign w:val="center"/>
          </w:tcPr>
          <w:p w14:paraId="764B0A8C">
            <w:pPr>
              <w:widowControl/>
              <w:jc w:val="left"/>
              <w:rPr>
                <w:rFonts w:hint="eastAsia" w:ascii="仿宋_GB2312" w:hAnsi="Times New Roman" w:eastAsia="仿宋_GB2312" w:cs="Times New Roman"/>
                <w:sz w:val="24"/>
              </w:rPr>
            </w:pPr>
          </w:p>
        </w:tc>
        <w:tc>
          <w:tcPr>
            <w:tcW w:w="792" w:type="dxa"/>
            <w:vMerge w:val="continue"/>
            <w:tcBorders>
              <w:left w:val="single" w:color="000000" w:sz="4" w:space="0"/>
              <w:bottom w:val="single" w:color="000000" w:sz="4" w:space="0"/>
              <w:right w:val="single" w:color="000000" w:sz="4" w:space="0"/>
            </w:tcBorders>
          </w:tcPr>
          <w:p w14:paraId="37E096EB">
            <w:pPr>
              <w:widowControl/>
              <w:jc w:val="left"/>
              <w:rPr>
                <w:rFonts w:hint="eastAsia" w:ascii="仿宋_GB2312" w:hAnsi="Times New Roman" w:eastAsia="仿宋_GB2312" w:cs="Times New Roman"/>
                <w:sz w:val="24"/>
              </w:rPr>
            </w:pPr>
          </w:p>
        </w:tc>
        <w:tc>
          <w:tcPr>
            <w:tcW w:w="924" w:type="dxa"/>
            <w:vMerge w:val="continue"/>
            <w:tcBorders>
              <w:top w:val="single" w:color="000000" w:sz="4" w:space="0"/>
              <w:left w:val="single" w:color="000000" w:sz="4" w:space="0"/>
              <w:bottom w:val="single" w:color="000000" w:sz="4" w:space="0"/>
              <w:right w:val="single" w:color="000000" w:sz="4" w:space="0"/>
            </w:tcBorders>
            <w:vAlign w:val="center"/>
          </w:tcPr>
          <w:p w14:paraId="3E0A8B2A">
            <w:pPr>
              <w:widowControl/>
              <w:jc w:val="left"/>
              <w:rPr>
                <w:rFonts w:hint="eastAsia" w:ascii="仿宋_GB2312" w:hAnsi="Times New Roman" w:eastAsia="仿宋_GB2312" w:cs="Times New Roman"/>
                <w:sz w:val="24"/>
              </w:rPr>
            </w:pPr>
          </w:p>
        </w:tc>
        <w:tc>
          <w:tcPr>
            <w:tcW w:w="859" w:type="dxa"/>
            <w:vMerge w:val="continue"/>
            <w:tcBorders>
              <w:top w:val="single" w:color="000000" w:sz="4" w:space="0"/>
              <w:left w:val="single" w:color="000000" w:sz="4" w:space="0"/>
              <w:bottom w:val="single" w:color="000000" w:sz="4" w:space="0"/>
              <w:right w:val="single" w:color="000000" w:sz="4" w:space="0"/>
            </w:tcBorders>
            <w:vAlign w:val="center"/>
          </w:tcPr>
          <w:p w14:paraId="3589A346">
            <w:pPr>
              <w:widowControl/>
              <w:jc w:val="left"/>
              <w:rPr>
                <w:rFonts w:hint="eastAsia" w:ascii="仿宋_GB2312" w:hAnsi="Times New Roman" w:eastAsia="仿宋_GB2312" w:cs="Times New Roman"/>
                <w:sz w:val="24"/>
              </w:rPr>
            </w:pPr>
          </w:p>
        </w:tc>
        <w:tc>
          <w:tcPr>
            <w:tcW w:w="858" w:type="dxa"/>
            <w:vMerge w:val="continue"/>
            <w:tcBorders>
              <w:left w:val="single" w:color="000000" w:sz="4" w:space="0"/>
              <w:bottom w:val="single" w:color="000000" w:sz="4" w:space="0"/>
              <w:right w:val="single" w:color="000000" w:sz="4" w:space="0"/>
            </w:tcBorders>
          </w:tcPr>
          <w:p w14:paraId="7C49862C">
            <w:pPr>
              <w:widowControl/>
              <w:rPr>
                <w:rFonts w:hint="eastAsia" w:ascii="仿宋_GB2312" w:hAnsi="Times New Roman" w:eastAsia="仿宋_GB2312" w:cs="Times New Roman"/>
                <w:sz w:val="24"/>
              </w:rPr>
            </w:pPr>
          </w:p>
        </w:tc>
        <w:tc>
          <w:tcPr>
            <w:tcW w:w="820" w:type="dxa"/>
            <w:vMerge w:val="continue"/>
            <w:tcBorders>
              <w:top w:val="single" w:color="000000" w:sz="4" w:space="0"/>
              <w:left w:val="single" w:color="000000" w:sz="4" w:space="0"/>
              <w:bottom w:val="single" w:color="000000" w:sz="4" w:space="0"/>
              <w:right w:val="single" w:color="000000" w:sz="4" w:space="0"/>
            </w:tcBorders>
            <w:vAlign w:val="center"/>
          </w:tcPr>
          <w:p w14:paraId="2BAD4CB5">
            <w:pPr>
              <w:widowControl/>
              <w:jc w:val="left"/>
              <w:rPr>
                <w:rFonts w:hint="eastAsia" w:ascii="仿宋_GB2312" w:hAnsi="Times New Roman" w:eastAsia="仿宋_GB2312" w:cs="Times New Roman"/>
                <w:sz w:val="24"/>
              </w:rPr>
            </w:pPr>
          </w:p>
        </w:tc>
      </w:tr>
      <w:tr w14:paraId="646AF342">
        <w:tblPrEx>
          <w:tblCellMar>
            <w:top w:w="0" w:type="dxa"/>
            <w:left w:w="108" w:type="dxa"/>
            <w:bottom w:w="0" w:type="dxa"/>
            <w:right w:w="108" w:type="dxa"/>
          </w:tblCellMar>
        </w:tblPrEx>
        <w:trPr>
          <w:trHeight w:val="1546"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24712FF6">
            <w:pPr>
              <w:widowControl/>
              <w:jc w:val="center"/>
              <w:rPr>
                <w:rFonts w:hint="eastAsia" w:ascii="仿宋" w:hAnsi="仿宋" w:eastAsia="仿宋" w:cs="仿宋"/>
                <w:sz w:val="21"/>
                <w:szCs w:val="21"/>
              </w:rPr>
            </w:pPr>
            <w:r>
              <w:rPr>
                <w:rFonts w:hint="eastAsia" w:ascii="仿宋" w:hAnsi="仿宋" w:eastAsia="仿宋" w:cs="仿宋"/>
                <w:sz w:val="21"/>
                <w:szCs w:val="21"/>
              </w:rPr>
              <w:t>1</w:t>
            </w:r>
          </w:p>
        </w:tc>
        <w:tc>
          <w:tcPr>
            <w:tcW w:w="457" w:type="dxa"/>
            <w:vMerge w:val="restart"/>
            <w:tcBorders>
              <w:top w:val="single" w:color="000000" w:sz="4" w:space="0"/>
              <w:left w:val="single" w:color="000000" w:sz="4" w:space="0"/>
              <w:bottom w:val="nil"/>
              <w:right w:val="single" w:color="000000" w:sz="4" w:space="0"/>
            </w:tcBorders>
            <w:vAlign w:val="center"/>
          </w:tcPr>
          <w:p w14:paraId="2549BD65">
            <w:pPr>
              <w:widowControl/>
              <w:jc w:val="center"/>
              <w:rPr>
                <w:rFonts w:hint="eastAsia" w:ascii="仿宋" w:hAnsi="仿宋" w:eastAsia="仿宋" w:cs="仿宋"/>
                <w:sz w:val="21"/>
                <w:szCs w:val="21"/>
              </w:rPr>
            </w:pPr>
            <w:r>
              <w:rPr>
                <w:rFonts w:hint="eastAsia" w:ascii="仿宋" w:hAnsi="仿宋" w:eastAsia="仿宋" w:cs="仿宋"/>
                <w:sz w:val="21"/>
                <w:szCs w:val="21"/>
              </w:rPr>
              <w:t>蚶江镇</w:t>
            </w:r>
          </w:p>
        </w:tc>
        <w:tc>
          <w:tcPr>
            <w:tcW w:w="457" w:type="dxa"/>
            <w:vMerge w:val="restart"/>
            <w:tcBorders>
              <w:top w:val="single" w:color="000000" w:sz="4" w:space="0"/>
              <w:left w:val="single" w:color="000000" w:sz="4" w:space="0"/>
              <w:bottom w:val="nil"/>
              <w:right w:val="single" w:color="000000" w:sz="4" w:space="0"/>
            </w:tcBorders>
            <w:vAlign w:val="center"/>
          </w:tcPr>
          <w:p w14:paraId="18F39B0B">
            <w:pPr>
              <w:widowControl/>
              <w:jc w:val="center"/>
              <w:rPr>
                <w:rFonts w:hint="eastAsia" w:ascii="仿宋" w:hAnsi="仿宋" w:eastAsia="仿宋" w:cs="仿宋"/>
                <w:sz w:val="21"/>
                <w:szCs w:val="21"/>
              </w:rPr>
            </w:pPr>
            <w:r>
              <w:rPr>
                <w:rFonts w:hint="eastAsia" w:ascii="仿宋" w:hAnsi="仿宋" w:eastAsia="仿宋" w:cs="仿宋"/>
                <w:sz w:val="21"/>
                <w:szCs w:val="21"/>
              </w:rPr>
              <w:t>厝仔村</w:t>
            </w:r>
          </w:p>
        </w:tc>
        <w:tc>
          <w:tcPr>
            <w:tcW w:w="2878" w:type="dxa"/>
            <w:tcBorders>
              <w:top w:val="single" w:color="000000" w:sz="4" w:space="0"/>
              <w:left w:val="single" w:color="000000" w:sz="4" w:space="0"/>
              <w:bottom w:val="single" w:color="000000" w:sz="4" w:space="0"/>
              <w:right w:val="single" w:color="000000" w:sz="4" w:space="0"/>
            </w:tcBorders>
            <w:vAlign w:val="center"/>
          </w:tcPr>
          <w:p w14:paraId="548FB62F">
            <w:pPr>
              <w:widowControl/>
              <w:jc w:val="center"/>
              <w:rPr>
                <w:rFonts w:hint="eastAsia" w:ascii="仿宋" w:hAnsi="仿宋" w:eastAsia="仿宋" w:cs="仿宋"/>
                <w:sz w:val="21"/>
                <w:szCs w:val="21"/>
              </w:rPr>
            </w:pPr>
            <w:r>
              <w:rPr>
                <w:rFonts w:hint="eastAsia" w:ascii="仿宋" w:hAnsi="仿宋" w:eastAsia="仿宋" w:cs="仿宋"/>
                <w:sz w:val="21"/>
                <w:szCs w:val="21"/>
              </w:rPr>
              <w:t>厝仔村乡村振兴产品展播馆楼层及村委会楼层两侧光伏发电工程</w:t>
            </w:r>
          </w:p>
        </w:tc>
        <w:tc>
          <w:tcPr>
            <w:tcW w:w="792" w:type="dxa"/>
            <w:tcBorders>
              <w:top w:val="single" w:color="000000" w:sz="4" w:space="0"/>
              <w:left w:val="single" w:color="000000" w:sz="4" w:space="0"/>
              <w:bottom w:val="single" w:color="000000" w:sz="4" w:space="0"/>
              <w:right w:val="single" w:color="000000" w:sz="4" w:space="0"/>
            </w:tcBorders>
            <w:vAlign w:val="center"/>
          </w:tcPr>
          <w:p w14:paraId="284D03F7">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2D9DDADF">
            <w:pPr>
              <w:widowControl/>
              <w:jc w:val="center"/>
              <w:rPr>
                <w:rFonts w:hint="eastAsia" w:ascii="仿宋" w:hAnsi="仿宋" w:eastAsia="仿宋" w:cs="仿宋"/>
                <w:sz w:val="21"/>
                <w:szCs w:val="21"/>
              </w:rPr>
            </w:pPr>
            <w:r>
              <w:rPr>
                <w:rFonts w:hint="eastAsia" w:ascii="仿宋" w:hAnsi="仿宋" w:eastAsia="仿宋" w:cs="仿宋"/>
                <w:sz w:val="21"/>
                <w:szCs w:val="21"/>
              </w:rPr>
              <w:t>28</w:t>
            </w:r>
          </w:p>
        </w:tc>
        <w:tc>
          <w:tcPr>
            <w:tcW w:w="859" w:type="dxa"/>
            <w:tcBorders>
              <w:top w:val="single" w:color="000000" w:sz="4" w:space="0"/>
              <w:left w:val="single" w:color="000000" w:sz="4" w:space="0"/>
              <w:bottom w:val="single" w:color="000000" w:sz="4" w:space="0"/>
              <w:right w:val="single" w:color="000000" w:sz="4" w:space="0"/>
            </w:tcBorders>
            <w:vAlign w:val="center"/>
          </w:tcPr>
          <w:p w14:paraId="1BE26312">
            <w:pPr>
              <w:widowControl/>
              <w:jc w:val="center"/>
              <w:rPr>
                <w:rFonts w:hint="eastAsia" w:ascii="仿宋" w:hAnsi="仿宋" w:eastAsia="仿宋" w:cs="仿宋"/>
                <w:sz w:val="21"/>
                <w:szCs w:val="21"/>
              </w:rPr>
            </w:pPr>
            <w:r>
              <w:rPr>
                <w:rFonts w:hint="eastAsia" w:ascii="仿宋" w:hAnsi="仿宋" w:eastAsia="仿宋" w:cs="仿宋"/>
                <w:sz w:val="21"/>
                <w:szCs w:val="21"/>
              </w:rPr>
              <w:t>25.07</w:t>
            </w:r>
          </w:p>
        </w:tc>
        <w:tc>
          <w:tcPr>
            <w:tcW w:w="858" w:type="dxa"/>
            <w:tcBorders>
              <w:top w:val="single" w:color="000000" w:sz="4" w:space="0"/>
              <w:left w:val="single" w:color="000000" w:sz="4" w:space="0"/>
              <w:bottom w:val="single" w:color="000000" w:sz="4" w:space="0"/>
              <w:right w:val="single" w:color="000000" w:sz="4" w:space="0"/>
            </w:tcBorders>
            <w:vAlign w:val="center"/>
          </w:tcPr>
          <w:p w14:paraId="56FF7D02">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226B9CE8">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2025.5.15</w:t>
            </w:r>
          </w:p>
        </w:tc>
      </w:tr>
      <w:tr w14:paraId="68C682CD">
        <w:tblPrEx>
          <w:tblCellMar>
            <w:top w:w="0" w:type="dxa"/>
            <w:left w:w="108" w:type="dxa"/>
            <w:bottom w:w="0" w:type="dxa"/>
            <w:right w:w="108" w:type="dxa"/>
          </w:tblCellMar>
        </w:tblPrEx>
        <w:trPr>
          <w:trHeight w:val="988" w:hRule="atLeast"/>
        </w:trPr>
        <w:tc>
          <w:tcPr>
            <w:tcW w:w="457" w:type="dxa"/>
            <w:tcBorders>
              <w:top w:val="single" w:color="000000" w:sz="4" w:space="0"/>
              <w:left w:val="single" w:color="000000" w:sz="4" w:space="0"/>
              <w:bottom w:val="nil"/>
              <w:right w:val="single" w:color="000000" w:sz="4" w:space="0"/>
            </w:tcBorders>
            <w:vAlign w:val="center"/>
          </w:tcPr>
          <w:p w14:paraId="76031586">
            <w:pPr>
              <w:widowControl/>
              <w:jc w:val="center"/>
              <w:rPr>
                <w:rFonts w:hint="eastAsia" w:ascii="仿宋" w:hAnsi="仿宋" w:eastAsia="仿宋" w:cs="仿宋"/>
                <w:sz w:val="21"/>
                <w:szCs w:val="21"/>
              </w:rPr>
            </w:pPr>
            <w:r>
              <w:rPr>
                <w:rFonts w:hint="eastAsia" w:ascii="仿宋" w:hAnsi="仿宋" w:eastAsia="仿宋" w:cs="仿宋"/>
                <w:sz w:val="21"/>
                <w:szCs w:val="21"/>
              </w:rPr>
              <w:t>2</w:t>
            </w:r>
          </w:p>
        </w:tc>
        <w:tc>
          <w:tcPr>
            <w:tcW w:w="457" w:type="dxa"/>
            <w:vMerge w:val="continue"/>
            <w:tcBorders>
              <w:top w:val="single" w:color="000000" w:sz="4" w:space="0"/>
              <w:left w:val="single" w:color="000000" w:sz="4" w:space="0"/>
              <w:bottom w:val="nil"/>
              <w:right w:val="single" w:color="000000" w:sz="4" w:space="0"/>
            </w:tcBorders>
            <w:vAlign w:val="center"/>
          </w:tcPr>
          <w:p w14:paraId="6F5D9AC1">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nil"/>
              <w:right w:val="single" w:color="000000" w:sz="4" w:space="0"/>
            </w:tcBorders>
            <w:vAlign w:val="center"/>
          </w:tcPr>
          <w:p w14:paraId="7506DFA9">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nil"/>
              <w:right w:val="single" w:color="000000" w:sz="4" w:space="0"/>
            </w:tcBorders>
            <w:vAlign w:val="center"/>
          </w:tcPr>
          <w:p w14:paraId="23BF58D9">
            <w:pPr>
              <w:widowControl/>
              <w:jc w:val="center"/>
              <w:rPr>
                <w:rFonts w:hint="eastAsia" w:ascii="仿宋" w:hAnsi="仿宋" w:eastAsia="仿宋" w:cs="仿宋"/>
                <w:sz w:val="21"/>
                <w:szCs w:val="21"/>
              </w:rPr>
            </w:pPr>
            <w:r>
              <w:rPr>
                <w:rFonts w:hint="eastAsia" w:ascii="仿宋" w:hAnsi="仿宋" w:eastAsia="仿宋" w:cs="仿宋"/>
                <w:sz w:val="21"/>
                <w:szCs w:val="21"/>
              </w:rPr>
              <w:t>厝仔村乡村振兴产品展播馆装修工程</w:t>
            </w:r>
          </w:p>
        </w:tc>
        <w:tc>
          <w:tcPr>
            <w:tcW w:w="792" w:type="dxa"/>
            <w:tcBorders>
              <w:top w:val="single" w:color="000000" w:sz="4" w:space="0"/>
              <w:left w:val="single" w:color="000000" w:sz="4" w:space="0"/>
              <w:bottom w:val="nil"/>
              <w:right w:val="single" w:color="000000" w:sz="4" w:space="0"/>
            </w:tcBorders>
            <w:vAlign w:val="center"/>
          </w:tcPr>
          <w:p w14:paraId="7EC03972">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nil"/>
              <w:right w:val="single" w:color="000000" w:sz="4" w:space="0"/>
            </w:tcBorders>
            <w:vAlign w:val="center"/>
          </w:tcPr>
          <w:p w14:paraId="2F68C898">
            <w:pPr>
              <w:widowControl/>
              <w:jc w:val="center"/>
              <w:rPr>
                <w:rFonts w:hint="eastAsia" w:ascii="仿宋" w:hAnsi="仿宋" w:eastAsia="仿宋" w:cs="仿宋"/>
                <w:sz w:val="21"/>
                <w:szCs w:val="21"/>
              </w:rPr>
            </w:pPr>
            <w:r>
              <w:rPr>
                <w:rFonts w:hint="eastAsia" w:ascii="仿宋" w:hAnsi="仿宋" w:eastAsia="仿宋" w:cs="仿宋"/>
                <w:sz w:val="21"/>
                <w:szCs w:val="21"/>
              </w:rPr>
              <w:t>152</w:t>
            </w:r>
          </w:p>
        </w:tc>
        <w:tc>
          <w:tcPr>
            <w:tcW w:w="859" w:type="dxa"/>
            <w:tcBorders>
              <w:top w:val="single" w:color="000000" w:sz="4" w:space="0"/>
              <w:left w:val="single" w:color="000000" w:sz="4" w:space="0"/>
              <w:bottom w:val="nil"/>
              <w:right w:val="single" w:color="000000" w:sz="4" w:space="0"/>
            </w:tcBorders>
            <w:vAlign w:val="center"/>
          </w:tcPr>
          <w:p w14:paraId="61E4448F">
            <w:pPr>
              <w:widowControl/>
              <w:jc w:val="center"/>
              <w:rPr>
                <w:rFonts w:hint="eastAsia" w:ascii="仿宋" w:hAnsi="仿宋" w:eastAsia="仿宋" w:cs="仿宋"/>
                <w:sz w:val="21"/>
                <w:szCs w:val="21"/>
              </w:rPr>
            </w:pPr>
            <w:r>
              <w:rPr>
                <w:rFonts w:hint="eastAsia" w:ascii="仿宋" w:hAnsi="仿宋" w:eastAsia="仿宋" w:cs="仿宋"/>
                <w:sz w:val="21"/>
                <w:szCs w:val="21"/>
              </w:rPr>
              <w:t>152</w:t>
            </w:r>
          </w:p>
        </w:tc>
        <w:tc>
          <w:tcPr>
            <w:tcW w:w="858" w:type="dxa"/>
            <w:tcBorders>
              <w:top w:val="single" w:color="000000" w:sz="4" w:space="0"/>
              <w:left w:val="single" w:color="000000" w:sz="4" w:space="0"/>
              <w:bottom w:val="nil"/>
              <w:right w:val="single" w:color="000000" w:sz="4" w:space="0"/>
            </w:tcBorders>
            <w:vAlign w:val="center"/>
          </w:tcPr>
          <w:p w14:paraId="0D271DE2">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nil"/>
              <w:right w:val="single" w:color="000000" w:sz="4" w:space="0"/>
            </w:tcBorders>
            <w:vAlign w:val="center"/>
          </w:tcPr>
          <w:p w14:paraId="30B22B36">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未验收</w:t>
            </w:r>
          </w:p>
        </w:tc>
      </w:tr>
      <w:tr w14:paraId="1EFBCD1D">
        <w:tblPrEx>
          <w:tblCellMar>
            <w:top w:w="0" w:type="dxa"/>
            <w:left w:w="108" w:type="dxa"/>
            <w:bottom w:w="0" w:type="dxa"/>
            <w:right w:w="108" w:type="dxa"/>
          </w:tblCellMar>
        </w:tblPrEx>
        <w:trPr>
          <w:trHeight w:val="723" w:hRule="atLeast"/>
        </w:trPr>
        <w:tc>
          <w:tcPr>
            <w:tcW w:w="457" w:type="dxa"/>
            <w:tcBorders>
              <w:top w:val="single" w:color="000000" w:sz="4" w:space="0"/>
              <w:left w:val="single" w:color="000000" w:sz="4" w:space="0"/>
              <w:bottom w:val="nil"/>
              <w:right w:val="single" w:color="000000" w:sz="4" w:space="0"/>
            </w:tcBorders>
            <w:vAlign w:val="center"/>
          </w:tcPr>
          <w:p w14:paraId="2294ED82">
            <w:pPr>
              <w:widowControl/>
              <w:jc w:val="center"/>
              <w:rPr>
                <w:rFonts w:hint="eastAsia" w:ascii="仿宋" w:hAnsi="仿宋" w:eastAsia="仿宋" w:cs="仿宋"/>
                <w:sz w:val="21"/>
                <w:szCs w:val="21"/>
              </w:rPr>
            </w:pPr>
            <w:r>
              <w:rPr>
                <w:rFonts w:hint="eastAsia" w:ascii="仿宋" w:hAnsi="仿宋" w:eastAsia="仿宋" w:cs="仿宋"/>
                <w:sz w:val="21"/>
                <w:szCs w:val="21"/>
              </w:rPr>
              <w:t>3</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46685171">
            <w:pPr>
              <w:widowControl/>
              <w:jc w:val="center"/>
              <w:rPr>
                <w:rFonts w:hint="eastAsia" w:ascii="仿宋" w:hAnsi="仿宋" w:eastAsia="仿宋" w:cs="仿宋"/>
                <w:sz w:val="21"/>
                <w:szCs w:val="21"/>
              </w:rPr>
            </w:pPr>
            <w:r>
              <w:rPr>
                <w:rFonts w:hint="eastAsia" w:ascii="仿宋" w:hAnsi="仿宋" w:eastAsia="仿宋" w:cs="仿宋"/>
                <w:sz w:val="21"/>
                <w:szCs w:val="21"/>
              </w:rPr>
              <w:t>永宁镇</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2B094540">
            <w:pPr>
              <w:widowControl/>
              <w:jc w:val="center"/>
              <w:rPr>
                <w:rFonts w:hint="eastAsia" w:ascii="仿宋" w:hAnsi="仿宋" w:eastAsia="仿宋" w:cs="仿宋"/>
                <w:sz w:val="21"/>
                <w:szCs w:val="21"/>
              </w:rPr>
            </w:pPr>
            <w:r>
              <w:rPr>
                <w:rFonts w:hint="eastAsia" w:ascii="仿宋" w:hAnsi="仿宋" w:eastAsia="仿宋" w:cs="仿宋"/>
                <w:sz w:val="21"/>
                <w:szCs w:val="21"/>
              </w:rPr>
              <w:t>郭坑村</w:t>
            </w:r>
          </w:p>
        </w:tc>
        <w:tc>
          <w:tcPr>
            <w:tcW w:w="2878" w:type="dxa"/>
            <w:tcBorders>
              <w:top w:val="single" w:color="000000" w:sz="4" w:space="0"/>
              <w:left w:val="single" w:color="000000" w:sz="4" w:space="0"/>
              <w:bottom w:val="nil"/>
              <w:right w:val="single" w:color="000000" w:sz="4" w:space="0"/>
            </w:tcBorders>
            <w:vAlign w:val="center"/>
          </w:tcPr>
          <w:p w14:paraId="1DB282FE">
            <w:pPr>
              <w:widowControl/>
              <w:jc w:val="center"/>
              <w:rPr>
                <w:rFonts w:hint="eastAsia" w:ascii="仿宋" w:hAnsi="仿宋" w:eastAsia="仿宋" w:cs="仿宋"/>
                <w:sz w:val="21"/>
                <w:szCs w:val="21"/>
              </w:rPr>
            </w:pPr>
            <w:r>
              <w:rPr>
                <w:rFonts w:hint="eastAsia" w:ascii="仿宋" w:hAnsi="仿宋" w:eastAsia="仿宋" w:cs="仿宋"/>
                <w:sz w:val="21"/>
                <w:szCs w:val="21"/>
              </w:rPr>
              <w:t>郭坑村光伏发电建设第三期项目</w:t>
            </w:r>
          </w:p>
        </w:tc>
        <w:tc>
          <w:tcPr>
            <w:tcW w:w="792" w:type="dxa"/>
            <w:tcBorders>
              <w:top w:val="single" w:color="000000" w:sz="4" w:space="0"/>
              <w:left w:val="single" w:color="000000" w:sz="4" w:space="0"/>
              <w:bottom w:val="nil"/>
              <w:right w:val="single" w:color="000000" w:sz="4" w:space="0"/>
            </w:tcBorders>
            <w:vAlign w:val="center"/>
          </w:tcPr>
          <w:p w14:paraId="6457FC79">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nil"/>
              <w:right w:val="single" w:color="000000" w:sz="4" w:space="0"/>
            </w:tcBorders>
            <w:vAlign w:val="center"/>
          </w:tcPr>
          <w:p w14:paraId="1E7DA29F">
            <w:pPr>
              <w:widowControl/>
              <w:jc w:val="center"/>
              <w:rPr>
                <w:rFonts w:hint="eastAsia" w:ascii="仿宋" w:hAnsi="仿宋" w:eastAsia="仿宋" w:cs="仿宋"/>
                <w:sz w:val="21"/>
                <w:szCs w:val="21"/>
              </w:rPr>
            </w:pPr>
            <w:r>
              <w:rPr>
                <w:rFonts w:hint="eastAsia" w:ascii="仿宋" w:hAnsi="仿宋" w:eastAsia="仿宋" w:cs="仿宋"/>
                <w:sz w:val="21"/>
                <w:szCs w:val="21"/>
              </w:rPr>
              <w:t>120</w:t>
            </w:r>
          </w:p>
        </w:tc>
        <w:tc>
          <w:tcPr>
            <w:tcW w:w="859" w:type="dxa"/>
            <w:tcBorders>
              <w:top w:val="single" w:color="000000" w:sz="4" w:space="0"/>
              <w:left w:val="single" w:color="000000" w:sz="4" w:space="0"/>
              <w:bottom w:val="nil"/>
              <w:right w:val="single" w:color="000000" w:sz="4" w:space="0"/>
            </w:tcBorders>
            <w:vAlign w:val="center"/>
          </w:tcPr>
          <w:p w14:paraId="54D4807B">
            <w:pPr>
              <w:widowControl/>
              <w:jc w:val="center"/>
              <w:rPr>
                <w:rFonts w:hint="eastAsia" w:ascii="仿宋" w:hAnsi="仿宋" w:eastAsia="仿宋" w:cs="仿宋"/>
                <w:sz w:val="21"/>
                <w:szCs w:val="21"/>
              </w:rPr>
            </w:pPr>
            <w:r>
              <w:rPr>
                <w:rFonts w:hint="eastAsia" w:ascii="仿宋" w:hAnsi="仿宋" w:eastAsia="仿宋" w:cs="仿宋"/>
                <w:sz w:val="21"/>
                <w:szCs w:val="21"/>
              </w:rPr>
              <w:t>119.33</w:t>
            </w:r>
          </w:p>
        </w:tc>
        <w:tc>
          <w:tcPr>
            <w:tcW w:w="858" w:type="dxa"/>
            <w:tcBorders>
              <w:top w:val="single" w:color="000000" w:sz="4" w:space="0"/>
              <w:left w:val="single" w:color="000000" w:sz="4" w:space="0"/>
              <w:bottom w:val="nil"/>
              <w:right w:val="single" w:color="000000" w:sz="4" w:space="0"/>
            </w:tcBorders>
            <w:vAlign w:val="center"/>
          </w:tcPr>
          <w:p w14:paraId="7751DCE6">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nil"/>
              <w:right w:val="single" w:color="000000" w:sz="4" w:space="0"/>
            </w:tcBorders>
            <w:vAlign w:val="center"/>
          </w:tcPr>
          <w:p w14:paraId="1A946B2D">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2024.12.25</w:t>
            </w:r>
          </w:p>
        </w:tc>
      </w:tr>
      <w:tr w14:paraId="6423EC76">
        <w:tblPrEx>
          <w:tblCellMar>
            <w:top w:w="0" w:type="dxa"/>
            <w:left w:w="108" w:type="dxa"/>
            <w:bottom w:w="0" w:type="dxa"/>
            <w:right w:w="108" w:type="dxa"/>
          </w:tblCellMar>
        </w:tblPrEx>
        <w:trPr>
          <w:trHeight w:val="721"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3CF8963F">
            <w:pPr>
              <w:widowControl/>
              <w:jc w:val="center"/>
              <w:rPr>
                <w:rFonts w:hint="eastAsia" w:ascii="仿宋" w:hAnsi="仿宋" w:eastAsia="仿宋" w:cs="仿宋"/>
                <w:sz w:val="21"/>
                <w:szCs w:val="21"/>
              </w:rPr>
            </w:pPr>
            <w:r>
              <w:rPr>
                <w:rFonts w:hint="eastAsia" w:ascii="仿宋" w:hAnsi="仿宋" w:eastAsia="仿宋" w:cs="仿宋"/>
                <w:sz w:val="21"/>
                <w:szCs w:val="21"/>
              </w:rPr>
              <w:t>4</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27A8B805">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0EA85616">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vAlign w:val="center"/>
          </w:tcPr>
          <w:p w14:paraId="6AFB3B4B">
            <w:pPr>
              <w:widowControl/>
              <w:jc w:val="center"/>
              <w:rPr>
                <w:rFonts w:hint="eastAsia" w:ascii="仿宋" w:hAnsi="仿宋" w:eastAsia="仿宋" w:cs="仿宋"/>
                <w:sz w:val="21"/>
                <w:szCs w:val="21"/>
              </w:rPr>
            </w:pPr>
            <w:r>
              <w:rPr>
                <w:rFonts w:hint="eastAsia" w:ascii="仿宋" w:hAnsi="仿宋" w:eastAsia="仿宋" w:cs="仿宋"/>
                <w:sz w:val="21"/>
                <w:szCs w:val="21"/>
              </w:rPr>
              <w:t>郭坑村入村大道修建工程</w:t>
            </w:r>
          </w:p>
        </w:tc>
        <w:tc>
          <w:tcPr>
            <w:tcW w:w="792" w:type="dxa"/>
            <w:tcBorders>
              <w:top w:val="single" w:color="000000" w:sz="4" w:space="0"/>
              <w:left w:val="single" w:color="000000" w:sz="4" w:space="0"/>
              <w:bottom w:val="single" w:color="000000" w:sz="4" w:space="0"/>
              <w:right w:val="single" w:color="000000" w:sz="4" w:space="0"/>
            </w:tcBorders>
            <w:vAlign w:val="center"/>
          </w:tcPr>
          <w:p w14:paraId="431E9A04">
            <w:pPr>
              <w:widowControl/>
              <w:jc w:val="center"/>
              <w:rPr>
                <w:rFonts w:hint="eastAsia" w:ascii="仿宋" w:hAnsi="仿宋" w:eastAsia="仿宋" w:cs="仿宋"/>
                <w:sz w:val="21"/>
                <w:szCs w:val="21"/>
              </w:rPr>
            </w:pPr>
            <w:r>
              <w:rPr>
                <w:rFonts w:hint="eastAsia" w:ascii="仿宋" w:hAnsi="仿宋" w:eastAsia="仿宋" w:cs="仿宋"/>
                <w:sz w:val="21"/>
                <w:szCs w:val="21"/>
              </w:rPr>
              <w:t>基础设施</w:t>
            </w:r>
          </w:p>
        </w:tc>
        <w:tc>
          <w:tcPr>
            <w:tcW w:w="924" w:type="dxa"/>
            <w:tcBorders>
              <w:top w:val="single" w:color="000000" w:sz="4" w:space="0"/>
              <w:left w:val="single" w:color="000000" w:sz="4" w:space="0"/>
              <w:bottom w:val="single" w:color="000000" w:sz="4" w:space="0"/>
              <w:right w:val="single" w:color="000000" w:sz="4" w:space="0"/>
            </w:tcBorders>
            <w:vAlign w:val="center"/>
          </w:tcPr>
          <w:p w14:paraId="08076958">
            <w:pPr>
              <w:widowControl/>
              <w:jc w:val="center"/>
              <w:rPr>
                <w:rFonts w:hint="eastAsia" w:ascii="仿宋" w:hAnsi="仿宋" w:eastAsia="仿宋" w:cs="仿宋"/>
                <w:sz w:val="21"/>
                <w:szCs w:val="21"/>
              </w:rPr>
            </w:pPr>
            <w:r>
              <w:rPr>
                <w:rFonts w:hint="eastAsia" w:ascii="仿宋" w:hAnsi="仿宋" w:eastAsia="仿宋" w:cs="仿宋"/>
                <w:sz w:val="21"/>
                <w:szCs w:val="21"/>
              </w:rPr>
              <w:t>60</w:t>
            </w:r>
          </w:p>
        </w:tc>
        <w:tc>
          <w:tcPr>
            <w:tcW w:w="859" w:type="dxa"/>
            <w:tcBorders>
              <w:top w:val="single" w:color="000000" w:sz="4" w:space="0"/>
              <w:left w:val="single" w:color="000000" w:sz="4" w:space="0"/>
              <w:bottom w:val="single" w:color="000000" w:sz="4" w:space="0"/>
              <w:right w:val="single" w:color="000000" w:sz="4" w:space="0"/>
            </w:tcBorders>
            <w:vAlign w:val="center"/>
          </w:tcPr>
          <w:p w14:paraId="1F60F8F0">
            <w:pPr>
              <w:widowControl/>
              <w:jc w:val="center"/>
              <w:rPr>
                <w:rFonts w:hint="eastAsia" w:ascii="仿宋" w:hAnsi="仿宋" w:eastAsia="仿宋" w:cs="仿宋"/>
                <w:sz w:val="21"/>
                <w:szCs w:val="21"/>
              </w:rPr>
            </w:pPr>
            <w:r>
              <w:rPr>
                <w:rFonts w:hint="eastAsia" w:ascii="仿宋" w:hAnsi="仿宋" w:eastAsia="仿宋" w:cs="仿宋"/>
                <w:sz w:val="21"/>
                <w:szCs w:val="21"/>
              </w:rPr>
              <w:t>69.01</w:t>
            </w:r>
          </w:p>
        </w:tc>
        <w:tc>
          <w:tcPr>
            <w:tcW w:w="858" w:type="dxa"/>
            <w:tcBorders>
              <w:top w:val="single" w:color="000000" w:sz="4" w:space="0"/>
              <w:left w:val="single" w:color="000000" w:sz="4" w:space="0"/>
              <w:bottom w:val="single" w:color="000000" w:sz="4" w:space="0"/>
              <w:right w:val="single" w:color="000000" w:sz="4" w:space="0"/>
            </w:tcBorders>
            <w:vAlign w:val="center"/>
          </w:tcPr>
          <w:p w14:paraId="663AC9DB">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785EB903">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2024.11.21</w:t>
            </w:r>
          </w:p>
        </w:tc>
      </w:tr>
      <w:tr w14:paraId="31315852">
        <w:tblPrEx>
          <w:tblCellMar>
            <w:top w:w="0" w:type="dxa"/>
            <w:left w:w="108" w:type="dxa"/>
            <w:bottom w:w="0" w:type="dxa"/>
            <w:right w:w="108" w:type="dxa"/>
          </w:tblCellMar>
        </w:tblPrEx>
        <w:trPr>
          <w:trHeight w:val="719"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13344C8">
            <w:pPr>
              <w:widowControl/>
              <w:jc w:val="center"/>
              <w:rPr>
                <w:rFonts w:hint="eastAsia" w:ascii="仿宋" w:hAnsi="仿宋" w:eastAsia="仿宋" w:cs="仿宋"/>
                <w:sz w:val="21"/>
                <w:szCs w:val="21"/>
              </w:rPr>
            </w:pPr>
            <w:r>
              <w:rPr>
                <w:rFonts w:hint="eastAsia" w:ascii="仿宋" w:hAnsi="仿宋" w:eastAsia="仿宋" w:cs="仿宋"/>
                <w:sz w:val="21"/>
                <w:szCs w:val="21"/>
              </w:rPr>
              <w:t>5</w:t>
            </w:r>
          </w:p>
        </w:tc>
        <w:tc>
          <w:tcPr>
            <w:tcW w:w="457" w:type="dxa"/>
            <w:vMerge w:val="restart"/>
            <w:tcBorders>
              <w:top w:val="nil"/>
              <w:left w:val="single" w:color="000000" w:sz="4" w:space="0"/>
              <w:bottom w:val="single" w:color="000000" w:sz="4" w:space="0"/>
              <w:right w:val="single" w:color="000000" w:sz="4" w:space="0"/>
            </w:tcBorders>
            <w:vAlign w:val="center"/>
          </w:tcPr>
          <w:p w14:paraId="36E2854C">
            <w:pPr>
              <w:widowControl/>
              <w:jc w:val="center"/>
              <w:rPr>
                <w:rFonts w:hint="eastAsia" w:ascii="仿宋" w:hAnsi="仿宋" w:eastAsia="仿宋" w:cs="仿宋"/>
                <w:sz w:val="21"/>
                <w:szCs w:val="21"/>
              </w:rPr>
            </w:pPr>
            <w:r>
              <w:rPr>
                <w:rFonts w:hint="eastAsia" w:ascii="仿宋" w:hAnsi="仿宋" w:eastAsia="仿宋" w:cs="仿宋"/>
                <w:sz w:val="21"/>
                <w:szCs w:val="21"/>
              </w:rPr>
              <w:t>永宁镇</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2B2089E1">
            <w:pPr>
              <w:widowControl/>
              <w:jc w:val="center"/>
              <w:rPr>
                <w:rFonts w:hint="eastAsia" w:ascii="仿宋" w:hAnsi="仿宋" w:eastAsia="仿宋" w:cs="仿宋"/>
                <w:sz w:val="21"/>
                <w:szCs w:val="21"/>
              </w:rPr>
            </w:pPr>
            <w:r>
              <w:rPr>
                <w:rFonts w:hint="eastAsia" w:ascii="仿宋" w:hAnsi="仿宋" w:eastAsia="仿宋" w:cs="仿宋"/>
                <w:sz w:val="21"/>
                <w:szCs w:val="21"/>
              </w:rPr>
              <w:t>西偏村</w:t>
            </w:r>
          </w:p>
        </w:tc>
        <w:tc>
          <w:tcPr>
            <w:tcW w:w="2878" w:type="dxa"/>
            <w:tcBorders>
              <w:top w:val="single" w:color="000000" w:sz="4" w:space="0"/>
              <w:left w:val="single" w:color="000000" w:sz="4" w:space="0"/>
              <w:bottom w:val="single" w:color="000000" w:sz="4" w:space="0"/>
              <w:right w:val="single" w:color="000000" w:sz="4" w:space="0"/>
            </w:tcBorders>
            <w:vAlign w:val="center"/>
          </w:tcPr>
          <w:p w14:paraId="1A564B57">
            <w:pPr>
              <w:widowControl/>
              <w:jc w:val="center"/>
              <w:rPr>
                <w:rFonts w:hint="eastAsia" w:ascii="仿宋" w:hAnsi="仿宋" w:eastAsia="仿宋" w:cs="仿宋"/>
                <w:sz w:val="21"/>
                <w:szCs w:val="21"/>
              </w:rPr>
            </w:pPr>
            <w:r>
              <w:rPr>
                <w:rFonts w:hint="eastAsia" w:ascii="仿宋" w:hAnsi="仿宋" w:eastAsia="仿宋" w:cs="仿宋"/>
                <w:sz w:val="21"/>
                <w:szCs w:val="21"/>
              </w:rPr>
              <w:t>西偏村体育文创园工程（二期）</w:t>
            </w:r>
          </w:p>
        </w:tc>
        <w:tc>
          <w:tcPr>
            <w:tcW w:w="792" w:type="dxa"/>
            <w:tcBorders>
              <w:top w:val="single" w:color="000000" w:sz="4" w:space="0"/>
              <w:left w:val="single" w:color="000000" w:sz="4" w:space="0"/>
              <w:bottom w:val="single" w:color="000000" w:sz="4" w:space="0"/>
              <w:right w:val="single" w:color="000000" w:sz="4" w:space="0"/>
            </w:tcBorders>
            <w:vAlign w:val="center"/>
          </w:tcPr>
          <w:p w14:paraId="7B9510D5">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20B3BF7B">
            <w:pPr>
              <w:widowControl/>
              <w:jc w:val="center"/>
              <w:rPr>
                <w:rFonts w:hint="eastAsia" w:ascii="仿宋" w:hAnsi="仿宋" w:eastAsia="仿宋" w:cs="仿宋"/>
                <w:sz w:val="21"/>
                <w:szCs w:val="21"/>
              </w:rPr>
            </w:pPr>
            <w:r>
              <w:rPr>
                <w:rFonts w:hint="eastAsia" w:ascii="仿宋" w:hAnsi="仿宋" w:eastAsia="仿宋" w:cs="仿宋"/>
                <w:sz w:val="21"/>
                <w:szCs w:val="21"/>
              </w:rPr>
              <w:t>2000</w:t>
            </w:r>
          </w:p>
        </w:tc>
        <w:tc>
          <w:tcPr>
            <w:tcW w:w="859" w:type="dxa"/>
            <w:tcBorders>
              <w:top w:val="single" w:color="000000" w:sz="4" w:space="0"/>
              <w:left w:val="single" w:color="000000" w:sz="4" w:space="0"/>
              <w:bottom w:val="single" w:color="000000" w:sz="4" w:space="0"/>
              <w:right w:val="single" w:color="000000" w:sz="4" w:space="0"/>
            </w:tcBorders>
            <w:vAlign w:val="center"/>
          </w:tcPr>
          <w:p w14:paraId="2AC58E27">
            <w:pPr>
              <w:widowControl/>
              <w:jc w:val="center"/>
              <w:rPr>
                <w:rFonts w:hint="eastAsia" w:ascii="仿宋" w:hAnsi="仿宋" w:eastAsia="仿宋" w:cs="仿宋"/>
                <w:sz w:val="21"/>
                <w:szCs w:val="21"/>
              </w:rPr>
            </w:pPr>
            <w:r>
              <w:rPr>
                <w:rFonts w:hint="eastAsia" w:ascii="仿宋" w:hAnsi="仿宋" w:eastAsia="仿宋" w:cs="仿宋"/>
                <w:sz w:val="21"/>
                <w:szCs w:val="21"/>
              </w:rPr>
              <w:t>2328.18</w:t>
            </w:r>
          </w:p>
        </w:tc>
        <w:tc>
          <w:tcPr>
            <w:tcW w:w="858" w:type="dxa"/>
            <w:tcBorders>
              <w:top w:val="single" w:color="000000" w:sz="4" w:space="0"/>
              <w:left w:val="single" w:color="000000" w:sz="4" w:space="0"/>
              <w:bottom w:val="single" w:color="000000" w:sz="4" w:space="0"/>
              <w:right w:val="single" w:color="000000" w:sz="4" w:space="0"/>
            </w:tcBorders>
            <w:vAlign w:val="center"/>
          </w:tcPr>
          <w:p w14:paraId="77EB380B">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15D201F3">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2024.10.08</w:t>
            </w:r>
          </w:p>
        </w:tc>
      </w:tr>
      <w:tr w14:paraId="648B3E81">
        <w:tblPrEx>
          <w:tblCellMar>
            <w:top w:w="0" w:type="dxa"/>
            <w:left w:w="108" w:type="dxa"/>
            <w:bottom w:w="0" w:type="dxa"/>
            <w:right w:w="108" w:type="dxa"/>
          </w:tblCellMar>
        </w:tblPrEx>
        <w:trPr>
          <w:trHeight w:val="575"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4D161EA0">
            <w:pPr>
              <w:widowControl/>
              <w:jc w:val="center"/>
              <w:rPr>
                <w:rFonts w:hint="eastAsia" w:ascii="仿宋" w:hAnsi="仿宋" w:eastAsia="仿宋" w:cs="仿宋"/>
                <w:sz w:val="21"/>
                <w:szCs w:val="21"/>
              </w:rPr>
            </w:pPr>
            <w:r>
              <w:rPr>
                <w:rFonts w:hint="eastAsia" w:ascii="仿宋" w:hAnsi="仿宋" w:eastAsia="仿宋" w:cs="仿宋"/>
                <w:sz w:val="21"/>
                <w:szCs w:val="21"/>
              </w:rPr>
              <w:t>6</w:t>
            </w:r>
          </w:p>
        </w:tc>
        <w:tc>
          <w:tcPr>
            <w:tcW w:w="457" w:type="dxa"/>
            <w:vMerge w:val="continue"/>
            <w:tcBorders>
              <w:top w:val="nil"/>
              <w:left w:val="single" w:color="000000" w:sz="4" w:space="0"/>
              <w:bottom w:val="single" w:color="000000" w:sz="4" w:space="0"/>
              <w:right w:val="single" w:color="000000" w:sz="4" w:space="0"/>
            </w:tcBorders>
            <w:vAlign w:val="center"/>
          </w:tcPr>
          <w:p w14:paraId="64A1BBFC">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2BB5A6E9">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vAlign w:val="center"/>
          </w:tcPr>
          <w:p w14:paraId="72D115DA">
            <w:pPr>
              <w:widowControl/>
              <w:jc w:val="center"/>
              <w:rPr>
                <w:rFonts w:hint="eastAsia" w:ascii="仿宋" w:hAnsi="仿宋" w:eastAsia="仿宋" w:cs="仿宋"/>
                <w:sz w:val="21"/>
                <w:szCs w:val="21"/>
              </w:rPr>
            </w:pPr>
            <w:r>
              <w:rPr>
                <w:rFonts w:hint="eastAsia" w:ascii="仿宋" w:hAnsi="仿宋" w:eastAsia="仿宋" w:cs="仿宋"/>
                <w:sz w:val="21"/>
                <w:szCs w:val="21"/>
              </w:rPr>
              <w:t>万里碧道建设项目</w:t>
            </w:r>
          </w:p>
        </w:tc>
        <w:tc>
          <w:tcPr>
            <w:tcW w:w="792" w:type="dxa"/>
            <w:tcBorders>
              <w:top w:val="single" w:color="000000" w:sz="4" w:space="0"/>
              <w:left w:val="single" w:color="000000" w:sz="4" w:space="0"/>
              <w:bottom w:val="single" w:color="000000" w:sz="4" w:space="0"/>
              <w:right w:val="single" w:color="000000" w:sz="4" w:space="0"/>
            </w:tcBorders>
            <w:vAlign w:val="center"/>
          </w:tcPr>
          <w:p w14:paraId="5A404AE6">
            <w:pPr>
              <w:widowControl/>
              <w:jc w:val="center"/>
              <w:rPr>
                <w:rFonts w:hint="eastAsia" w:ascii="仿宋" w:hAnsi="仿宋" w:eastAsia="仿宋" w:cs="仿宋"/>
                <w:sz w:val="21"/>
                <w:szCs w:val="21"/>
              </w:rPr>
            </w:pPr>
            <w:r>
              <w:rPr>
                <w:rFonts w:hint="eastAsia" w:ascii="仿宋" w:hAnsi="仿宋" w:eastAsia="仿宋" w:cs="仿宋"/>
                <w:sz w:val="21"/>
                <w:szCs w:val="21"/>
              </w:rPr>
              <w:t>公共服务</w:t>
            </w:r>
          </w:p>
        </w:tc>
        <w:tc>
          <w:tcPr>
            <w:tcW w:w="924" w:type="dxa"/>
            <w:tcBorders>
              <w:top w:val="single" w:color="000000" w:sz="4" w:space="0"/>
              <w:left w:val="single" w:color="000000" w:sz="4" w:space="0"/>
              <w:bottom w:val="single" w:color="000000" w:sz="4" w:space="0"/>
              <w:right w:val="single" w:color="000000" w:sz="4" w:space="0"/>
            </w:tcBorders>
            <w:vAlign w:val="center"/>
          </w:tcPr>
          <w:p w14:paraId="6F863963">
            <w:pPr>
              <w:widowControl/>
              <w:jc w:val="center"/>
              <w:rPr>
                <w:rFonts w:hint="eastAsia" w:ascii="仿宋" w:hAnsi="仿宋" w:eastAsia="仿宋" w:cs="仿宋"/>
                <w:sz w:val="21"/>
                <w:szCs w:val="21"/>
              </w:rPr>
            </w:pPr>
            <w:r>
              <w:rPr>
                <w:rFonts w:hint="eastAsia" w:ascii="仿宋" w:hAnsi="仿宋" w:eastAsia="仿宋" w:cs="仿宋"/>
                <w:sz w:val="21"/>
                <w:szCs w:val="21"/>
              </w:rPr>
              <w:t>45</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0B547105">
            <w:pPr>
              <w:widowControl/>
              <w:jc w:val="center"/>
              <w:rPr>
                <w:rFonts w:hint="eastAsia" w:ascii="仿宋" w:hAnsi="仿宋" w:eastAsia="仿宋" w:cs="仿宋"/>
                <w:sz w:val="21"/>
                <w:szCs w:val="21"/>
              </w:rPr>
            </w:pPr>
            <w:r>
              <w:rPr>
                <w:rFonts w:hint="eastAsia" w:ascii="仿宋" w:hAnsi="仿宋" w:eastAsia="仿宋" w:cs="仿宋"/>
                <w:sz w:val="21"/>
                <w:szCs w:val="21"/>
              </w:rPr>
              <w:t>51.01</w:t>
            </w:r>
          </w:p>
        </w:tc>
        <w:tc>
          <w:tcPr>
            <w:tcW w:w="858" w:type="dxa"/>
            <w:tcBorders>
              <w:top w:val="single" w:color="000000" w:sz="4" w:space="0"/>
              <w:left w:val="single" w:color="000000" w:sz="4" w:space="0"/>
              <w:bottom w:val="single" w:color="000000" w:sz="4" w:space="0"/>
              <w:right w:val="single" w:color="000000" w:sz="4" w:space="0"/>
            </w:tcBorders>
            <w:vAlign w:val="center"/>
          </w:tcPr>
          <w:p w14:paraId="41808F94">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7C10F488">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2024.11.11</w:t>
            </w:r>
          </w:p>
        </w:tc>
      </w:tr>
      <w:tr w14:paraId="06936458">
        <w:tblPrEx>
          <w:tblCellMar>
            <w:top w:w="0" w:type="dxa"/>
            <w:left w:w="108" w:type="dxa"/>
            <w:bottom w:w="0" w:type="dxa"/>
            <w:right w:w="108" w:type="dxa"/>
          </w:tblCellMar>
        </w:tblPrEx>
        <w:trPr>
          <w:trHeight w:val="1140"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4CE9B813">
            <w:pPr>
              <w:widowControl/>
              <w:jc w:val="center"/>
              <w:rPr>
                <w:rFonts w:hint="eastAsia" w:ascii="仿宋" w:hAnsi="仿宋" w:eastAsia="仿宋" w:cs="仿宋"/>
                <w:sz w:val="21"/>
                <w:szCs w:val="21"/>
              </w:rPr>
            </w:pPr>
            <w:r>
              <w:rPr>
                <w:rFonts w:hint="eastAsia" w:ascii="仿宋" w:hAnsi="仿宋" w:eastAsia="仿宋" w:cs="仿宋"/>
                <w:sz w:val="21"/>
                <w:szCs w:val="21"/>
              </w:rPr>
              <w:t>7</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3D47893E">
            <w:pPr>
              <w:widowControl/>
              <w:jc w:val="center"/>
              <w:rPr>
                <w:rFonts w:hint="eastAsia" w:ascii="仿宋" w:hAnsi="仿宋" w:eastAsia="仿宋" w:cs="仿宋"/>
                <w:sz w:val="21"/>
                <w:szCs w:val="21"/>
              </w:rPr>
            </w:pPr>
            <w:r>
              <w:rPr>
                <w:rFonts w:hint="eastAsia" w:ascii="仿宋" w:hAnsi="仿宋" w:eastAsia="仿宋" w:cs="仿宋"/>
                <w:sz w:val="21"/>
                <w:szCs w:val="21"/>
              </w:rPr>
              <w:t>祥芝镇</w:t>
            </w:r>
          </w:p>
        </w:tc>
        <w:tc>
          <w:tcPr>
            <w:tcW w:w="457" w:type="dxa"/>
            <w:vMerge w:val="restart"/>
            <w:tcBorders>
              <w:top w:val="single" w:color="000000" w:sz="4" w:space="0"/>
              <w:left w:val="single" w:color="000000" w:sz="4" w:space="0"/>
              <w:bottom w:val="single" w:color="000000" w:sz="4" w:space="0"/>
              <w:right w:val="single" w:color="000000" w:sz="4" w:space="0"/>
            </w:tcBorders>
            <w:vAlign w:val="center"/>
          </w:tcPr>
          <w:p w14:paraId="7C68EF47">
            <w:pPr>
              <w:widowControl/>
              <w:jc w:val="center"/>
              <w:rPr>
                <w:rFonts w:hint="eastAsia" w:ascii="仿宋" w:hAnsi="仿宋" w:eastAsia="仿宋" w:cs="仿宋"/>
                <w:sz w:val="21"/>
                <w:szCs w:val="21"/>
              </w:rPr>
            </w:pPr>
            <w:r>
              <w:rPr>
                <w:rFonts w:hint="eastAsia" w:ascii="仿宋" w:hAnsi="仿宋" w:eastAsia="仿宋" w:cs="仿宋"/>
                <w:sz w:val="21"/>
                <w:szCs w:val="21"/>
              </w:rPr>
              <w:t>湖西村</w:t>
            </w:r>
          </w:p>
        </w:tc>
        <w:tc>
          <w:tcPr>
            <w:tcW w:w="2878" w:type="dxa"/>
            <w:tcBorders>
              <w:top w:val="single" w:color="000000" w:sz="4" w:space="0"/>
              <w:left w:val="single" w:color="000000" w:sz="4" w:space="0"/>
              <w:bottom w:val="single" w:color="000000" w:sz="4" w:space="0"/>
              <w:right w:val="single" w:color="000000" w:sz="4" w:space="0"/>
            </w:tcBorders>
            <w:vAlign w:val="center"/>
          </w:tcPr>
          <w:p w14:paraId="60B07C3D">
            <w:pPr>
              <w:widowControl/>
              <w:jc w:val="center"/>
              <w:rPr>
                <w:rFonts w:hint="eastAsia" w:ascii="仿宋" w:hAnsi="仿宋" w:eastAsia="仿宋" w:cs="仿宋"/>
                <w:sz w:val="21"/>
                <w:szCs w:val="21"/>
              </w:rPr>
            </w:pPr>
            <w:r>
              <w:rPr>
                <w:rFonts w:hint="eastAsia" w:ascii="仿宋" w:hAnsi="仿宋" w:eastAsia="仿宋" w:cs="仿宋"/>
                <w:sz w:val="21"/>
                <w:szCs w:val="21"/>
              </w:rPr>
              <w:t>湖西村宜居住宅小区配套设施工程</w:t>
            </w:r>
          </w:p>
        </w:tc>
        <w:tc>
          <w:tcPr>
            <w:tcW w:w="792" w:type="dxa"/>
            <w:tcBorders>
              <w:top w:val="single" w:color="000000" w:sz="4" w:space="0"/>
              <w:left w:val="single" w:color="000000" w:sz="4" w:space="0"/>
              <w:bottom w:val="single" w:color="000000" w:sz="4" w:space="0"/>
              <w:right w:val="single" w:color="000000" w:sz="4" w:space="0"/>
            </w:tcBorders>
            <w:vAlign w:val="center"/>
          </w:tcPr>
          <w:p w14:paraId="6D9B1D54">
            <w:pPr>
              <w:widowControl/>
              <w:jc w:val="center"/>
              <w:rPr>
                <w:rFonts w:hint="eastAsia" w:ascii="仿宋" w:hAnsi="仿宋" w:eastAsia="仿宋" w:cs="仿宋"/>
                <w:sz w:val="21"/>
                <w:szCs w:val="21"/>
              </w:rPr>
            </w:pPr>
            <w:r>
              <w:rPr>
                <w:rFonts w:hint="eastAsia" w:ascii="仿宋" w:hAnsi="仿宋" w:eastAsia="仿宋" w:cs="仿宋"/>
                <w:sz w:val="21"/>
                <w:szCs w:val="21"/>
              </w:rPr>
              <w:t>基础设施</w:t>
            </w:r>
          </w:p>
        </w:tc>
        <w:tc>
          <w:tcPr>
            <w:tcW w:w="924" w:type="dxa"/>
            <w:tcBorders>
              <w:top w:val="single" w:color="000000" w:sz="4" w:space="0"/>
              <w:left w:val="single" w:color="000000" w:sz="4" w:space="0"/>
              <w:bottom w:val="single" w:color="000000" w:sz="4" w:space="0"/>
              <w:right w:val="single" w:color="000000" w:sz="4" w:space="0"/>
            </w:tcBorders>
            <w:vAlign w:val="center"/>
          </w:tcPr>
          <w:p w14:paraId="72C1124E">
            <w:pPr>
              <w:widowControl/>
              <w:jc w:val="center"/>
              <w:rPr>
                <w:rFonts w:hint="eastAsia" w:ascii="仿宋" w:hAnsi="仿宋" w:eastAsia="仿宋" w:cs="仿宋"/>
                <w:sz w:val="21"/>
                <w:szCs w:val="21"/>
              </w:rPr>
            </w:pPr>
            <w:r>
              <w:rPr>
                <w:rFonts w:hint="eastAsia" w:ascii="仿宋" w:hAnsi="仿宋" w:eastAsia="仿宋" w:cs="仿宋"/>
                <w:sz w:val="21"/>
                <w:szCs w:val="21"/>
              </w:rPr>
              <w:t>400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73E81EA9">
            <w:pPr>
              <w:widowControl/>
              <w:jc w:val="center"/>
              <w:rPr>
                <w:rFonts w:hint="eastAsia" w:ascii="仿宋" w:hAnsi="仿宋" w:eastAsia="仿宋" w:cs="仿宋"/>
                <w:sz w:val="21"/>
                <w:szCs w:val="21"/>
              </w:rPr>
            </w:pPr>
            <w:r>
              <w:rPr>
                <w:rFonts w:hint="eastAsia" w:ascii="仿宋" w:hAnsi="仿宋" w:eastAsia="仿宋" w:cs="仿宋"/>
                <w:sz w:val="21"/>
                <w:szCs w:val="21"/>
              </w:rPr>
              <w:t>370</w:t>
            </w:r>
          </w:p>
        </w:tc>
        <w:tc>
          <w:tcPr>
            <w:tcW w:w="858" w:type="dxa"/>
            <w:tcBorders>
              <w:top w:val="single" w:color="000000" w:sz="4" w:space="0"/>
              <w:left w:val="single" w:color="000000" w:sz="4" w:space="0"/>
              <w:bottom w:val="single" w:color="000000" w:sz="4" w:space="0"/>
              <w:right w:val="single" w:color="000000" w:sz="4" w:space="0"/>
            </w:tcBorders>
            <w:vAlign w:val="center"/>
          </w:tcPr>
          <w:p w14:paraId="2AED41FE">
            <w:pPr>
              <w:widowControl/>
              <w:jc w:val="center"/>
              <w:rPr>
                <w:rFonts w:hint="eastAsia" w:ascii="仿宋" w:hAnsi="仿宋" w:eastAsia="仿宋" w:cs="仿宋"/>
                <w:sz w:val="21"/>
                <w:szCs w:val="21"/>
              </w:rPr>
            </w:pPr>
            <w:r>
              <w:rPr>
                <w:rFonts w:hint="eastAsia" w:ascii="仿宋" w:hAnsi="仿宋" w:eastAsia="仿宋" w:cs="仿宋"/>
                <w:sz w:val="21"/>
                <w:szCs w:val="21"/>
              </w:rPr>
              <w:t>在建</w:t>
            </w:r>
          </w:p>
        </w:tc>
        <w:tc>
          <w:tcPr>
            <w:tcW w:w="820" w:type="dxa"/>
            <w:tcBorders>
              <w:top w:val="single" w:color="000000" w:sz="4" w:space="0"/>
              <w:left w:val="single" w:color="000000" w:sz="4" w:space="0"/>
              <w:bottom w:val="single" w:color="000000" w:sz="4" w:space="0"/>
              <w:right w:val="single" w:color="000000" w:sz="4" w:space="0"/>
            </w:tcBorders>
            <w:noWrap/>
            <w:vAlign w:val="center"/>
          </w:tcPr>
          <w:p w14:paraId="6B0965D8">
            <w:pPr>
              <w:jc w:val="center"/>
              <w:rPr>
                <w:rFonts w:hint="eastAsia" w:ascii="仿宋" w:hAnsi="仿宋" w:eastAsia="仿宋" w:cs="仿宋"/>
                <w:sz w:val="21"/>
                <w:szCs w:val="21"/>
              </w:rPr>
            </w:pPr>
          </w:p>
        </w:tc>
      </w:tr>
      <w:tr w14:paraId="350DF879">
        <w:tblPrEx>
          <w:tblCellMar>
            <w:top w:w="0" w:type="dxa"/>
            <w:left w:w="108" w:type="dxa"/>
            <w:bottom w:w="0" w:type="dxa"/>
            <w:right w:w="108" w:type="dxa"/>
          </w:tblCellMar>
        </w:tblPrEx>
        <w:trPr>
          <w:trHeight w:val="578"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F7D2CE1">
            <w:pPr>
              <w:widowControl/>
              <w:jc w:val="center"/>
              <w:rPr>
                <w:rFonts w:hint="eastAsia" w:ascii="仿宋" w:hAnsi="仿宋" w:eastAsia="仿宋" w:cs="仿宋"/>
                <w:sz w:val="21"/>
                <w:szCs w:val="21"/>
              </w:rPr>
            </w:pPr>
            <w:r>
              <w:rPr>
                <w:rFonts w:hint="eastAsia" w:ascii="仿宋" w:hAnsi="仿宋" w:eastAsia="仿宋" w:cs="仿宋"/>
                <w:sz w:val="21"/>
                <w:szCs w:val="21"/>
              </w:rPr>
              <w:t>8</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602F9452">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1C59ECCD">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vAlign w:val="center"/>
          </w:tcPr>
          <w:p w14:paraId="40DE343D">
            <w:pPr>
              <w:widowControl/>
              <w:jc w:val="center"/>
              <w:rPr>
                <w:rFonts w:hint="eastAsia" w:ascii="仿宋" w:hAnsi="仿宋" w:eastAsia="仿宋" w:cs="仿宋"/>
                <w:sz w:val="21"/>
                <w:szCs w:val="21"/>
              </w:rPr>
            </w:pPr>
            <w:r>
              <w:rPr>
                <w:rFonts w:hint="eastAsia" w:ascii="仿宋" w:hAnsi="仿宋" w:eastAsia="仿宋" w:cs="仿宋"/>
                <w:sz w:val="21"/>
                <w:szCs w:val="21"/>
              </w:rPr>
              <w:t>湖西村人居环境整治提升工程</w:t>
            </w:r>
          </w:p>
        </w:tc>
        <w:tc>
          <w:tcPr>
            <w:tcW w:w="792" w:type="dxa"/>
            <w:tcBorders>
              <w:top w:val="single" w:color="000000" w:sz="4" w:space="0"/>
              <w:left w:val="single" w:color="000000" w:sz="4" w:space="0"/>
              <w:bottom w:val="single" w:color="000000" w:sz="4" w:space="0"/>
              <w:right w:val="single" w:color="000000" w:sz="4" w:space="0"/>
            </w:tcBorders>
            <w:vAlign w:val="center"/>
          </w:tcPr>
          <w:p w14:paraId="2786D1BE">
            <w:pPr>
              <w:widowControl/>
              <w:jc w:val="center"/>
              <w:rPr>
                <w:rFonts w:hint="eastAsia" w:ascii="仿宋" w:hAnsi="仿宋" w:eastAsia="仿宋" w:cs="仿宋"/>
                <w:sz w:val="21"/>
                <w:szCs w:val="21"/>
              </w:rPr>
            </w:pPr>
            <w:r>
              <w:rPr>
                <w:rFonts w:hint="eastAsia" w:ascii="仿宋" w:hAnsi="仿宋" w:eastAsia="仿宋" w:cs="仿宋"/>
                <w:sz w:val="21"/>
                <w:szCs w:val="21"/>
              </w:rPr>
              <w:t>基础设施</w:t>
            </w:r>
          </w:p>
        </w:tc>
        <w:tc>
          <w:tcPr>
            <w:tcW w:w="924" w:type="dxa"/>
            <w:tcBorders>
              <w:top w:val="single" w:color="000000" w:sz="4" w:space="0"/>
              <w:left w:val="single" w:color="000000" w:sz="4" w:space="0"/>
              <w:bottom w:val="single" w:color="000000" w:sz="4" w:space="0"/>
              <w:right w:val="single" w:color="000000" w:sz="4" w:space="0"/>
            </w:tcBorders>
            <w:vAlign w:val="center"/>
          </w:tcPr>
          <w:p w14:paraId="7A2927BB">
            <w:pPr>
              <w:widowControl/>
              <w:jc w:val="center"/>
              <w:rPr>
                <w:rFonts w:hint="eastAsia" w:ascii="仿宋" w:hAnsi="仿宋" w:eastAsia="仿宋" w:cs="仿宋"/>
                <w:sz w:val="21"/>
                <w:szCs w:val="21"/>
              </w:rPr>
            </w:pPr>
            <w:r>
              <w:rPr>
                <w:rFonts w:hint="eastAsia" w:ascii="仿宋" w:hAnsi="仿宋" w:eastAsia="仿宋" w:cs="仿宋"/>
                <w:sz w:val="21"/>
                <w:szCs w:val="21"/>
              </w:rPr>
              <w:t>150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17E63C9A">
            <w:pPr>
              <w:widowControl/>
              <w:jc w:val="center"/>
              <w:rPr>
                <w:rFonts w:hint="eastAsia" w:ascii="仿宋" w:hAnsi="仿宋" w:eastAsia="仿宋" w:cs="仿宋"/>
                <w:sz w:val="21"/>
                <w:szCs w:val="21"/>
              </w:rPr>
            </w:pPr>
            <w:r>
              <w:rPr>
                <w:rFonts w:hint="eastAsia" w:ascii="仿宋" w:hAnsi="仿宋" w:eastAsia="仿宋" w:cs="仿宋"/>
                <w:sz w:val="21"/>
                <w:szCs w:val="21"/>
              </w:rPr>
              <w:t>148</w:t>
            </w:r>
          </w:p>
        </w:tc>
        <w:tc>
          <w:tcPr>
            <w:tcW w:w="858" w:type="dxa"/>
            <w:tcBorders>
              <w:top w:val="single" w:color="000000" w:sz="4" w:space="0"/>
              <w:left w:val="single" w:color="000000" w:sz="4" w:space="0"/>
              <w:bottom w:val="single" w:color="000000" w:sz="4" w:space="0"/>
              <w:right w:val="single" w:color="000000" w:sz="4" w:space="0"/>
            </w:tcBorders>
            <w:vAlign w:val="center"/>
          </w:tcPr>
          <w:p w14:paraId="76AFA999">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4C0A41A0">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2025.1.20</w:t>
            </w:r>
          </w:p>
        </w:tc>
      </w:tr>
      <w:tr w14:paraId="5A283951">
        <w:tblPrEx>
          <w:tblCellMar>
            <w:top w:w="0" w:type="dxa"/>
            <w:left w:w="108" w:type="dxa"/>
            <w:bottom w:w="0" w:type="dxa"/>
            <w:right w:w="108" w:type="dxa"/>
          </w:tblCellMar>
        </w:tblPrEx>
        <w:trPr>
          <w:trHeight w:val="836"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7401F6DF">
            <w:pPr>
              <w:widowControl/>
              <w:jc w:val="center"/>
              <w:rPr>
                <w:rFonts w:hint="eastAsia" w:ascii="仿宋" w:hAnsi="仿宋" w:eastAsia="仿宋" w:cs="仿宋"/>
                <w:sz w:val="21"/>
                <w:szCs w:val="21"/>
              </w:rPr>
            </w:pPr>
            <w:r>
              <w:rPr>
                <w:rFonts w:hint="eastAsia" w:ascii="仿宋" w:hAnsi="仿宋" w:eastAsia="仿宋" w:cs="仿宋"/>
                <w:sz w:val="21"/>
                <w:szCs w:val="21"/>
              </w:rPr>
              <w:t>9</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0A68BCB4">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6F1C0A3F">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vAlign w:val="center"/>
          </w:tcPr>
          <w:p w14:paraId="21C21052">
            <w:pPr>
              <w:widowControl/>
              <w:jc w:val="center"/>
              <w:rPr>
                <w:rFonts w:hint="eastAsia" w:ascii="仿宋" w:hAnsi="仿宋" w:eastAsia="仿宋" w:cs="仿宋"/>
                <w:sz w:val="21"/>
                <w:szCs w:val="21"/>
              </w:rPr>
            </w:pPr>
            <w:r>
              <w:rPr>
                <w:rFonts w:hint="eastAsia" w:ascii="仿宋" w:hAnsi="仿宋" w:eastAsia="仿宋" w:cs="仿宋"/>
                <w:sz w:val="21"/>
                <w:szCs w:val="21"/>
              </w:rPr>
              <w:t>湖西村整合职工公寓改造提升工程</w:t>
            </w:r>
          </w:p>
        </w:tc>
        <w:tc>
          <w:tcPr>
            <w:tcW w:w="792" w:type="dxa"/>
            <w:tcBorders>
              <w:top w:val="single" w:color="000000" w:sz="4" w:space="0"/>
              <w:left w:val="single" w:color="000000" w:sz="4" w:space="0"/>
              <w:bottom w:val="single" w:color="000000" w:sz="4" w:space="0"/>
              <w:right w:val="single" w:color="000000" w:sz="4" w:space="0"/>
            </w:tcBorders>
            <w:vAlign w:val="center"/>
          </w:tcPr>
          <w:p w14:paraId="2CF8CFF7">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604EF6B8">
            <w:pPr>
              <w:widowControl/>
              <w:jc w:val="center"/>
              <w:rPr>
                <w:rFonts w:hint="eastAsia" w:ascii="仿宋" w:hAnsi="仿宋" w:eastAsia="仿宋" w:cs="仿宋"/>
                <w:sz w:val="21"/>
                <w:szCs w:val="21"/>
              </w:rPr>
            </w:pPr>
            <w:r>
              <w:rPr>
                <w:rFonts w:hint="eastAsia" w:ascii="仿宋" w:hAnsi="仿宋" w:eastAsia="仿宋" w:cs="仿宋"/>
                <w:sz w:val="21"/>
                <w:szCs w:val="21"/>
              </w:rPr>
              <w:t>30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505BCF54">
            <w:pPr>
              <w:widowControl/>
              <w:jc w:val="center"/>
              <w:rPr>
                <w:rFonts w:hint="eastAsia" w:ascii="仿宋" w:hAnsi="仿宋" w:eastAsia="仿宋" w:cs="仿宋"/>
                <w:sz w:val="21"/>
                <w:szCs w:val="21"/>
              </w:rPr>
            </w:pPr>
            <w:r>
              <w:rPr>
                <w:rFonts w:hint="eastAsia" w:ascii="仿宋" w:hAnsi="仿宋" w:eastAsia="仿宋" w:cs="仿宋"/>
                <w:sz w:val="21"/>
                <w:szCs w:val="21"/>
              </w:rPr>
              <w:t>19.35</w:t>
            </w:r>
          </w:p>
        </w:tc>
        <w:tc>
          <w:tcPr>
            <w:tcW w:w="858" w:type="dxa"/>
            <w:tcBorders>
              <w:top w:val="single" w:color="000000" w:sz="4" w:space="0"/>
              <w:left w:val="single" w:color="000000" w:sz="4" w:space="0"/>
              <w:bottom w:val="single" w:color="000000" w:sz="4" w:space="0"/>
              <w:right w:val="single" w:color="000000" w:sz="4" w:space="0"/>
            </w:tcBorders>
            <w:vAlign w:val="center"/>
          </w:tcPr>
          <w:p w14:paraId="6D2DA53A">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0B288880">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2025.7.8</w:t>
            </w:r>
          </w:p>
        </w:tc>
      </w:tr>
      <w:tr w14:paraId="3F5DCF3C">
        <w:tblPrEx>
          <w:tblCellMar>
            <w:top w:w="0" w:type="dxa"/>
            <w:left w:w="108" w:type="dxa"/>
            <w:bottom w:w="0" w:type="dxa"/>
            <w:right w:w="108" w:type="dxa"/>
          </w:tblCellMar>
        </w:tblPrEx>
        <w:trPr>
          <w:trHeight w:val="727"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42BBB1B">
            <w:pPr>
              <w:widowControl/>
              <w:jc w:val="center"/>
              <w:rPr>
                <w:rFonts w:hint="eastAsia" w:ascii="仿宋" w:hAnsi="仿宋" w:eastAsia="仿宋" w:cs="仿宋"/>
                <w:sz w:val="21"/>
                <w:szCs w:val="21"/>
              </w:rPr>
            </w:pPr>
            <w:r>
              <w:rPr>
                <w:rFonts w:hint="eastAsia" w:ascii="仿宋" w:hAnsi="仿宋" w:eastAsia="仿宋" w:cs="仿宋"/>
                <w:sz w:val="21"/>
                <w:szCs w:val="21"/>
              </w:rPr>
              <w:t>10</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2CB5DD1E">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57F0875D">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vAlign w:val="center"/>
          </w:tcPr>
          <w:p w14:paraId="4185CEDB">
            <w:pPr>
              <w:widowControl/>
              <w:jc w:val="center"/>
              <w:rPr>
                <w:rFonts w:hint="eastAsia" w:ascii="仿宋" w:hAnsi="仿宋" w:eastAsia="仿宋" w:cs="仿宋"/>
                <w:sz w:val="21"/>
                <w:szCs w:val="21"/>
              </w:rPr>
            </w:pPr>
            <w:r>
              <w:rPr>
                <w:rFonts w:hint="eastAsia" w:ascii="仿宋" w:hAnsi="仿宋" w:eastAsia="仿宋" w:cs="仿宋"/>
                <w:sz w:val="21"/>
                <w:szCs w:val="21"/>
              </w:rPr>
              <w:t>祥芝镇湖西村美食街工程</w:t>
            </w:r>
          </w:p>
        </w:tc>
        <w:tc>
          <w:tcPr>
            <w:tcW w:w="792" w:type="dxa"/>
            <w:tcBorders>
              <w:top w:val="single" w:color="000000" w:sz="4" w:space="0"/>
              <w:left w:val="single" w:color="000000" w:sz="4" w:space="0"/>
              <w:bottom w:val="single" w:color="000000" w:sz="4" w:space="0"/>
              <w:right w:val="single" w:color="000000" w:sz="4" w:space="0"/>
            </w:tcBorders>
            <w:vAlign w:val="center"/>
          </w:tcPr>
          <w:p w14:paraId="455D79C1">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2E14C4EB">
            <w:pPr>
              <w:widowControl/>
              <w:jc w:val="center"/>
              <w:rPr>
                <w:rFonts w:hint="eastAsia" w:ascii="仿宋" w:hAnsi="仿宋" w:eastAsia="仿宋" w:cs="仿宋"/>
                <w:sz w:val="21"/>
                <w:szCs w:val="21"/>
              </w:rPr>
            </w:pPr>
            <w:r>
              <w:rPr>
                <w:rFonts w:hint="eastAsia" w:ascii="仿宋" w:hAnsi="仿宋" w:eastAsia="仿宋" w:cs="仿宋"/>
                <w:sz w:val="21"/>
                <w:szCs w:val="21"/>
              </w:rPr>
              <w:t>150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6DD3431C">
            <w:pPr>
              <w:widowControl/>
              <w:jc w:val="center"/>
              <w:rPr>
                <w:rFonts w:hint="eastAsia" w:ascii="仿宋" w:hAnsi="仿宋" w:eastAsia="仿宋" w:cs="仿宋"/>
                <w:sz w:val="21"/>
                <w:szCs w:val="21"/>
              </w:rPr>
            </w:pPr>
            <w:r>
              <w:rPr>
                <w:rFonts w:hint="eastAsia" w:ascii="仿宋" w:hAnsi="仿宋" w:eastAsia="仿宋" w:cs="仿宋"/>
                <w:sz w:val="21"/>
                <w:szCs w:val="21"/>
              </w:rPr>
              <w:t>135.9</w:t>
            </w:r>
          </w:p>
        </w:tc>
        <w:tc>
          <w:tcPr>
            <w:tcW w:w="858" w:type="dxa"/>
            <w:tcBorders>
              <w:top w:val="single" w:color="000000" w:sz="4" w:space="0"/>
              <w:left w:val="single" w:color="000000" w:sz="4" w:space="0"/>
              <w:bottom w:val="single" w:color="000000" w:sz="4" w:space="0"/>
              <w:right w:val="single" w:color="000000" w:sz="4" w:space="0"/>
            </w:tcBorders>
            <w:vAlign w:val="center"/>
          </w:tcPr>
          <w:p w14:paraId="5CC27DE9">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2C652D7C">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2025.1.6</w:t>
            </w:r>
          </w:p>
        </w:tc>
      </w:tr>
      <w:tr w14:paraId="35F57CBE">
        <w:tblPrEx>
          <w:tblCellMar>
            <w:top w:w="0" w:type="dxa"/>
            <w:left w:w="108" w:type="dxa"/>
            <w:bottom w:w="0" w:type="dxa"/>
            <w:right w:w="108" w:type="dxa"/>
          </w:tblCellMar>
        </w:tblPrEx>
        <w:trPr>
          <w:trHeight w:val="412"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0CE3FF07">
            <w:pPr>
              <w:widowControl/>
              <w:jc w:val="center"/>
              <w:rPr>
                <w:rFonts w:hint="eastAsia" w:ascii="仿宋" w:hAnsi="仿宋" w:eastAsia="仿宋" w:cs="仿宋"/>
                <w:sz w:val="21"/>
                <w:szCs w:val="21"/>
              </w:rPr>
            </w:pPr>
            <w:r>
              <w:rPr>
                <w:rFonts w:hint="eastAsia" w:ascii="仿宋" w:hAnsi="仿宋" w:eastAsia="仿宋" w:cs="仿宋"/>
                <w:sz w:val="21"/>
                <w:szCs w:val="21"/>
              </w:rPr>
              <w:t>11</w:t>
            </w:r>
          </w:p>
        </w:tc>
        <w:tc>
          <w:tcPr>
            <w:tcW w:w="457" w:type="dxa"/>
            <w:vMerge w:val="restart"/>
            <w:tcBorders>
              <w:top w:val="single" w:color="000000" w:sz="4" w:space="0"/>
              <w:left w:val="single" w:color="000000" w:sz="4" w:space="0"/>
              <w:bottom w:val="single" w:color="000000" w:sz="4" w:space="0"/>
              <w:right w:val="single" w:color="000000" w:sz="4" w:space="0"/>
            </w:tcBorders>
            <w:noWrap/>
            <w:vAlign w:val="center"/>
          </w:tcPr>
          <w:p w14:paraId="21BB54EF">
            <w:pPr>
              <w:widowControl/>
              <w:jc w:val="center"/>
              <w:rPr>
                <w:rFonts w:hint="eastAsia" w:ascii="仿宋" w:hAnsi="仿宋" w:eastAsia="仿宋" w:cs="仿宋"/>
                <w:sz w:val="21"/>
                <w:szCs w:val="21"/>
              </w:rPr>
            </w:pPr>
            <w:r>
              <w:rPr>
                <w:rFonts w:hint="eastAsia" w:ascii="仿宋" w:hAnsi="仿宋" w:eastAsia="仿宋" w:cs="仿宋"/>
                <w:sz w:val="21"/>
                <w:szCs w:val="21"/>
              </w:rPr>
              <w:t>鸿山镇</w:t>
            </w:r>
          </w:p>
        </w:tc>
        <w:tc>
          <w:tcPr>
            <w:tcW w:w="457" w:type="dxa"/>
            <w:vMerge w:val="restart"/>
            <w:tcBorders>
              <w:top w:val="single" w:color="000000" w:sz="4" w:space="0"/>
              <w:left w:val="single" w:color="000000" w:sz="4" w:space="0"/>
              <w:bottom w:val="single" w:color="000000" w:sz="4" w:space="0"/>
              <w:right w:val="single" w:color="000000" w:sz="4" w:space="0"/>
            </w:tcBorders>
            <w:noWrap/>
            <w:vAlign w:val="center"/>
          </w:tcPr>
          <w:p w14:paraId="2AB620CE">
            <w:pPr>
              <w:widowControl/>
              <w:jc w:val="center"/>
              <w:rPr>
                <w:rFonts w:hint="eastAsia" w:ascii="仿宋" w:hAnsi="仿宋" w:eastAsia="仿宋" w:cs="仿宋"/>
                <w:sz w:val="21"/>
                <w:szCs w:val="21"/>
              </w:rPr>
            </w:pPr>
            <w:r>
              <w:rPr>
                <w:rFonts w:hint="eastAsia" w:ascii="仿宋" w:hAnsi="仿宋" w:eastAsia="仿宋" w:cs="仿宋"/>
                <w:sz w:val="21"/>
                <w:szCs w:val="21"/>
              </w:rPr>
              <w:t>邱下村</w:t>
            </w:r>
          </w:p>
        </w:tc>
        <w:tc>
          <w:tcPr>
            <w:tcW w:w="2878" w:type="dxa"/>
            <w:tcBorders>
              <w:top w:val="single" w:color="000000" w:sz="4" w:space="0"/>
              <w:left w:val="single" w:color="000000" w:sz="4" w:space="0"/>
              <w:bottom w:val="single" w:color="000000" w:sz="4" w:space="0"/>
              <w:right w:val="single" w:color="000000" w:sz="4" w:space="0"/>
            </w:tcBorders>
            <w:vAlign w:val="center"/>
          </w:tcPr>
          <w:p w14:paraId="2815395B">
            <w:pPr>
              <w:widowControl/>
              <w:jc w:val="center"/>
              <w:rPr>
                <w:rFonts w:hint="eastAsia" w:ascii="仿宋" w:hAnsi="仿宋" w:eastAsia="仿宋" w:cs="仿宋"/>
                <w:sz w:val="21"/>
                <w:szCs w:val="21"/>
              </w:rPr>
            </w:pPr>
            <w:r>
              <w:rPr>
                <w:rFonts w:hint="eastAsia" w:ascii="仿宋" w:hAnsi="仿宋" w:eastAsia="仿宋" w:cs="仿宋"/>
                <w:sz w:val="21"/>
                <w:szCs w:val="21"/>
              </w:rPr>
              <w:t>人居环境改造提升项目</w:t>
            </w:r>
          </w:p>
        </w:tc>
        <w:tc>
          <w:tcPr>
            <w:tcW w:w="792" w:type="dxa"/>
            <w:tcBorders>
              <w:top w:val="single" w:color="000000" w:sz="4" w:space="0"/>
              <w:left w:val="single" w:color="000000" w:sz="4" w:space="0"/>
              <w:bottom w:val="single" w:color="000000" w:sz="4" w:space="0"/>
              <w:right w:val="single" w:color="000000" w:sz="4" w:space="0"/>
            </w:tcBorders>
            <w:vAlign w:val="center"/>
          </w:tcPr>
          <w:p w14:paraId="51462C94">
            <w:pPr>
              <w:widowControl/>
              <w:jc w:val="center"/>
              <w:rPr>
                <w:rFonts w:hint="eastAsia" w:ascii="仿宋" w:hAnsi="仿宋" w:eastAsia="仿宋" w:cs="仿宋"/>
                <w:sz w:val="21"/>
                <w:szCs w:val="21"/>
              </w:rPr>
            </w:pPr>
            <w:r>
              <w:rPr>
                <w:rFonts w:hint="eastAsia" w:ascii="仿宋" w:hAnsi="仿宋" w:eastAsia="仿宋" w:cs="仿宋"/>
                <w:sz w:val="21"/>
                <w:szCs w:val="21"/>
              </w:rPr>
              <w:t>基础设施</w:t>
            </w:r>
          </w:p>
        </w:tc>
        <w:tc>
          <w:tcPr>
            <w:tcW w:w="924" w:type="dxa"/>
            <w:tcBorders>
              <w:top w:val="single" w:color="000000" w:sz="4" w:space="0"/>
              <w:left w:val="single" w:color="000000" w:sz="4" w:space="0"/>
              <w:bottom w:val="single" w:color="000000" w:sz="4" w:space="0"/>
              <w:right w:val="single" w:color="000000" w:sz="4" w:space="0"/>
            </w:tcBorders>
            <w:vAlign w:val="center"/>
          </w:tcPr>
          <w:p w14:paraId="0C28FF6A">
            <w:pPr>
              <w:widowControl/>
              <w:jc w:val="center"/>
              <w:rPr>
                <w:rFonts w:hint="eastAsia" w:ascii="仿宋" w:hAnsi="仿宋" w:eastAsia="仿宋" w:cs="仿宋"/>
                <w:sz w:val="21"/>
                <w:szCs w:val="21"/>
              </w:rPr>
            </w:pPr>
            <w:r>
              <w:rPr>
                <w:rFonts w:hint="eastAsia" w:ascii="仿宋" w:hAnsi="仿宋" w:eastAsia="仿宋" w:cs="仿宋"/>
                <w:sz w:val="21"/>
                <w:szCs w:val="21"/>
              </w:rPr>
              <w:t>70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1BDB2A3A">
            <w:pPr>
              <w:widowControl/>
              <w:jc w:val="center"/>
              <w:rPr>
                <w:rFonts w:hint="eastAsia" w:ascii="仿宋" w:hAnsi="仿宋" w:eastAsia="仿宋" w:cs="仿宋"/>
                <w:sz w:val="21"/>
                <w:szCs w:val="21"/>
              </w:rPr>
            </w:pPr>
            <w:r>
              <w:rPr>
                <w:rFonts w:hint="eastAsia" w:ascii="仿宋" w:hAnsi="仿宋" w:eastAsia="仿宋" w:cs="仿宋"/>
                <w:sz w:val="21"/>
                <w:szCs w:val="21"/>
              </w:rPr>
              <w:t>4</w:t>
            </w:r>
          </w:p>
        </w:tc>
        <w:tc>
          <w:tcPr>
            <w:tcW w:w="858" w:type="dxa"/>
            <w:tcBorders>
              <w:top w:val="single" w:color="000000" w:sz="4" w:space="0"/>
              <w:left w:val="single" w:color="000000" w:sz="4" w:space="0"/>
              <w:bottom w:val="single" w:color="000000" w:sz="4" w:space="0"/>
              <w:right w:val="single" w:color="000000" w:sz="4" w:space="0"/>
            </w:tcBorders>
            <w:vAlign w:val="center"/>
          </w:tcPr>
          <w:p w14:paraId="41EFA6B2">
            <w:pPr>
              <w:widowControl/>
              <w:jc w:val="center"/>
              <w:rPr>
                <w:rFonts w:hint="eastAsia" w:ascii="仿宋" w:hAnsi="仿宋" w:eastAsia="仿宋" w:cs="仿宋"/>
                <w:sz w:val="21"/>
                <w:szCs w:val="21"/>
              </w:rPr>
            </w:pPr>
            <w:r>
              <w:rPr>
                <w:rFonts w:hint="eastAsia" w:ascii="仿宋" w:hAnsi="仿宋" w:eastAsia="仿宋" w:cs="仿宋"/>
                <w:sz w:val="21"/>
                <w:szCs w:val="21"/>
              </w:rPr>
              <w:t>在建</w:t>
            </w:r>
          </w:p>
        </w:tc>
        <w:tc>
          <w:tcPr>
            <w:tcW w:w="820" w:type="dxa"/>
            <w:tcBorders>
              <w:top w:val="single" w:color="000000" w:sz="4" w:space="0"/>
              <w:left w:val="single" w:color="000000" w:sz="4" w:space="0"/>
              <w:bottom w:val="single" w:color="000000" w:sz="4" w:space="0"/>
              <w:right w:val="single" w:color="000000" w:sz="4" w:space="0"/>
            </w:tcBorders>
            <w:vAlign w:val="center"/>
          </w:tcPr>
          <w:p w14:paraId="21DADA46">
            <w:pPr>
              <w:jc w:val="center"/>
              <w:rPr>
                <w:rFonts w:hint="eastAsia" w:ascii="仿宋" w:hAnsi="仿宋" w:eastAsia="仿宋" w:cs="仿宋"/>
                <w:sz w:val="21"/>
                <w:szCs w:val="21"/>
              </w:rPr>
            </w:pPr>
          </w:p>
        </w:tc>
      </w:tr>
      <w:tr w14:paraId="673B31A7">
        <w:tblPrEx>
          <w:tblCellMar>
            <w:top w:w="0" w:type="dxa"/>
            <w:left w:w="108" w:type="dxa"/>
            <w:bottom w:w="0" w:type="dxa"/>
            <w:right w:w="108" w:type="dxa"/>
          </w:tblCellMar>
        </w:tblPrEx>
        <w:trPr>
          <w:trHeight w:val="565"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25BF49BC">
            <w:pPr>
              <w:widowControl/>
              <w:jc w:val="center"/>
              <w:rPr>
                <w:rFonts w:hint="eastAsia" w:ascii="仿宋" w:hAnsi="仿宋" w:eastAsia="仿宋" w:cs="仿宋"/>
                <w:sz w:val="21"/>
                <w:szCs w:val="21"/>
              </w:rPr>
            </w:pPr>
            <w:r>
              <w:rPr>
                <w:rFonts w:hint="eastAsia" w:ascii="仿宋" w:hAnsi="仿宋" w:eastAsia="仿宋" w:cs="仿宋"/>
                <w:sz w:val="21"/>
                <w:szCs w:val="21"/>
              </w:rPr>
              <w:t>12</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367C7A6E">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60718C3A">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vAlign w:val="center"/>
          </w:tcPr>
          <w:p w14:paraId="7F1D64BC">
            <w:pPr>
              <w:widowControl/>
              <w:jc w:val="center"/>
              <w:rPr>
                <w:rFonts w:hint="eastAsia" w:ascii="仿宋" w:hAnsi="仿宋" w:eastAsia="仿宋" w:cs="仿宋"/>
                <w:sz w:val="21"/>
                <w:szCs w:val="21"/>
              </w:rPr>
            </w:pPr>
            <w:r>
              <w:rPr>
                <w:rFonts w:hint="eastAsia" w:ascii="仿宋" w:hAnsi="仿宋" w:eastAsia="仿宋" w:cs="仿宋"/>
                <w:sz w:val="21"/>
                <w:szCs w:val="21"/>
              </w:rPr>
              <w:t>邱下村文创服务中心</w:t>
            </w:r>
          </w:p>
        </w:tc>
        <w:tc>
          <w:tcPr>
            <w:tcW w:w="792" w:type="dxa"/>
            <w:tcBorders>
              <w:top w:val="single" w:color="000000" w:sz="4" w:space="0"/>
              <w:left w:val="single" w:color="000000" w:sz="4" w:space="0"/>
              <w:bottom w:val="single" w:color="000000" w:sz="4" w:space="0"/>
              <w:right w:val="single" w:color="000000" w:sz="4" w:space="0"/>
            </w:tcBorders>
            <w:vAlign w:val="center"/>
          </w:tcPr>
          <w:p w14:paraId="25AE6E12">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2FC16010">
            <w:pPr>
              <w:widowControl/>
              <w:jc w:val="center"/>
              <w:rPr>
                <w:rFonts w:hint="eastAsia" w:ascii="仿宋" w:hAnsi="仿宋" w:eastAsia="仿宋" w:cs="仿宋"/>
                <w:sz w:val="21"/>
                <w:szCs w:val="21"/>
              </w:rPr>
            </w:pPr>
            <w:r>
              <w:rPr>
                <w:rFonts w:hint="eastAsia" w:ascii="仿宋" w:hAnsi="仿宋" w:eastAsia="仿宋" w:cs="仿宋"/>
                <w:sz w:val="21"/>
                <w:szCs w:val="21"/>
              </w:rPr>
              <w:t>550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288F1025">
            <w:pPr>
              <w:widowControl/>
              <w:jc w:val="center"/>
              <w:rPr>
                <w:rFonts w:hint="eastAsia" w:ascii="仿宋" w:hAnsi="仿宋" w:eastAsia="仿宋" w:cs="仿宋"/>
                <w:sz w:val="21"/>
                <w:szCs w:val="21"/>
              </w:rPr>
            </w:pPr>
            <w:r>
              <w:rPr>
                <w:rFonts w:hint="eastAsia" w:ascii="仿宋" w:hAnsi="仿宋" w:eastAsia="仿宋" w:cs="仿宋"/>
                <w:sz w:val="21"/>
                <w:szCs w:val="21"/>
              </w:rPr>
              <w:t>410</w:t>
            </w:r>
          </w:p>
        </w:tc>
        <w:tc>
          <w:tcPr>
            <w:tcW w:w="858" w:type="dxa"/>
            <w:tcBorders>
              <w:top w:val="single" w:color="000000" w:sz="4" w:space="0"/>
              <w:left w:val="single" w:color="000000" w:sz="4" w:space="0"/>
              <w:bottom w:val="single" w:color="000000" w:sz="4" w:space="0"/>
              <w:right w:val="single" w:color="000000" w:sz="4" w:space="0"/>
            </w:tcBorders>
            <w:vAlign w:val="center"/>
          </w:tcPr>
          <w:p w14:paraId="136B161D">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0E3C12A2">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2025.3.4</w:t>
            </w:r>
          </w:p>
        </w:tc>
      </w:tr>
      <w:tr w14:paraId="7C5906F4">
        <w:tblPrEx>
          <w:tblCellMar>
            <w:top w:w="0" w:type="dxa"/>
            <w:left w:w="108" w:type="dxa"/>
            <w:bottom w:w="0" w:type="dxa"/>
            <w:right w:w="108" w:type="dxa"/>
          </w:tblCellMar>
        </w:tblPrEx>
        <w:trPr>
          <w:trHeight w:val="422"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64ECCCFA">
            <w:pPr>
              <w:widowControl/>
              <w:jc w:val="center"/>
              <w:rPr>
                <w:rFonts w:hint="eastAsia" w:ascii="仿宋" w:hAnsi="仿宋" w:eastAsia="仿宋" w:cs="仿宋"/>
                <w:sz w:val="21"/>
                <w:szCs w:val="21"/>
              </w:rPr>
            </w:pPr>
            <w:r>
              <w:rPr>
                <w:rFonts w:hint="eastAsia" w:ascii="仿宋" w:hAnsi="仿宋" w:eastAsia="仿宋" w:cs="仿宋"/>
                <w:sz w:val="21"/>
                <w:szCs w:val="21"/>
              </w:rPr>
              <w:t>13</w:t>
            </w:r>
          </w:p>
        </w:tc>
        <w:tc>
          <w:tcPr>
            <w:tcW w:w="457" w:type="dxa"/>
            <w:vMerge w:val="restart"/>
            <w:tcBorders>
              <w:top w:val="single" w:color="000000" w:sz="4" w:space="0"/>
              <w:left w:val="single" w:color="000000" w:sz="4" w:space="0"/>
              <w:bottom w:val="single" w:color="000000" w:sz="4" w:space="0"/>
              <w:right w:val="single" w:color="000000" w:sz="4" w:space="0"/>
            </w:tcBorders>
            <w:noWrap/>
            <w:vAlign w:val="center"/>
          </w:tcPr>
          <w:p w14:paraId="6B806F94">
            <w:pPr>
              <w:widowControl/>
              <w:jc w:val="center"/>
              <w:rPr>
                <w:rFonts w:hint="eastAsia" w:ascii="仿宋" w:hAnsi="仿宋" w:eastAsia="仿宋" w:cs="仿宋"/>
                <w:sz w:val="21"/>
                <w:szCs w:val="21"/>
              </w:rPr>
            </w:pPr>
            <w:r>
              <w:rPr>
                <w:rFonts w:hint="eastAsia" w:ascii="仿宋" w:hAnsi="仿宋" w:eastAsia="仿宋" w:cs="仿宋"/>
                <w:sz w:val="21"/>
                <w:szCs w:val="21"/>
              </w:rPr>
              <w:t>锦尚镇</w:t>
            </w:r>
          </w:p>
        </w:tc>
        <w:tc>
          <w:tcPr>
            <w:tcW w:w="457" w:type="dxa"/>
            <w:vMerge w:val="restart"/>
            <w:tcBorders>
              <w:top w:val="single" w:color="000000" w:sz="4" w:space="0"/>
              <w:left w:val="single" w:color="000000" w:sz="4" w:space="0"/>
              <w:bottom w:val="single" w:color="000000" w:sz="4" w:space="0"/>
              <w:right w:val="single" w:color="000000" w:sz="4" w:space="0"/>
            </w:tcBorders>
            <w:noWrap/>
            <w:vAlign w:val="center"/>
          </w:tcPr>
          <w:p w14:paraId="39457C06">
            <w:pPr>
              <w:widowControl/>
              <w:jc w:val="center"/>
              <w:rPr>
                <w:rFonts w:hint="eastAsia" w:ascii="仿宋" w:hAnsi="仿宋" w:eastAsia="仿宋" w:cs="仿宋"/>
                <w:sz w:val="21"/>
                <w:szCs w:val="21"/>
              </w:rPr>
            </w:pPr>
            <w:r>
              <w:rPr>
                <w:rFonts w:hint="eastAsia" w:ascii="仿宋" w:hAnsi="仿宋" w:eastAsia="仿宋" w:cs="仿宋"/>
                <w:sz w:val="21"/>
                <w:szCs w:val="21"/>
              </w:rPr>
              <w:t>东店村</w:t>
            </w:r>
          </w:p>
        </w:tc>
        <w:tc>
          <w:tcPr>
            <w:tcW w:w="2878" w:type="dxa"/>
            <w:tcBorders>
              <w:top w:val="single" w:color="000000" w:sz="4" w:space="0"/>
              <w:left w:val="single" w:color="000000" w:sz="4" w:space="0"/>
              <w:bottom w:val="single" w:color="000000" w:sz="4" w:space="0"/>
              <w:right w:val="single" w:color="000000" w:sz="4" w:space="0"/>
            </w:tcBorders>
            <w:noWrap/>
            <w:vAlign w:val="center"/>
          </w:tcPr>
          <w:p w14:paraId="39B3C460">
            <w:pPr>
              <w:widowControl/>
              <w:jc w:val="center"/>
              <w:rPr>
                <w:rFonts w:hint="eastAsia" w:ascii="仿宋" w:hAnsi="仿宋" w:eastAsia="仿宋" w:cs="仿宋"/>
                <w:sz w:val="21"/>
                <w:szCs w:val="21"/>
              </w:rPr>
            </w:pPr>
            <w:r>
              <w:rPr>
                <w:rFonts w:hint="eastAsia" w:ascii="仿宋" w:hAnsi="仿宋" w:eastAsia="仿宋" w:cs="仿宋"/>
                <w:sz w:val="21"/>
                <w:szCs w:val="21"/>
              </w:rPr>
              <w:t>东店村农贸市场改造</w:t>
            </w:r>
          </w:p>
        </w:tc>
        <w:tc>
          <w:tcPr>
            <w:tcW w:w="792" w:type="dxa"/>
            <w:tcBorders>
              <w:top w:val="single" w:color="000000" w:sz="4" w:space="0"/>
              <w:left w:val="single" w:color="000000" w:sz="4" w:space="0"/>
              <w:bottom w:val="single" w:color="000000" w:sz="4" w:space="0"/>
              <w:right w:val="single" w:color="000000" w:sz="4" w:space="0"/>
            </w:tcBorders>
            <w:vAlign w:val="center"/>
          </w:tcPr>
          <w:p w14:paraId="40817AAE">
            <w:pPr>
              <w:widowControl/>
              <w:jc w:val="center"/>
              <w:rPr>
                <w:rFonts w:hint="eastAsia" w:ascii="仿宋" w:hAnsi="仿宋" w:eastAsia="仿宋" w:cs="仿宋"/>
                <w:sz w:val="21"/>
                <w:szCs w:val="21"/>
              </w:rPr>
            </w:pPr>
            <w:r>
              <w:rPr>
                <w:rFonts w:hint="eastAsia" w:ascii="仿宋" w:hAnsi="仿宋" w:eastAsia="仿宋" w:cs="仿宋"/>
                <w:sz w:val="21"/>
                <w:szCs w:val="21"/>
              </w:rPr>
              <w:t>基础设施</w:t>
            </w:r>
          </w:p>
        </w:tc>
        <w:tc>
          <w:tcPr>
            <w:tcW w:w="924" w:type="dxa"/>
            <w:tcBorders>
              <w:top w:val="single" w:color="000000" w:sz="4" w:space="0"/>
              <w:left w:val="single" w:color="000000" w:sz="4" w:space="0"/>
              <w:bottom w:val="single" w:color="000000" w:sz="4" w:space="0"/>
              <w:right w:val="single" w:color="000000" w:sz="4" w:space="0"/>
            </w:tcBorders>
            <w:vAlign w:val="center"/>
          </w:tcPr>
          <w:p w14:paraId="424C3CF4">
            <w:pPr>
              <w:widowControl/>
              <w:jc w:val="center"/>
              <w:rPr>
                <w:rFonts w:hint="eastAsia" w:ascii="仿宋" w:hAnsi="仿宋" w:eastAsia="仿宋" w:cs="仿宋"/>
                <w:sz w:val="21"/>
                <w:szCs w:val="21"/>
              </w:rPr>
            </w:pPr>
            <w:r>
              <w:rPr>
                <w:rFonts w:hint="eastAsia" w:ascii="仿宋" w:hAnsi="仿宋" w:eastAsia="仿宋" w:cs="仿宋"/>
                <w:sz w:val="21"/>
                <w:szCs w:val="21"/>
              </w:rPr>
              <w:t>50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01CB2B05">
            <w:pPr>
              <w:widowControl/>
              <w:jc w:val="center"/>
              <w:rPr>
                <w:rFonts w:hint="eastAsia" w:ascii="仿宋" w:hAnsi="仿宋" w:eastAsia="仿宋" w:cs="仿宋"/>
                <w:sz w:val="21"/>
                <w:szCs w:val="21"/>
              </w:rPr>
            </w:pPr>
            <w:r>
              <w:rPr>
                <w:rFonts w:hint="eastAsia" w:ascii="仿宋" w:hAnsi="仿宋" w:eastAsia="仿宋" w:cs="仿宋"/>
                <w:sz w:val="21"/>
                <w:szCs w:val="21"/>
              </w:rPr>
              <w:t>43.76</w:t>
            </w:r>
          </w:p>
        </w:tc>
        <w:tc>
          <w:tcPr>
            <w:tcW w:w="858" w:type="dxa"/>
            <w:tcBorders>
              <w:top w:val="single" w:color="000000" w:sz="4" w:space="0"/>
              <w:left w:val="single" w:color="000000" w:sz="4" w:space="0"/>
              <w:bottom w:val="single" w:color="000000" w:sz="4" w:space="0"/>
              <w:right w:val="single" w:color="000000" w:sz="4" w:space="0"/>
            </w:tcBorders>
            <w:vAlign w:val="center"/>
          </w:tcPr>
          <w:p w14:paraId="6A3E1224">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6A4AD92D">
            <w:pPr>
              <w:widowControl/>
              <w:jc w:val="center"/>
              <w:textAlignment w:val="center"/>
              <w:rPr>
                <w:rFonts w:hint="eastAsia" w:ascii="仿宋" w:hAnsi="仿宋" w:eastAsia="仿宋" w:cs="仿宋"/>
                <w:sz w:val="21"/>
                <w:szCs w:val="21"/>
              </w:rPr>
            </w:pPr>
            <w:r>
              <w:rPr>
                <w:rFonts w:hint="eastAsia" w:ascii="仿宋" w:hAnsi="仿宋" w:eastAsia="仿宋" w:cs="仿宋"/>
                <w:sz w:val="21"/>
                <w:szCs w:val="21"/>
              </w:rPr>
              <w:t>2025.1.2</w:t>
            </w:r>
          </w:p>
        </w:tc>
      </w:tr>
      <w:tr w14:paraId="0B5BA3B9">
        <w:tblPrEx>
          <w:tblCellMar>
            <w:top w:w="0" w:type="dxa"/>
            <w:left w:w="108" w:type="dxa"/>
            <w:bottom w:w="0" w:type="dxa"/>
            <w:right w:w="108" w:type="dxa"/>
          </w:tblCellMar>
        </w:tblPrEx>
        <w:trPr>
          <w:trHeight w:val="557"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7E6CB89F">
            <w:pPr>
              <w:widowControl/>
              <w:jc w:val="center"/>
              <w:rPr>
                <w:rFonts w:hint="eastAsia" w:ascii="仿宋" w:hAnsi="仿宋" w:eastAsia="仿宋" w:cs="仿宋"/>
                <w:sz w:val="21"/>
                <w:szCs w:val="21"/>
              </w:rPr>
            </w:pPr>
            <w:r>
              <w:rPr>
                <w:rFonts w:hint="eastAsia" w:ascii="仿宋" w:hAnsi="仿宋" w:eastAsia="仿宋" w:cs="仿宋"/>
                <w:sz w:val="21"/>
                <w:szCs w:val="21"/>
              </w:rPr>
              <w:t>14</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2BF3A0E0">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3C6F879E">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noWrap/>
            <w:vAlign w:val="center"/>
          </w:tcPr>
          <w:p w14:paraId="1DB294DD">
            <w:pPr>
              <w:widowControl/>
              <w:jc w:val="center"/>
              <w:rPr>
                <w:rFonts w:hint="eastAsia" w:ascii="仿宋" w:hAnsi="仿宋" w:eastAsia="仿宋" w:cs="仿宋"/>
                <w:sz w:val="21"/>
                <w:szCs w:val="21"/>
              </w:rPr>
            </w:pPr>
            <w:r>
              <w:rPr>
                <w:rFonts w:hint="eastAsia" w:ascii="仿宋" w:hAnsi="仿宋" w:eastAsia="仿宋" w:cs="仿宋"/>
                <w:sz w:val="21"/>
                <w:szCs w:val="21"/>
              </w:rPr>
              <w:t>公租房建设（一期）</w:t>
            </w:r>
          </w:p>
        </w:tc>
        <w:tc>
          <w:tcPr>
            <w:tcW w:w="792" w:type="dxa"/>
            <w:tcBorders>
              <w:top w:val="single" w:color="000000" w:sz="4" w:space="0"/>
              <w:left w:val="single" w:color="000000" w:sz="4" w:space="0"/>
              <w:bottom w:val="single" w:color="000000" w:sz="4" w:space="0"/>
              <w:right w:val="single" w:color="000000" w:sz="4" w:space="0"/>
            </w:tcBorders>
            <w:vAlign w:val="center"/>
          </w:tcPr>
          <w:p w14:paraId="67059B4E">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5D23E1F1">
            <w:pPr>
              <w:widowControl/>
              <w:jc w:val="center"/>
              <w:rPr>
                <w:rFonts w:hint="eastAsia" w:ascii="仿宋" w:hAnsi="仿宋" w:eastAsia="仿宋" w:cs="仿宋"/>
                <w:sz w:val="21"/>
                <w:szCs w:val="21"/>
              </w:rPr>
            </w:pPr>
            <w:r>
              <w:rPr>
                <w:rFonts w:hint="eastAsia" w:ascii="仿宋" w:hAnsi="仿宋" w:eastAsia="仿宋" w:cs="仿宋"/>
                <w:sz w:val="21"/>
                <w:szCs w:val="21"/>
              </w:rPr>
              <w:t>395</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449FB5E3">
            <w:pPr>
              <w:widowControl/>
              <w:jc w:val="center"/>
              <w:rPr>
                <w:rFonts w:hint="eastAsia" w:ascii="仿宋" w:hAnsi="仿宋" w:eastAsia="仿宋" w:cs="仿宋"/>
                <w:sz w:val="21"/>
                <w:szCs w:val="21"/>
              </w:rPr>
            </w:pPr>
            <w:r>
              <w:rPr>
                <w:rFonts w:hint="eastAsia" w:ascii="仿宋" w:hAnsi="仿宋" w:eastAsia="仿宋" w:cs="仿宋"/>
                <w:sz w:val="21"/>
                <w:szCs w:val="21"/>
              </w:rPr>
              <w:t>5</w:t>
            </w:r>
          </w:p>
        </w:tc>
        <w:tc>
          <w:tcPr>
            <w:tcW w:w="858" w:type="dxa"/>
            <w:tcBorders>
              <w:top w:val="single" w:color="000000" w:sz="4" w:space="0"/>
              <w:left w:val="single" w:color="000000" w:sz="4" w:space="0"/>
              <w:bottom w:val="single" w:color="000000" w:sz="4" w:space="0"/>
              <w:right w:val="single" w:color="000000" w:sz="4" w:space="0"/>
            </w:tcBorders>
            <w:vAlign w:val="center"/>
          </w:tcPr>
          <w:p w14:paraId="3E11AF6A">
            <w:pPr>
              <w:widowControl/>
              <w:jc w:val="center"/>
              <w:rPr>
                <w:rFonts w:hint="eastAsia" w:ascii="仿宋" w:hAnsi="仿宋" w:eastAsia="仿宋" w:cs="仿宋"/>
                <w:sz w:val="21"/>
                <w:szCs w:val="21"/>
              </w:rPr>
            </w:pPr>
            <w:r>
              <w:rPr>
                <w:rFonts w:hint="eastAsia" w:ascii="仿宋" w:hAnsi="仿宋" w:eastAsia="仿宋" w:cs="仿宋"/>
                <w:sz w:val="21"/>
                <w:szCs w:val="21"/>
              </w:rPr>
              <w:t>在建</w:t>
            </w:r>
          </w:p>
        </w:tc>
        <w:tc>
          <w:tcPr>
            <w:tcW w:w="820" w:type="dxa"/>
            <w:tcBorders>
              <w:top w:val="single" w:color="000000" w:sz="4" w:space="0"/>
              <w:left w:val="single" w:color="000000" w:sz="4" w:space="0"/>
              <w:bottom w:val="single" w:color="000000" w:sz="4" w:space="0"/>
              <w:right w:val="single" w:color="000000" w:sz="4" w:space="0"/>
            </w:tcBorders>
            <w:vAlign w:val="center"/>
          </w:tcPr>
          <w:p w14:paraId="47834934">
            <w:pPr>
              <w:jc w:val="center"/>
              <w:rPr>
                <w:rFonts w:hint="eastAsia" w:ascii="仿宋" w:hAnsi="仿宋" w:eastAsia="仿宋" w:cs="仿宋"/>
                <w:sz w:val="21"/>
                <w:szCs w:val="21"/>
              </w:rPr>
            </w:pPr>
          </w:p>
        </w:tc>
      </w:tr>
      <w:tr w14:paraId="6FD0344A">
        <w:tblPrEx>
          <w:tblCellMar>
            <w:top w:w="0" w:type="dxa"/>
            <w:left w:w="108" w:type="dxa"/>
            <w:bottom w:w="0" w:type="dxa"/>
            <w:right w:w="108" w:type="dxa"/>
          </w:tblCellMar>
        </w:tblPrEx>
        <w:trPr>
          <w:trHeight w:val="567" w:hRule="atLeast"/>
        </w:trPr>
        <w:tc>
          <w:tcPr>
            <w:tcW w:w="457" w:type="dxa"/>
            <w:tcBorders>
              <w:top w:val="single" w:color="000000" w:sz="4" w:space="0"/>
              <w:left w:val="single" w:color="000000" w:sz="4" w:space="0"/>
              <w:bottom w:val="nil"/>
              <w:right w:val="single" w:color="000000" w:sz="4" w:space="0"/>
            </w:tcBorders>
            <w:vAlign w:val="center"/>
          </w:tcPr>
          <w:p w14:paraId="55A49FB6">
            <w:pPr>
              <w:widowControl/>
              <w:jc w:val="center"/>
              <w:rPr>
                <w:rFonts w:hint="eastAsia" w:ascii="仿宋" w:hAnsi="仿宋" w:eastAsia="仿宋" w:cs="仿宋"/>
                <w:sz w:val="21"/>
                <w:szCs w:val="21"/>
              </w:rPr>
            </w:pPr>
            <w:r>
              <w:rPr>
                <w:rFonts w:hint="eastAsia" w:ascii="仿宋" w:hAnsi="仿宋" w:eastAsia="仿宋" w:cs="仿宋"/>
                <w:sz w:val="21"/>
                <w:szCs w:val="21"/>
              </w:rPr>
              <w:t>15</w:t>
            </w:r>
          </w:p>
        </w:tc>
        <w:tc>
          <w:tcPr>
            <w:tcW w:w="457" w:type="dxa"/>
            <w:vMerge w:val="restart"/>
            <w:tcBorders>
              <w:top w:val="single" w:color="000000" w:sz="4" w:space="0"/>
              <w:left w:val="single" w:color="000000" w:sz="4" w:space="0"/>
              <w:bottom w:val="single" w:color="000000" w:sz="4" w:space="0"/>
              <w:right w:val="single" w:color="000000" w:sz="4" w:space="0"/>
            </w:tcBorders>
            <w:noWrap/>
            <w:vAlign w:val="center"/>
          </w:tcPr>
          <w:p w14:paraId="278FE91A">
            <w:pPr>
              <w:widowControl/>
              <w:jc w:val="center"/>
              <w:rPr>
                <w:rFonts w:hint="eastAsia" w:ascii="仿宋" w:hAnsi="仿宋" w:eastAsia="仿宋" w:cs="仿宋"/>
                <w:sz w:val="21"/>
                <w:szCs w:val="21"/>
              </w:rPr>
            </w:pPr>
            <w:r>
              <w:rPr>
                <w:rFonts w:hint="eastAsia" w:ascii="仿宋" w:hAnsi="仿宋" w:eastAsia="仿宋" w:cs="仿宋"/>
                <w:sz w:val="21"/>
                <w:szCs w:val="21"/>
              </w:rPr>
              <w:t>锦尚镇</w:t>
            </w:r>
          </w:p>
        </w:tc>
        <w:tc>
          <w:tcPr>
            <w:tcW w:w="457" w:type="dxa"/>
            <w:vMerge w:val="restart"/>
            <w:tcBorders>
              <w:top w:val="single" w:color="000000" w:sz="4" w:space="0"/>
              <w:left w:val="single" w:color="000000" w:sz="4" w:space="0"/>
              <w:bottom w:val="single" w:color="000000" w:sz="4" w:space="0"/>
              <w:right w:val="single" w:color="000000" w:sz="4" w:space="0"/>
            </w:tcBorders>
            <w:noWrap/>
            <w:vAlign w:val="center"/>
          </w:tcPr>
          <w:p w14:paraId="56EE5812">
            <w:pPr>
              <w:widowControl/>
              <w:jc w:val="center"/>
              <w:rPr>
                <w:rFonts w:hint="eastAsia" w:ascii="仿宋" w:hAnsi="仿宋" w:eastAsia="仿宋" w:cs="仿宋"/>
                <w:sz w:val="21"/>
                <w:szCs w:val="21"/>
              </w:rPr>
            </w:pPr>
            <w:r>
              <w:rPr>
                <w:rFonts w:hint="eastAsia" w:ascii="仿宋" w:hAnsi="仿宋" w:eastAsia="仿宋" w:cs="仿宋"/>
                <w:sz w:val="21"/>
                <w:szCs w:val="21"/>
              </w:rPr>
              <w:t>东店村</w:t>
            </w:r>
          </w:p>
        </w:tc>
        <w:tc>
          <w:tcPr>
            <w:tcW w:w="2878" w:type="dxa"/>
            <w:tcBorders>
              <w:top w:val="single" w:color="000000" w:sz="4" w:space="0"/>
              <w:left w:val="single" w:color="000000" w:sz="4" w:space="0"/>
              <w:bottom w:val="nil"/>
              <w:right w:val="single" w:color="000000" w:sz="4" w:space="0"/>
            </w:tcBorders>
            <w:noWrap/>
            <w:vAlign w:val="center"/>
          </w:tcPr>
          <w:p w14:paraId="10B58B46">
            <w:pPr>
              <w:widowControl/>
              <w:jc w:val="center"/>
              <w:rPr>
                <w:rFonts w:hint="eastAsia" w:ascii="仿宋" w:hAnsi="仿宋" w:eastAsia="仿宋" w:cs="仿宋"/>
                <w:sz w:val="21"/>
                <w:szCs w:val="21"/>
              </w:rPr>
            </w:pPr>
            <w:r>
              <w:rPr>
                <w:rFonts w:hint="eastAsia" w:ascii="仿宋" w:hAnsi="仿宋" w:eastAsia="仿宋" w:cs="仿宋"/>
                <w:sz w:val="21"/>
                <w:szCs w:val="21"/>
              </w:rPr>
              <w:t>东店村人居环境整治</w:t>
            </w:r>
          </w:p>
        </w:tc>
        <w:tc>
          <w:tcPr>
            <w:tcW w:w="792" w:type="dxa"/>
            <w:tcBorders>
              <w:top w:val="single" w:color="000000" w:sz="4" w:space="0"/>
              <w:left w:val="single" w:color="000000" w:sz="4" w:space="0"/>
              <w:bottom w:val="nil"/>
              <w:right w:val="single" w:color="000000" w:sz="4" w:space="0"/>
            </w:tcBorders>
            <w:vAlign w:val="center"/>
          </w:tcPr>
          <w:p w14:paraId="1FACC304">
            <w:pPr>
              <w:widowControl/>
              <w:jc w:val="center"/>
              <w:rPr>
                <w:rFonts w:hint="eastAsia" w:ascii="仿宋" w:hAnsi="仿宋" w:eastAsia="仿宋" w:cs="仿宋"/>
                <w:sz w:val="21"/>
                <w:szCs w:val="21"/>
              </w:rPr>
            </w:pPr>
            <w:r>
              <w:rPr>
                <w:rFonts w:hint="eastAsia" w:ascii="仿宋" w:hAnsi="仿宋" w:eastAsia="仿宋" w:cs="仿宋"/>
                <w:sz w:val="21"/>
                <w:szCs w:val="21"/>
              </w:rPr>
              <w:t>基础设施</w:t>
            </w:r>
          </w:p>
        </w:tc>
        <w:tc>
          <w:tcPr>
            <w:tcW w:w="924" w:type="dxa"/>
            <w:tcBorders>
              <w:top w:val="single" w:color="000000" w:sz="4" w:space="0"/>
              <w:left w:val="single" w:color="000000" w:sz="4" w:space="0"/>
              <w:bottom w:val="nil"/>
              <w:right w:val="single" w:color="000000" w:sz="4" w:space="0"/>
            </w:tcBorders>
            <w:vAlign w:val="center"/>
          </w:tcPr>
          <w:p w14:paraId="41C227FA">
            <w:pPr>
              <w:widowControl/>
              <w:jc w:val="center"/>
              <w:rPr>
                <w:rFonts w:hint="eastAsia" w:ascii="仿宋" w:hAnsi="仿宋" w:eastAsia="仿宋" w:cs="仿宋"/>
                <w:sz w:val="21"/>
                <w:szCs w:val="21"/>
              </w:rPr>
            </w:pPr>
            <w:r>
              <w:rPr>
                <w:rFonts w:hint="eastAsia" w:ascii="仿宋" w:hAnsi="仿宋" w:eastAsia="仿宋" w:cs="仿宋"/>
                <w:sz w:val="21"/>
                <w:szCs w:val="21"/>
              </w:rPr>
              <w:t>171</w:t>
            </w:r>
          </w:p>
        </w:tc>
        <w:tc>
          <w:tcPr>
            <w:tcW w:w="859" w:type="dxa"/>
            <w:tcBorders>
              <w:top w:val="single" w:color="000000" w:sz="4" w:space="0"/>
              <w:left w:val="single" w:color="000000" w:sz="4" w:space="0"/>
              <w:bottom w:val="nil"/>
              <w:right w:val="single" w:color="000000" w:sz="4" w:space="0"/>
            </w:tcBorders>
            <w:noWrap/>
            <w:vAlign w:val="center"/>
          </w:tcPr>
          <w:p w14:paraId="50846C26">
            <w:pPr>
              <w:widowControl/>
              <w:jc w:val="center"/>
              <w:rPr>
                <w:rFonts w:hint="eastAsia" w:ascii="仿宋" w:hAnsi="仿宋" w:eastAsia="仿宋" w:cs="仿宋"/>
                <w:sz w:val="21"/>
                <w:szCs w:val="21"/>
              </w:rPr>
            </w:pPr>
            <w:r>
              <w:rPr>
                <w:rFonts w:hint="eastAsia" w:ascii="仿宋" w:hAnsi="仿宋" w:eastAsia="仿宋" w:cs="仿宋"/>
                <w:sz w:val="21"/>
                <w:szCs w:val="21"/>
              </w:rPr>
              <w:t>164.52</w:t>
            </w:r>
          </w:p>
        </w:tc>
        <w:tc>
          <w:tcPr>
            <w:tcW w:w="858" w:type="dxa"/>
            <w:tcBorders>
              <w:top w:val="single" w:color="000000" w:sz="4" w:space="0"/>
              <w:left w:val="single" w:color="000000" w:sz="4" w:space="0"/>
              <w:bottom w:val="nil"/>
              <w:right w:val="single" w:color="000000" w:sz="4" w:space="0"/>
            </w:tcBorders>
            <w:vAlign w:val="center"/>
          </w:tcPr>
          <w:p w14:paraId="0335CED7">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nil"/>
              <w:right w:val="single" w:color="000000" w:sz="4" w:space="0"/>
            </w:tcBorders>
            <w:vAlign w:val="center"/>
          </w:tcPr>
          <w:p w14:paraId="424CCA33">
            <w:pPr>
              <w:widowControl/>
              <w:jc w:val="center"/>
              <w:rPr>
                <w:rFonts w:hint="eastAsia" w:ascii="仿宋" w:hAnsi="仿宋" w:eastAsia="仿宋" w:cs="仿宋"/>
                <w:sz w:val="21"/>
                <w:szCs w:val="21"/>
              </w:rPr>
            </w:pPr>
            <w:r>
              <w:rPr>
                <w:rFonts w:hint="eastAsia" w:ascii="仿宋" w:hAnsi="仿宋" w:eastAsia="仿宋" w:cs="仿宋"/>
                <w:sz w:val="21"/>
                <w:szCs w:val="21"/>
              </w:rPr>
              <w:t>2025.1.14</w:t>
            </w:r>
          </w:p>
        </w:tc>
      </w:tr>
      <w:tr w14:paraId="63F22074">
        <w:tblPrEx>
          <w:tblCellMar>
            <w:top w:w="0" w:type="dxa"/>
            <w:left w:w="108" w:type="dxa"/>
            <w:bottom w:w="0" w:type="dxa"/>
            <w:right w:w="108" w:type="dxa"/>
          </w:tblCellMar>
        </w:tblPrEx>
        <w:trPr>
          <w:trHeight w:val="567"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2172EB21">
            <w:pPr>
              <w:widowControl/>
              <w:jc w:val="center"/>
              <w:rPr>
                <w:rFonts w:hint="eastAsia" w:ascii="仿宋" w:hAnsi="仿宋" w:eastAsia="仿宋" w:cs="仿宋"/>
                <w:sz w:val="21"/>
                <w:szCs w:val="21"/>
              </w:rPr>
            </w:pPr>
            <w:r>
              <w:rPr>
                <w:rFonts w:hint="eastAsia" w:ascii="仿宋" w:hAnsi="仿宋" w:eastAsia="仿宋" w:cs="仿宋"/>
                <w:sz w:val="21"/>
                <w:szCs w:val="21"/>
              </w:rPr>
              <w:t>16</w:t>
            </w: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50B3085C">
            <w:pPr>
              <w:widowControl/>
              <w:jc w:val="left"/>
              <w:rPr>
                <w:rFonts w:hint="eastAsia" w:ascii="仿宋" w:hAnsi="仿宋" w:eastAsia="仿宋" w:cs="仿宋"/>
                <w:sz w:val="21"/>
                <w:szCs w:val="21"/>
              </w:rPr>
            </w:pPr>
          </w:p>
        </w:tc>
        <w:tc>
          <w:tcPr>
            <w:tcW w:w="457" w:type="dxa"/>
            <w:vMerge w:val="continue"/>
            <w:tcBorders>
              <w:top w:val="single" w:color="000000" w:sz="4" w:space="0"/>
              <w:left w:val="single" w:color="000000" w:sz="4" w:space="0"/>
              <w:bottom w:val="single" w:color="000000" w:sz="4" w:space="0"/>
              <w:right w:val="single" w:color="000000" w:sz="4" w:space="0"/>
            </w:tcBorders>
            <w:vAlign w:val="center"/>
          </w:tcPr>
          <w:p w14:paraId="7F54942C">
            <w:pPr>
              <w:widowControl/>
              <w:jc w:val="left"/>
              <w:rPr>
                <w:rFonts w:hint="eastAsia" w:ascii="仿宋" w:hAnsi="仿宋" w:eastAsia="仿宋" w:cs="仿宋"/>
                <w:sz w:val="21"/>
                <w:szCs w:val="21"/>
              </w:rPr>
            </w:pPr>
          </w:p>
        </w:tc>
        <w:tc>
          <w:tcPr>
            <w:tcW w:w="2878" w:type="dxa"/>
            <w:tcBorders>
              <w:top w:val="single" w:color="000000" w:sz="4" w:space="0"/>
              <w:left w:val="single" w:color="000000" w:sz="4" w:space="0"/>
              <w:bottom w:val="single" w:color="000000" w:sz="4" w:space="0"/>
              <w:right w:val="single" w:color="000000" w:sz="4" w:space="0"/>
            </w:tcBorders>
            <w:noWrap/>
            <w:vAlign w:val="center"/>
          </w:tcPr>
          <w:p w14:paraId="6AC56B9F">
            <w:pPr>
              <w:widowControl/>
              <w:jc w:val="center"/>
              <w:rPr>
                <w:rFonts w:hint="eastAsia" w:ascii="仿宋" w:hAnsi="仿宋" w:eastAsia="仿宋" w:cs="仿宋"/>
                <w:sz w:val="21"/>
                <w:szCs w:val="21"/>
              </w:rPr>
            </w:pPr>
            <w:r>
              <w:rPr>
                <w:rFonts w:hint="eastAsia" w:ascii="仿宋" w:hAnsi="仿宋" w:eastAsia="仿宋" w:cs="仿宋"/>
                <w:sz w:val="21"/>
                <w:szCs w:val="21"/>
              </w:rPr>
              <w:t>集中办宴点</w:t>
            </w:r>
          </w:p>
        </w:tc>
        <w:tc>
          <w:tcPr>
            <w:tcW w:w="792" w:type="dxa"/>
            <w:tcBorders>
              <w:top w:val="single" w:color="000000" w:sz="4" w:space="0"/>
              <w:left w:val="single" w:color="000000" w:sz="4" w:space="0"/>
              <w:bottom w:val="single" w:color="000000" w:sz="4" w:space="0"/>
              <w:right w:val="single" w:color="000000" w:sz="4" w:space="0"/>
            </w:tcBorders>
            <w:vAlign w:val="center"/>
          </w:tcPr>
          <w:p w14:paraId="32BE948B">
            <w:pPr>
              <w:widowControl/>
              <w:jc w:val="center"/>
              <w:rPr>
                <w:rFonts w:hint="eastAsia" w:ascii="仿宋" w:hAnsi="仿宋" w:eastAsia="仿宋" w:cs="仿宋"/>
                <w:sz w:val="21"/>
                <w:szCs w:val="21"/>
              </w:rPr>
            </w:pPr>
            <w:r>
              <w:rPr>
                <w:rFonts w:hint="eastAsia" w:ascii="仿宋" w:hAnsi="仿宋" w:eastAsia="仿宋" w:cs="仿宋"/>
                <w:sz w:val="21"/>
                <w:szCs w:val="21"/>
              </w:rPr>
              <w:t>产业发展</w:t>
            </w:r>
          </w:p>
        </w:tc>
        <w:tc>
          <w:tcPr>
            <w:tcW w:w="924" w:type="dxa"/>
            <w:tcBorders>
              <w:top w:val="single" w:color="000000" w:sz="4" w:space="0"/>
              <w:left w:val="single" w:color="000000" w:sz="4" w:space="0"/>
              <w:bottom w:val="single" w:color="000000" w:sz="4" w:space="0"/>
              <w:right w:val="single" w:color="000000" w:sz="4" w:space="0"/>
            </w:tcBorders>
            <w:vAlign w:val="center"/>
          </w:tcPr>
          <w:p w14:paraId="545573FC">
            <w:pPr>
              <w:widowControl/>
              <w:jc w:val="center"/>
              <w:rPr>
                <w:rFonts w:hint="eastAsia" w:ascii="仿宋" w:hAnsi="仿宋" w:eastAsia="仿宋" w:cs="仿宋"/>
                <w:sz w:val="21"/>
                <w:szCs w:val="21"/>
              </w:rPr>
            </w:pPr>
            <w:r>
              <w:rPr>
                <w:rFonts w:hint="eastAsia" w:ascii="仿宋" w:hAnsi="仿宋" w:eastAsia="仿宋" w:cs="仿宋"/>
                <w:sz w:val="21"/>
                <w:szCs w:val="21"/>
              </w:rPr>
              <w:t>90</w:t>
            </w:r>
          </w:p>
        </w:tc>
        <w:tc>
          <w:tcPr>
            <w:tcW w:w="859" w:type="dxa"/>
            <w:tcBorders>
              <w:top w:val="single" w:color="000000" w:sz="4" w:space="0"/>
              <w:left w:val="single" w:color="000000" w:sz="4" w:space="0"/>
              <w:bottom w:val="single" w:color="000000" w:sz="4" w:space="0"/>
              <w:right w:val="single" w:color="000000" w:sz="4" w:space="0"/>
            </w:tcBorders>
            <w:noWrap/>
            <w:vAlign w:val="center"/>
          </w:tcPr>
          <w:p w14:paraId="6D4F5C11">
            <w:pPr>
              <w:widowControl/>
              <w:jc w:val="center"/>
              <w:rPr>
                <w:rFonts w:hint="eastAsia" w:ascii="仿宋" w:hAnsi="仿宋" w:eastAsia="仿宋" w:cs="仿宋"/>
                <w:sz w:val="21"/>
                <w:szCs w:val="21"/>
              </w:rPr>
            </w:pPr>
            <w:r>
              <w:rPr>
                <w:rFonts w:hint="eastAsia" w:ascii="仿宋" w:hAnsi="仿宋" w:eastAsia="仿宋" w:cs="仿宋"/>
                <w:sz w:val="21"/>
                <w:szCs w:val="21"/>
              </w:rPr>
              <w:t>83.58</w:t>
            </w:r>
          </w:p>
        </w:tc>
        <w:tc>
          <w:tcPr>
            <w:tcW w:w="858" w:type="dxa"/>
            <w:tcBorders>
              <w:top w:val="single" w:color="000000" w:sz="4" w:space="0"/>
              <w:left w:val="single" w:color="000000" w:sz="4" w:space="0"/>
              <w:bottom w:val="single" w:color="000000" w:sz="4" w:space="0"/>
              <w:right w:val="single" w:color="000000" w:sz="4" w:space="0"/>
            </w:tcBorders>
            <w:vAlign w:val="center"/>
          </w:tcPr>
          <w:p w14:paraId="188BE9FF">
            <w:pPr>
              <w:widowControl/>
              <w:jc w:val="center"/>
              <w:rPr>
                <w:rFonts w:hint="eastAsia" w:ascii="仿宋" w:hAnsi="仿宋" w:eastAsia="仿宋" w:cs="仿宋"/>
                <w:sz w:val="21"/>
                <w:szCs w:val="21"/>
              </w:rPr>
            </w:pPr>
            <w:r>
              <w:rPr>
                <w:rFonts w:hint="eastAsia" w:ascii="仿宋" w:hAnsi="仿宋" w:eastAsia="仿宋" w:cs="仿宋"/>
                <w:sz w:val="21"/>
                <w:szCs w:val="21"/>
              </w:rPr>
              <w:t>完工</w:t>
            </w:r>
          </w:p>
        </w:tc>
        <w:tc>
          <w:tcPr>
            <w:tcW w:w="820" w:type="dxa"/>
            <w:tcBorders>
              <w:top w:val="single" w:color="000000" w:sz="4" w:space="0"/>
              <w:left w:val="single" w:color="000000" w:sz="4" w:space="0"/>
              <w:bottom w:val="single" w:color="000000" w:sz="4" w:space="0"/>
              <w:right w:val="single" w:color="000000" w:sz="4" w:space="0"/>
            </w:tcBorders>
            <w:vAlign w:val="center"/>
          </w:tcPr>
          <w:p w14:paraId="4A9C8BD1">
            <w:pPr>
              <w:widowControl/>
              <w:jc w:val="center"/>
              <w:rPr>
                <w:rFonts w:hint="eastAsia" w:ascii="仿宋" w:hAnsi="仿宋" w:eastAsia="仿宋" w:cs="仿宋"/>
                <w:sz w:val="21"/>
                <w:szCs w:val="21"/>
              </w:rPr>
            </w:pPr>
            <w:r>
              <w:rPr>
                <w:rFonts w:hint="eastAsia" w:ascii="仿宋" w:hAnsi="仿宋" w:eastAsia="仿宋" w:cs="仿宋"/>
                <w:sz w:val="21"/>
                <w:szCs w:val="21"/>
              </w:rPr>
              <w:t>2025.4.8</w:t>
            </w:r>
          </w:p>
        </w:tc>
      </w:tr>
      <w:tr w14:paraId="2B74038B">
        <w:tblPrEx>
          <w:tblCellMar>
            <w:top w:w="0" w:type="dxa"/>
            <w:left w:w="108" w:type="dxa"/>
            <w:bottom w:w="0" w:type="dxa"/>
            <w:right w:w="108" w:type="dxa"/>
          </w:tblCellMar>
        </w:tblPrEx>
        <w:trPr>
          <w:trHeight w:val="634" w:hRule="atLeast"/>
        </w:trPr>
        <w:tc>
          <w:tcPr>
            <w:tcW w:w="457" w:type="dxa"/>
            <w:tcBorders>
              <w:top w:val="single" w:color="000000" w:sz="4" w:space="0"/>
              <w:left w:val="single" w:color="000000" w:sz="4" w:space="0"/>
              <w:bottom w:val="single" w:color="000000" w:sz="4" w:space="0"/>
              <w:right w:val="single" w:color="000000" w:sz="4" w:space="0"/>
            </w:tcBorders>
            <w:vAlign w:val="center"/>
          </w:tcPr>
          <w:p w14:paraId="5AD3E652">
            <w:pPr>
              <w:widowControl/>
              <w:jc w:val="center"/>
              <w:rPr>
                <w:rFonts w:hint="eastAsia" w:ascii="仿宋" w:hAnsi="仿宋" w:eastAsia="仿宋" w:cs="仿宋"/>
                <w:sz w:val="21"/>
                <w:szCs w:val="21"/>
              </w:rPr>
            </w:pPr>
            <w:r>
              <w:rPr>
                <w:rFonts w:hint="eastAsia" w:ascii="仿宋" w:hAnsi="仿宋" w:eastAsia="仿宋" w:cs="仿宋"/>
                <w:sz w:val="21"/>
                <w:szCs w:val="21"/>
              </w:rPr>
              <w:t>17</w:t>
            </w:r>
          </w:p>
        </w:tc>
        <w:tc>
          <w:tcPr>
            <w:tcW w:w="457" w:type="dxa"/>
            <w:tcBorders>
              <w:top w:val="single" w:color="000000" w:sz="4" w:space="0"/>
              <w:left w:val="single" w:color="000000" w:sz="4" w:space="0"/>
              <w:bottom w:val="single" w:color="000000" w:sz="4" w:space="0"/>
              <w:right w:val="single" w:color="000000" w:sz="4" w:space="0"/>
            </w:tcBorders>
            <w:noWrap/>
            <w:vAlign w:val="center"/>
          </w:tcPr>
          <w:p w14:paraId="0E37AC03">
            <w:pPr>
              <w:widowControl/>
              <w:jc w:val="center"/>
              <w:rPr>
                <w:rFonts w:hint="eastAsia" w:ascii="仿宋" w:hAnsi="仿宋" w:eastAsia="仿宋" w:cs="仿宋"/>
                <w:sz w:val="21"/>
                <w:szCs w:val="21"/>
              </w:rPr>
            </w:pPr>
            <w:r>
              <w:rPr>
                <w:rFonts w:hint="eastAsia" w:ascii="仿宋" w:hAnsi="仿宋" w:eastAsia="仿宋" w:cs="仿宋"/>
                <w:sz w:val="21"/>
                <w:szCs w:val="21"/>
              </w:rPr>
              <w:t>永宁镇</w:t>
            </w:r>
          </w:p>
        </w:tc>
        <w:tc>
          <w:tcPr>
            <w:tcW w:w="457" w:type="dxa"/>
            <w:tcBorders>
              <w:top w:val="single" w:color="000000" w:sz="4" w:space="0"/>
              <w:left w:val="single" w:color="000000" w:sz="4" w:space="0"/>
              <w:bottom w:val="single" w:color="000000" w:sz="4" w:space="0"/>
              <w:right w:val="single" w:color="000000" w:sz="4" w:space="0"/>
            </w:tcBorders>
            <w:vAlign w:val="center"/>
          </w:tcPr>
          <w:p w14:paraId="08CEA8DD">
            <w:pPr>
              <w:widowControl/>
              <w:jc w:val="center"/>
              <w:rPr>
                <w:rFonts w:hint="eastAsia" w:ascii="仿宋" w:hAnsi="仿宋" w:eastAsia="仿宋" w:cs="仿宋"/>
                <w:sz w:val="21"/>
                <w:szCs w:val="21"/>
              </w:rPr>
            </w:pPr>
            <w:r>
              <w:rPr>
                <w:rFonts w:hint="eastAsia" w:ascii="仿宋" w:hAnsi="仿宋" w:eastAsia="仿宋" w:cs="仿宋"/>
                <w:sz w:val="21"/>
                <w:szCs w:val="21"/>
              </w:rPr>
              <w:t>/</w:t>
            </w:r>
          </w:p>
        </w:tc>
        <w:tc>
          <w:tcPr>
            <w:tcW w:w="2878" w:type="dxa"/>
            <w:tcBorders>
              <w:top w:val="single" w:color="000000" w:sz="4" w:space="0"/>
              <w:left w:val="single" w:color="000000" w:sz="4" w:space="0"/>
              <w:bottom w:val="single" w:color="000000" w:sz="4" w:space="0"/>
              <w:right w:val="single" w:color="000000" w:sz="4" w:space="0"/>
            </w:tcBorders>
            <w:noWrap/>
            <w:vAlign w:val="center"/>
          </w:tcPr>
          <w:p w14:paraId="7B30DB7B">
            <w:pPr>
              <w:widowControl/>
              <w:jc w:val="center"/>
              <w:rPr>
                <w:rFonts w:hint="eastAsia" w:ascii="仿宋" w:hAnsi="仿宋" w:eastAsia="仿宋" w:cs="仿宋"/>
                <w:sz w:val="21"/>
                <w:szCs w:val="21"/>
              </w:rPr>
            </w:pPr>
            <w:r>
              <w:rPr>
                <w:rFonts w:hint="eastAsia" w:ascii="仿宋" w:hAnsi="仿宋" w:eastAsia="仿宋" w:cs="仿宋"/>
                <w:sz w:val="21"/>
                <w:szCs w:val="21"/>
              </w:rPr>
              <w:t>洛伽寺公共服务改造项目</w:t>
            </w:r>
          </w:p>
        </w:tc>
        <w:tc>
          <w:tcPr>
            <w:tcW w:w="792" w:type="dxa"/>
            <w:tcBorders>
              <w:top w:val="single" w:color="000000" w:sz="4" w:space="0"/>
              <w:left w:val="single" w:color="000000" w:sz="4" w:space="0"/>
              <w:bottom w:val="single" w:color="000000" w:sz="4" w:space="0"/>
              <w:right w:val="single" w:color="000000" w:sz="4" w:space="0"/>
            </w:tcBorders>
            <w:vAlign w:val="center"/>
          </w:tcPr>
          <w:p w14:paraId="1C60FC8A">
            <w:pPr>
              <w:widowControl/>
              <w:jc w:val="center"/>
              <w:rPr>
                <w:rFonts w:hint="eastAsia" w:ascii="仿宋" w:hAnsi="仿宋" w:eastAsia="仿宋" w:cs="仿宋"/>
                <w:sz w:val="21"/>
                <w:szCs w:val="21"/>
              </w:rPr>
            </w:pPr>
            <w:r>
              <w:rPr>
                <w:rFonts w:hint="eastAsia" w:ascii="仿宋" w:hAnsi="仿宋" w:eastAsia="仿宋" w:cs="仿宋"/>
                <w:sz w:val="21"/>
                <w:szCs w:val="21"/>
              </w:rPr>
              <w:t>公共服务</w:t>
            </w:r>
          </w:p>
        </w:tc>
        <w:tc>
          <w:tcPr>
            <w:tcW w:w="924" w:type="dxa"/>
            <w:tcBorders>
              <w:top w:val="single" w:color="000000" w:sz="4" w:space="0"/>
              <w:left w:val="single" w:color="000000" w:sz="4" w:space="0"/>
              <w:bottom w:val="single" w:color="000000" w:sz="4" w:space="0"/>
              <w:right w:val="single" w:color="000000" w:sz="4" w:space="0"/>
            </w:tcBorders>
            <w:vAlign w:val="center"/>
          </w:tcPr>
          <w:p w14:paraId="4FC5018A">
            <w:pPr>
              <w:widowControl/>
              <w:jc w:val="center"/>
              <w:rPr>
                <w:rFonts w:hint="eastAsia" w:ascii="仿宋" w:hAnsi="仿宋" w:eastAsia="仿宋" w:cs="仿宋"/>
                <w:sz w:val="21"/>
                <w:szCs w:val="21"/>
              </w:rPr>
            </w:pPr>
            <w:r>
              <w:rPr>
                <w:rFonts w:hint="eastAsia" w:ascii="仿宋" w:hAnsi="仿宋" w:eastAsia="仿宋" w:cs="仿宋"/>
                <w:sz w:val="21"/>
                <w:szCs w:val="21"/>
              </w:rPr>
              <w:t>500</w:t>
            </w:r>
          </w:p>
        </w:tc>
        <w:tc>
          <w:tcPr>
            <w:tcW w:w="859" w:type="dxa"/>
            <w:tcBorders>
              <w:top w:val="single" w:color="000000" w:sz="4" w:space="0"/>
              <w:left w:val="single" w:color="000000" w:sz="4" w:space="0"/>
              <w:bottom w:val="single" w:color="000000" w:sz="4" w:space="0"/>
              <w:right w:val="single" w:color="000000" w:sz="4" w:space="0"/>
            </w:tcBorders>
            <w:vAlign w:val="center"/>
          </w:tcPr>
          <w:p w14:paraId="53D8E8F1">
            <w:pPr>
              <w:widowControl/>
              <w:jc w:val="center"/>
              <w:rPr>
                <w:rFonts w:hint="eastAsia" w:ascii="仿宋" w:hAnsi="仿宋" w:eastAsia="仿宋" w:cs="仿宋"/>
                <w:sz w:val="21"/>
                <w:szCs w:val="21"/>
              </w:rPr>
            </w:pPr>
            <w:r>
              <w:rPr>
                <w:rFonts w:hint="eastAsia" w:ascii="仿宋" w:hAnsi="仿宋" w:eastAsia="仿宋" w:cs="仿宋"/>
                <w:sz w:val="21"/>
                <w:szCs w:val="21"/>
              </w:rPr>
              <w:t>50</w:t>
            </w:r>
          </w:p>
        </w:tc>
        <w:tc>
          <w:tcPr>
            <w:tcW w:w="858" w:type="dxa"/>
            <w:tcBorders>
              <w:top w:val="single" w:color="000000" w:sz="4" w:space="0"/>
              <w:left w:val="single" w:color="000000" w:sz="4" w:space="0"/>
              <w:bottom w:val="single" w:color="000000" w:sz="4" w:space="0"/>
              <w:right w:val="single" w:color="000000" w:sz="4" w:space="0"/>
            </w:tcBorders>
            <w:vAlign w:val="center"/>
          </w:tcPr>
          <w:p w14:paraId="436D4F46">
            <w:pPr>
              <w:widowControl/>
              <w:jc w:val="center"/>
              <w:rPr>
                <w:rFonts w:hint="eastAsia" w:ascii="仿宋" w:hAnsi="仿宋" w:eastAsia="仿宋" w:cs="仿宋"/>
                <w:sz w:val="21"/>
                <w:szCs w:val="21"/>
              </w:rPr>
            </w:pPr>
            <w:r>
              <w:rPr>
                <w:rFonts w:hint="eastAsia" w:ascii="仿宋" w:hAnsi="仿宋" w:eastAsia="仿宋" w:cs="仿宋"/>
                <w:sz w:val="21"/>
                <w:szCs w:val="21"/>
              </w:rPr>
              <w:t>在建</w:t>
            </w:r>
          </w:p>
        </w:tc>
        <w:tc>
          <w:tcPr>
            <w:tcW w:w="820" w:type="dxa"/>
            <w:tcBorders>
              <w:top w:val="single" w:color="000000" w:sz="4" w:space="0"/>
              <w:left w:val="single" w:color="000000" w:sz="4" w:space="0"/>
              <w:bottom w:val="single" w:color="000000" w:sz="4" w:space="0"/>
              <w:right w:val="single" w:color="000000" w:sz="4" w:space="0"/>
            </w:tcBorders>
            <w:vAlign w:val="center"/>
          </w:tcPr>
          <w:p w14:paraId="53871595">
            <w:pPr>
              <w:widowControl/>
              <w:jc w:val="center"/>
              <w:rPr>
                <w:rFonts w:hint="eastAsia" w:ascii="仿宋" w:hAnsi="仿宋" w:eastAsia="仿宋" w:cs="仿宋"/>
                <w:sz w:val="21"/>
                <w:szCs w:val="21"/>
              </w:rPr>
            </w:pPr>
          </w:p>
        </w:tc>
      </w:tr>
    </w:tbl>
    <w:p w14:paraId="1F4F21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zh-CN"/>
        </w:rPr>
        <w:t>注：序号</w:t>
      </w:r>
      <w:r>
        <w:rPr>
          <w:rFonts w:hint="eastAsia" w:ascii="仿宋" w:hAnsi="仿宋" w:eastAsia="仿宋" w:cs="仿宋"/>
          <w:sz w:val="21"/>
          <w:szCs w:val="21"/>
          <w:lang w:val="en-US" w:eastAsia="zh-CN"/>
        </w:rPr>
        <w:t>17</w:t>
      </w:r>
      <w:r>
        <w:rPr>
          <w:rFonts w:hint="eastAsia" w:ascii="仿宋" w:hAnsi="仿宋" w:eastAsia="仿宋" w:cs="仿宋"/>
          <w:sz w:val="21"/>
          <w:szCs w:val="21"/>
          <w:lang w:val="zh-CN"/>
        </w:rPr>
        <w:t>为省级乡村振兴示范乡镇创建对象实施项目，将其视为公共服务类。</w:t>
      </w:r>
    </w:p>
    <w:p w14:paraId="72B48B2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1.产出数量（</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12分，得分8.</w:t>
      </w:r>
      <w:r>
        <w:rPr>
          <w:rFonts w:hint="eastAsia" w:ascii="仿宋_GB2312" w:hAnsi="Times New Roman" w:eastAsia="仿宋_GB2312" w:cs="Times New Roman"/>
          <w:sz w:val="24"/>
        </w:rPr>
        <w:t>23</w:t>
      </w:r>
      <w:r>
        <w:rPr>
          <w:rFonts w:hint="eastAsia" w:ascii="仿宋_GB2312" w:hAnsi="Times New Roman" w:eastAsia="仿宋_GB2312" w:cs="Times New Roman"/>
          <w:sz w:val="24"/>
          <w:lang w:val="zh-CN"/>
        </w:rPr>
        <w:t>分）</w:t>
      </w:r>
    </w:p>
    <w:p w14:paraId="134A80E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（1）产业发展项目建成率（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4分，得分3.56分）</w:t>
      </w:r>
    </w:p>
    <w:p w14:paraId="2C40DB64">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数据统计，2024年省级乡村振兴示范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创建对象实施项目中产业发展类项目共有9个，</w:t>
      </w:r>
      <w:r>
        <w:rPr>
          <w:rFonts w:hint="eastAsia" w:ascii="仿宋_GB2312" w:hAnsi="Times New Roman" w:eastAsia="仿宋_GB2312" w:cs="Times New Roman"/>
          <w:sz w:val="24"/>
          <w:lang w:val="en-US" w:eastAsia="zh-CN"/>
        </w:rPr>
        <w:t>共</w:t>
      </w:r>
      <w:r>
        <w:rPr>
          <w:rFonts w:hint="eastAsia" w:ascii="仿宋_GB2312" w:hAnsi="Times New Roman" w:eastAsia="仿宋_GB2312" w:cs="Times New Roman"/>
          <w:sz w:val="24"/>
          <w:lang w:val="zh-CN"/>
        </w:rPr>
        <w:t>完工8个项目。产业发展项目建成率=（产业发展项目建成数量/产业发展项目数量）×100%=（8/9）×100%=88.89%。依据评分标准，产业发展项目建成率×指标满分值（4分）=88.89%×4=3.56分。综上所述，该项指标扣0.44分，得3.56分。</w:t>
      </w:r>
    </w:p>
    <w:p w14:paraId="4F2D564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（2）基础设施工程完成率（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2.67</w:t>
      </w:r>
      <w:r>
        <w:rPr>
          <w:rFonts w:hint="eastAsia" w:ascii="仿宋_GB2312" w:hAnsi="Times New Roman" w:eastAsia="仿宋_GB2312" w:cs="Times New Roman"/>
          <w:sz w:val="24"/>
          <w:lang w:val="zh-CN"/>
        </w:rPr>
        <w:t>分）</w:t>
      </w:r>
    </w:p>
    <w:p w14:paraId="1952EE0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数据统计，2024年省级乡村振兴示范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创建对象实施项目中基础设施类项目共有</w:t>
      </w:r>
      <w:r>
        <w:rPr>
          <w:rFonts w:hint="eastAsia" w:ascii="仿宋_GB2312" w:hAnsi="Times New Roman" w:eastAsia="仿宋_GB2312" w:cs="Times New Roman"/>
          <w:sz w:val="24"/>
        </w:rPr>
        <w:t>6</w:t>
      </w:r>
      <w:r>
        <w:rPr>
          <w:rFonts w:hint="eastAsia" w:ascii="仿宋_GB2312" w:hAnsi="Times New Roman" w:eastAsia="仿宋_GB2312" w:cs="Times New Roman"/>
          <w:sz w:val="24"/>
          <w:lang w:val="zh-CN"/>
        </w:rPr>
        <w:t>个，</w:t>
      </w:r>
      <w:r>
        <w:rPr>
          <w:rFonts w:hint="eastAsia" w:ascii="仿宋_GB2312" w:hAnsi="Times New Roman" w:eastAsia="仿宋_GB2312" w:cs="Times New Roman"/>
          <w:sz w:val="24"/>
          <w:lang w:val="en-US" w:eastAsia="zh-CN"/>
        </w:rPr>
        <w:t>共</w:t>
      </w:r>
      <w:r>
        <w:rPr>
          <w:rFonts w:hint="eastAsia" w:ascii="仿宋_GB2312" w:hAnsi="Times New Roman" w:eastAsia="仿宋_GB2312" w:cs="Times New Roman"/>
          <w:sz w:val="24"/>
          <w:lang w:val="zh-CN"/>
        </w:rPr>
        <w:t>完工</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个项目。基础设施工程完成率=（基础设施工程完成数量/基础设施工程数量）×100%=（</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6</w:t>
      </w:r>
      <w:r>
        <w:rPr>
          <w:rFonts w:hint="eastAsia" w:ascii="仿宋_GB2312" w:hAnsi="Times New Roman" w:eastAsia="仿宋_GB2312" w:cs="Times New Roman"/>
          <w:sz w:val="24"/>
          <w:lang w:val="zh-CN"/>
        </w:rPr>
        <w:t>）×100%=</w:t>
      </w:r>
      <w:r>
        <w:rPr>
          <w:rFonts w:hint="eastAsia" w:ascii="仿宋_GB2312" w:hAnsi="Times New Roman" w:eastAsia="仿宋_GB2312" w:cs="Times New Roman"/>
          <w:sz w:val="24"/>
        </w:rPr>
        <w:t>66.67</w:t>
      </w:r>
      <w:r>
        <w:rPr>
          <w:rFonts w:hint="eastAsia" w:ascii="仿宋_GB2312" w:hAnsi="Times New Roman" w:eastAsia="仿宋_GB2312" w:cs="Times New Roman"/>
          <w:sz w:val="24"/>
          <w:lang w:val="zh-CN"/>
        </w:rPr>
        <w:t>%。依据评分标准，基础设施工程完成率×指标满分值（4分）=</w:t>
      </w:r>
      <w:r>
        <w:rPr>
          <w:rFonts w:hint="eastAsia" w:ascii="仿宋_GB2312" w:hAnsi="Times New Roman" w:eastAsia="仿宋_GB2312" w:cs="Times New Roman"/>
          <w:sz w:val="24"/>
        </w:rPr>
        <w:t>66.67</w:t>
      </w:r>
      <w:r>
        <w:rPr>
          <w:rFonts w:hint="eastAsia" w:ascii="仿宋_GB2312" w:hAnsi="Times New Roman" w:eastAsia="仿宋_GB2312" w:cs="Times New Roman"/>
          <w:sz w:val="24"/>
          <w:lang w:val="zh-CN"/>
        </w:rPr>
        <w:t>%×4=</w:t>
      </w:r>
      <w:r>
        <w:rPr>
          <w:rFonts w:hint="eastAsia" w:ascii="仿宋_GB2312" w:hAnsi="Times New Roman" w:eastAsia="仿宋_GB2312" w:cs="Times New Roman"/>
          <w:sz w:val="24"/>
        </w:rPr>
        <w:t>2.67</w:t>
      </w:r>
      <w:r>
        <w:rPr>
          <w:rFonts w:hint="eastAsia" w:ascii="仿宋_GB2312" w:hAnsi="Times New Roman" w:eastAsia="仿宋_GB2312" w:cs="Times New Roman"/>
          <w:sz w:val="24"/>
          <w:lang w:val="zh-CN"/>
        </w:rPr>
        <w:t>分。综上所述，该项指标扣</w:t>
      </w:r>
      <w:r>
        <w:rPr>
          <w:rFonts w:hint="eastAsia" w:ascii="仿宋_GB2312" w:hAnsi="Times New Roman" w:eastAsia="仿宋_GB2312" w:cs="Times New Roman"/>
          <w:sz w:val="24"/>
        </w:rPr>
        <w:t>1.33</w:t>
      </w:r>
      <w:r>
        <w:rPr>
          <w:rFonts w:hint="eastAsia" w:ascii="仿宋_GB2312" w:hAnsi="Times New Roman" w:eastAsia="仿宋_GB2312" w:cs="Times New Roman"/>
          <w:sz w:val="24"/>
          <w:lang w:val="zh-CN"/>
        </w:rPr>
        <w:t>分，得</w:t>
      </w:r>
      <w:r>
        <w:rPr>
          <w:rFonts w:hint="eastAsia" w:ascii="仿宋_GB2312" w:hAnsi="Times New Roman" w:eastAsia="仿宋_GB2312" w:cs="Times New Roman"/>
          <w:sz w:val="24"/>
        </w:rPr>
        <w:t>2.67</w:t>
      </w:r>
      <w:r>
        <w:rPr>
          <w:rFonts w:hint="eastAsia" w:ascii="仿宋_GB2312" w:hAnsi="Times New Roman" w:eastAsia="仿宋_GB2312" w:cs="Times New Roman"/>
          <w:sz w:val="24"/>
          <w:lang w:val="zh-CN"/>
        </w:rPr>
        <w:t>分。</w:t>
      </w:r>
    </w:p>
    <w:p w14:paraId="1D826A6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（3）公共服务项目完成率（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4分，得分2分）</w:t>
      </w:r>
    </w:p>
    <w:p w14:paraId="2F38751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数据统计，2024年省级乡村振兴示范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创建对象实施项目中公共服务类项目共有2个，</w:t>
      </w:r>
      <w:r>
        <w:rPr>
          <w:rFonts w:hint="eastAsia" w:ascii="仿宋_GB2312" w:hAnsi="Times New Roman" w:eastAsia="仿宋_GB2312" w:cs="Times New Roman"/>
          <w:sz w:val="24"/>
          <w:lang w:val="en-US" w:eastAsia="zh-CN"/>
        </w:rPr>
        <w:t>共</w:t>
      </w:r>
      <w:r>
        <w:rPr>
          <w:rFonts w:hint="eastAsia" w:ascii="仿宋_GB2312" w:hAnsi="Times New Roman" w:eastAsia="仿宋_GB2312" w:cs="Times New Roman"/>
          <w:sz w:val="24"/>
          <w:lang w:val="zh-CN"/>
        </w:rPr>
        <w:t>完工1个项目。公共服务项目完成率=（公共服务项目完成数量/公共服务项目数量）×100%=（1/2）×100%=50.00%。依据评分标准，公共服务项目完成率×指标满分值（4分）=50.00%×4=2分。综上所述，该项指标扣2分，得2分。</w:t>
      </w:r>
    </w:p>
    <w:p w14:paraId="23F0C96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2.产出质量（</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12分，得分</w:t>
      </w:r>
      <w:r>
        <w:rPr>
          <w:rFonts w:hint="eastAsia" w:ascii="仿宋_GB2312" w:hAnsi="Times New Roman" w:eastAsia="仿宋_GB2312" w:cs="Times New Roman"/>
          <w:sz w:val="24"/>
          <w:lang w:val="en-US" w:eastAsia="zh-CN"/>
        </w:rPr>
        <w:t>12</w:t>
      </w:r>
      <w:r>
        <w:rPr>
          <w:rFonts w:hint="eastAsia" w:ascii="仿宋_GB2312" w:hAnsi="Times New Roman" w:eastAsia="仿宋_GB2312" w:cs="Times New Roman"/>
          <w:sz w:val="24"/>
          <w:lang w:val="zh-CN"/>
        </w:rPr>
        <w:t>分）</w:t>
      </w:r>
    </w:p>
    <w:p w14:paraId="676A2F6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（1）产业发展项目验收合格率（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lang w:val="en-US" w:eastAsia="zh-CN"/>
        </w:rPr>
        <w:t>4</w:t>
      </w:r>
      <w:r>
        <w:rPr>
          <w:rFonts w:hint="eastAsia" w:ascii="仿宋_GB2312" w:hAnsi="Times New Roman" w:eastAsia="仿宋_GB2312" w:cs="Times New Roman"/>
          <w:sz w:val="24"/>
          <w:lang w:val="zh-CN"/>
        </w:rPr>
        <w:t>分）</w:t>
      </w:r>
    </w:p>
    <w:p w14:paraId="6FAA7AB5">
      <w:pPr>
        <w:spacing w:line="360" w:lineRule="auto"/>
        <w:ind w:firstLine="480" w:firstLineChars="200"/>
        <w:rPr>
          <w:rFonts w:ascii="仿宋_GB2312" w:hAnsi="Times New Roman" w:eastAsia="仿宋_GB2312" w:cs="Times New Roman"/>
          <w:sz w:val="24"/>
          <w:highlight w:val="none"/>
          <w:lang w:val="zh-CN"/>
        </w:rPr>
      </w:pPr>
      <w:r>
        <w:rPr>
          <w:rFonts w:hint="eastAsia" w:ascii="仿宋_GB2312" w:hAnsi="Times New Roman" w:eastAsia="仿宋_GB2312" w:cs="Times New Roman"/>
          <w:sz w:val="24"/>
          <w:highlight w:val="none"/>
          <w:lang w:val="zh-CN"/>
        </w:rPr>
        <w:t>根据表</w:t>
      </w:r>
      <w:r>
        <w:rPr>
          <w:rFonts w:hint="eastAsia" w:ascii="仿宋_GB2312" w:hAnsi="Times New Roman" w:eastAsia="仿宋_GB2312" w:cs="Times New Roman"/>
          <w:sz w:val="24"/>
          <w:highlight w:val="none"/>
          <w:lang w:val="en-US" w:eastAsia="zh-CN"/>
        </w:rPr>
        <w:t>3</w:t>
      </w:r>
      <w:r>
        <w:rPr>
          <w:rFonts w:hint="eastAsia" w:ascii="仿宋_GB2312" w:hAnsi="Times New Roman" w:eastAsia="仿宋_GB2312" w:cs="Times New Roman"/>
          <w:sz w:val="24"/>
          <w:highlight w:val="none"/>
          <w:lang w:val="zh-CN"/>
        </w:rPr>
        <w:t>数据统计，2024年省级乡村振兴示范</w:t>
      </w:r>
      <w:r>
        <w:rPr>
          <w:rFonts w:hint="eastAsia" w:ascii="仿宋_GB2312" w:hAnsi="Times New Roman" w:eastAsia="仿宋_GB2312" w:cs="Times New Roman"/>
          <w:sz w:val="24"/>
          <w:highlight w:val="none"/>
        </w:rPr>
        <w:t>村</w:t>
      </w:r>
      <w:r>
        <w:rPr>
          <w:rFonts w:hint="eastAsia" w:ascii="仿宋_GB2312" w:hAnsi="Times New Roman" w:eastAsia="仿宋_GB2312" w:cs="Times New Roman"/>
          <w:sz w:val="24"/>
          <w:highlight w:val="none"/>
          <w:lang w:val="zh-CN"/>
        </w:rPr>
        <w:t>创建对象实施项目中产业发展类项目</w:t>
      </w:r>
      <w:r>
        <w:rPr>
          <w:rFonts w:hint="eastAsia" w:ascii="仿宋_GB2312" w:hAnsi="Times New Roman" w:eastAsia="仿宋_GB2312" w:cs="Times New Roman"/>
          <w:sz w:val="24"/>
          <w:highlight w:val="none"/>
          <w:lang w:val="en-US" w:eastAsia="zh-CN"/>
        </w:rPr>
        <w:t>共</w:t>
      </w:r>
      <w:r>
        <w:rPr>
          <w:rFonts w:hint="eastAsia" w:ascii="仿宋_GB2312" w:hAnsi="Times New Roman" w:eastAsia="仿宋_GB2312" w:cs="Times New Roman"/>
          <w:sz w:val="24"/>
          <w:highlight w:val="none"/>
          <w:lang w:val="zh-CN"/>
        </w:rPr>
        <w:t>完工8个项目，</w:t>
      </w:r>
      <w:r>
        <w:rPr>
          <w:rFonts w:hint="eastAsia" w:ascii="仿宋_GB2312" w:hAnsi="Times New Roman" w:eastAsia="仿宋_GB2312" w:cs="Times New Roman"/>
          <w:sz w:val="24"/>
          <w:highlight w:val="none"/>
          <w:lang w:val="en-US" w:eastAsia="zh-CN"/>
        </w:rPr>
        <w:t>其中</w:t>
      </w:r>
      <w:r>
        <w:rPr>
          <w:rFonts w:hint="eastAsia" w:ascii="仿宋_GB2312" w:hAnsi="Times New Roman" w:eastAsia="仿宋_GB2312" w:cs="Times New Roman"/>
          <w:sz w:val="24"/>
          <w:highlight w:val="none"/>
          <w:lang w:val="zh-CN"/>
        </w:rPr>
        <w:t>竣工验收通过</w:t>
      </w:r>
      <w:r>
        <w:rPr>
          <w:rFonts w:hint="eastAsia" w:ascii="仿宋_GB2312" w:hAnsi="Times New Roman" w:eastAsia="仿宋_GB2312" w:cs="Times New Roman"/>
          <w:sz w:val="24"/>
          <w:highlight w:val="none"/>
          <w:lang w:val="en-US" w:eastAsia="zh-CN"/>
        </w:rPr>
        <w:t>7</w:t>
      </w:r>
      <w:r>
        <w:rPr>
          <w:rFonts w:hint="eastAsia" w:ascii="仿宋_GB2312" w:hAnsi="Times New Roman" w:eastAsia="仿宋_GB2312" w:cs="Times New Roman"/>
          <w:sz w:val="24"/>
          <w:highlight w:val="none"/>
          <w:lang w:val="zh-CN"/>
        </w:rPr>
        <w:t>个项目，厝仔村乡村振兴产品展播馆装修工程</w:t>
      </w:r>
      <w:r>
        <w:rPr>
          <w:rFonts w:hint="eastAsia" w:ascii="仿宋_GB2312" w:hAnsi="Times New Roman" w:eastAsia="仿宋_GB2312" w:cs="Times New Roman"/>
          <w:sz w:val="24"/>
          <w:highlight w:val="none"/>
          <w:lang w:val="en-US" w:eastAsia="zh-CN"/>
        </w:rPr>
        <w:t>项目尚未验收</w:t>
      </w:r>
      <w:r>
        <w:rPr>
          <w:rFonts w:hint="eastAsia" w:ascii="仿宋_GB2312" w:hAnsi="Times New Roman" w:eastAsia="仿宋_GB2312" w:cs="Times New Roman"/>
          <w:sz w:val="24"/>
          <w:highlight w:val="none"/>
          <w:lang w:val="zh-CN"/>
        </w:rPr>
        <w:t>。产业发展项目验收合格率=（验收通过的产业发展项目数/开展验收的产业发展项目数）×100%=</w:t>
      </w:r>
      <w:r>
        <w:rPr>
          <w:rFonts w:hint="eastAsia" w:ascii="仿宋_GB2312" w:hAnsi="Times New Roman" w:eastAsia="仿宋_GB2312" w:cs="Times New Roman"/>
          <w:sz w:val="24"/>
          <w:highlight w:val="none"/>
          <w:lang w:val="en-US" w:eastAsia="zh-CN"/>
        </w:rPr>
        <w:t>100%</w:t>
      </w:r>
      <w:r>
        <w:rPr>
          <w:rFonts w:hint="eastAsia" w:ascii="仿宋_GB2312" w:hAnsi="Times New Roman" w:eastAsia="仿宋_GB2312" w:cs="Times New Roman"/>
          <w:sz w:val="24"/>
          <w:highlight w:val="none"/>
          <w:lang w:val="zh-CN"/>
        </w:rPr>
        <w:t>。依据评分标准，产业发展项目验收合格率×指标满分值（4分）=</w:t>
      </w:r>
      <w:r>
        <w:rPr>
          <w:rFonts w:hint="eastAsia" w:ascii="仿宋_GB2312" w:hAnsi="Times New Roman" w:eastAsia="仿宋_GB2312" w:cs="Times New Roman"/>
          <w:sz w:val="24"/>
          <w:highlight w:val="none"/>
          <w:lang w:val="en-US" w:eastAsia="zh-CN"/>
        </w:rPr>
        <w:t>4</w:t>
      </w:r>
      <w:r>
        <w:rPr>
          <w:rFonts w:hint="eastAsia" w:ascii="仿宋_GB2312" w:hAnsi="Times New Roman" w:eastAsia="仿宋_GB2312" w:cs="Times New Roman"/>
          <w:sz w:val="24"/>
          <w:highlight w:val="none"/>
          <w:lang w:val="zh-CN"/>
        </w:rPr>
        <w:t>分。综上所述，该项指标得</w:t>
      </w:r>
      <w:r>
        <w:rPr>
          <w:rFonts w:hint="eastAsia" w:ascii="仿宋_GB2312" w:hAnsi="Times New Roman" w:eastAsia="仿宋_GB2312" w:cs="Times New Roman"/>
          <w:sz w:val="24"/>
          <w:highlight w:val="none"/>
          <w:lang w:val="en-US" w:eastAsia="zh-CN"/>
        </w:rPr>
        <w:t>4</w:t>
      </w:r>
      <w:r>
        <w:rPr>
          <w:rFonts w:hint="eastAsia" w:ascii="仿宋_GB2312" w:hAnsi="Times New Roman" w:eastAsia="仿宋_GB2312" w:cs="Times New Roman"/>
          <w:sz w:val="24"/>
          <w:highlight w:val="none"/>
          <w:lang w:val="zh-CN"/>
        </w:rPr>
        <w:t>分。</w:t>
      </w:r>
    </w:p>
    <w:p w14:paraId="7A32533B">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（2）基础设施工程建设验收合格率（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lang w:val="en-US" w:eastAsia="zh-CN"/>
        </w:rPr>
        <w:t>4</w:t>
      </w:r>
      <w:r>
        <w:rPr>
          <w:rFonts w:hint="eastAsia" w:ascii="仿宋_GB2312" w:hAnsi="Times New Roman" w:eastAsia="仿宋_GB2312" w:cs="Times New Roman"/>
          <w:sz w:val="24"/>
          <w:lang w:val="zh-CN"/>
        </w:rPr>
        <w:t>分）</w:t>
      </w:r>
    </w:p>
    <w:p w14:paraId="77B00AC5">
      <w:pPr>
        <w:spacing w:line="360" w:lineRule="auto"/>
        <w:ind w:firstLine="480" w:firstLineChars="200"/>
        <w:rPr>
          <w:rFonts w:ascii="仿宋_GB2312" w:hAnsi="Times New Roman" w:eastAsia="仿宋_GB2312" w:cs="Times New Roman"/>
          <w:sz w:val="24"/>
          <w:highlight w:val="none"/>
          <w:lang w:val="zh-CN"/>
        </w:rPr>
      </w:pPr>
      <w:r>
        <w:rPr>
          <w:rFonts w:hint="eastAsia" w:ascii="仿宋_GB2312" w:hAnsi="Times New Roman" w:eastAsia="仿宋_GB2312" w:cs="Times New Roman"/>
          <w:sz w:val="24"/>
          <w:highlight w:val="none"/>
          <w:lang w:val="zh-CN"/>
        </w:rPr>
        <w:t>根据表</w:t>
      </w:r>
      <w:r>
        <w:rPr>
          <w:rFonts w:hint="eastAsia" w:ascii="仿宋_GB2312" w:hAnsi="Times New Roman" w:eastAsia="仿宋_GB2312" w:cs="Times New Roman"/>
          <w:sz w:val="24"/>
          <w:highlight w:val="none"/>
          <w:lang w:val="en-US" w:eastAsia="zh-CN"/>
        </w:rPr>
        <w:t>3</w:t>
      </w:r>
      <w:r>
        <w:rPr>
          <w:rFonts w:hint="eastAsia" w:ascii="仿宋_GB2312" w:hAnsi="Times New Roman" w:eastAsia="仿宋_GB2312" w:cs="Times New Roman"/>
          <w:sz w:val="24"/>
          <w:highlight w:val="none"/>
          <w:lang w:val="zh-CN"/>
        </w:rPr>
        <w:t>数据统计，2024年省级乡村振兴示范</w:t>
      </w:r>
      <w:r>
        <w:rPr>
          <w:rFonts w:hint="eastAsia" w:ascii="仿宋_GB2312" w:hAnsi="Times New Roman" w:eastAsia="仿宋_GB2312" w:cs="Times New Roman"/>
          <w:sz w:val="24"/>
          <w:highlight w:val="none"/>
        </w:rPr>
        <w:t>村</w:t>
      </w:r>
      <w:r>
        <w:rPr>
          <w:rFonts w:hint="eastAsia" w:ascii="仿宋_GB2312" w:hAnsi="Times New Roman" w:eastAsia="仿宋_GB2312" w:cs="Times New Roman"/>
          <w:sz w:val="24"/>
          <w:highlight w:val="none"/>
          <w:lang w:val="zh-CN"/>
        </w:rPr>
        <w:t>创建对象实施项目中基础设施类项目</w:t>
      </w:r>
      <w:r>
        <w:rPr>
          <w:rFonts w:hint="eastAsia" w:ascii="仿宋_GB2312" w:hAnsi="Times New Roman" w:eastAsia="仿宋_GB2312" w:cs="Times New Roman"/>
          <w:sz w:val="24"/>
          <w:highlight w:val="none"/>
          <w:lang w:val="en-US" w:eastAsia="zh-CN"/>
        </w:rPr>
        <w:t>共</w:t>
      </w:r>
      <w:r>
        <w:rPr>
          <w:rFonts w:hint="eastAsia" w:ascii="仿宋_GB2312" w:hAnsi="Times New Roman" w:eastAsia="仿宋_GB2312" w:cs="Times New Roman"/>
          <w:sz w:val="24"/>
          <w:highlight w:val="none"/>
          <w:lang w:val="zh-CN"/>
        </w:rPr>
        <w:t>完工</w:t>
      </w:r>
      <w:r>
        <w:rPr>
          <w:rFonts w:hint="eastAsia" w:ascii="仿宋_GB2312" w:hAnsi="Times New Roman" w:eastAsia="仿宋_GB2312" w:cs="Times New Roman"/>
          <w:sz w:val="24"/>
          <w:highlight w:val="none"/>
        </w:rPr>
        <w:t>4</w:t>
      </w:r>
      <w:r>
        <w:rPr>
          <w:rFonts w:hint="eastAsia" w:ascii="仿宋_GB2312" w:hAnsi="Times New Roman" w:eastAsia="仿宋_GB2312" w:cs="Times New Roman"/>
          <w:sz w:val="24"/>
          <w:highlight w:val="none"/>
          <w:lang w:val="zh-CN"/>
        </w:rPr>
        <w:t>个项目，其中竣工验收通过</w:t>
      </w:r>
      <w:r>
        <w:rPr>
          <w:rFonts w:hint="eastAsia" w:ascii="仿宋_GB2312" w:hAnsi="Times New Roman" w:eastAsia="仿宋_GB2312" w:cs="Times New Roman"/>
          <w:sz w:val="24"/>
          <w:highlight w:val="none"/>
          <w:lang w:val="en-US" w:eastAsia="zh-CN"/>
        </w:rPr>
        <w:t>4</w:t>
      </w:r>
      <w:r>
        <w:rPr>
          <w:rFonts w:hint="eastAsia" w:ascii="仿宋_GB2312" w:hAnsi="Times New Roman" w:eastAsia="仿宋_GB2312" w:cs="Times New Roman"/>
          <w:sz w:val="24"/>
          <w:highlight w:val="none"/>
          <w:lang w:val="zh-CN"/>
        </w:rPr>
        <w:t>个项目。基础设施工程建设完成率=（验收通过的基础设施项目数/开展验收的基础设施项目数）×100%=</w:t>
      </w:r>
      <w:r>
        <w:rPr>
          <w:rFonts w:hint="eastAsia" w:ascii="仿宋_GB2312" w:hAnsi="Times New Roman" w:eastAsia="仿宋_GB2312" w:cs="Times New Roman"/>
          <w:sz w:val="24"/>
          <w:highlight w:val="none"/>
          <w:lang w:val="en-US" w:eastAsia="zh-CN"/>
        </w:rPr>
        <w:t>100</w:t>
      </w:r>
      <w:r>
        <w:rPr>
          <w:rFonts w:hint="eastAsia" w:ascii="仿宋_GB2312" w:hAnsi="Times New Roman" w:eastAsia="仿宋_GB2312" w:cs="Times New Roman"/>
          <w:sz w:val="24"/>
          <w:highlight w:val="none"/>
          <w:lang w:val="zh-CN"/>
        </w:rPr>
        <w:t>%。依据评分标准，基础设施工程建设验收合格率×指标满分值（4分）=</w:t>
      </w:r>
      <w:r>
        <w:rPr>
          <w:rFonts w:hint="eastAsia" w:ascii="仿宋_GB2312" w:hAnsi="Times New Roman" w:eastAsia="仿宋_GB2312" w:cs="Times New Roman"/>
          <w:sz w:val="24"/>
          <w:highlight w:val="none"/>
          <w:lang w:val="en-US" w:eastAsia="zh-CN"/>
        </w:rPr>
        <w:t>4</w:t>
      </w:r>
      <w:r>
        <w:rPr>
          <w:rFonts w:hint="eastAsia" w:ascii="仿宋_GB2312" w:hAnsi="Times New Roman" w:eastAsia="仿宋_GB2312" w:cs="Times New Roman"/>
          <w:sz w:val="24"/>
          <w:highlight w:val="none"/>
          <w:lang w:val="zh-CN"/>
        </w:rPr>
        <w:t>分。综上所述，该项指标得</w:t>
      </w:r>
      <w:r>
        <w:rPr>
          <w:rFonts w:hint="eastAsia" w:ascii="仿宋_GB2312" w:hAnsi="Times New Roman" w:eastAsia="仿宋_GB2312" w:cs="Times New Roman"/>
          <w:sz w:val="24"/>
          <w:highlight w:val="none"/>
          <w:lang w:val="en-US" w:eastAsia="zh-CN"/>
        </w:rPr>
        <w:t>4</w:t>
      </w:r>
      <w:r>
        <w:rPr>
          <w:rFonts w:hint="eastAsia" w:ascii="仿宋_GB2312" w:hAnsi="Times New Roman" w:eastAsia="仿宋_GB2312" w:cs="Times New Roman"/>
          <w:sz w:val="24"/>
          <w:highlight w:val="none"/>
          <w:lang w:val="zh-CN"/>
        </w:rPr>
        <w:t>分。</w:t>
      </w:r>
    </w:p>
    <w:p w14:paraId="379A3003">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（3）公共服务工程验收合格率（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3130B417">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数据统计，2024年省级乡村振兴示范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创建对象实施项目中产业发展类项目</w:t>
      </w:r>
      <w:r>
        <w:rPr>
          <w:rFonts w:hint="eastAsia" w:ascii="仿宋_GB2312" w:hAnsi="Times New Roman" w:eastAsia="仿宋_GB2312" w:cs="Times New Roman"/>
          <w:sz w:val="24"/>
          <w:lang w:val="en-US" w:eastAsia="zh-CN"/>
        </w:rPr>
        <w:t>共</w:t>
      </w:r>
      <w:r>
        <w:rPr>
          <w:rFonts w:hint="eastAsia" w:ascii="仿宋_GB2312" w:hAnsi="Times New Roman" w:eastAsia="仿宋_GB2312" w:cs="Times New Roman"/>
          <w:sz w:val="24"/>
          <w:lang w:val="zh-CN"/>
        </w:rPr>
        <w:t>完工1个项目，</w:t>
      </w:r>
      <w:r>
        <w:rPr>
          <w:rFonts w:hint="eastAsia" w:ascii="仿宋_GB2312" w:hAnsi="Times New Roman" w:eastAsia="仿宋_GB2312" w:cs="Times New Roman"/>
          <w:sz w:val="24"/>
          <w:lang w:val="en-US" w:eastAsia="zh-CN"/>
        </w:rPr>
        <w:t>其中</w:t>
      </w:r>
      <w:r>
        <w:rPr>
          <w:rFonts w:hint="eastAsia" w:ascii="仿宋_GB2312" w:hAnsi="Times New Roman" w:eastAsia="仿宋_GB2312" w:cs="Times New Roman"/>
          <w:sz w:val="24"/>
          <w:lang w:val="zh-CN"/>
        </w:rPr>
        <w:t>竣工验收通过</w:t>
      </w:r>
      <w:r>
        <w:rPr>
          <w:rFonts w:hint="eastAsia" w:ascii="仿宋_GB2312" w:hAnsi="Times New Roman" w:eastAsia="仿宋_GB2312" w:cs="Times New Roman"/>
          <w:sz w:val="24"/>
        </w:rPr>
        <w:t>1</w:t>
      </w:r>
      <w:r>
        <w:rPr>
          <w:rFonts w:hint="eastAsia" w:ascii="仿宋_GB2312" w:hAnsi="Times New Roman" w:eastAsia="仿宋_GB2312" w:cs="Times New Roman"/>
          <w:sz w:val="24"/>
          <w:lang w:val="zh-CN"/>
        </w:rPr>
        <w:t>个项目。公共服务工程验收合格率=（验收通过的公共服务项目数/开展验收的公共服务项目数）×100%=</w:t>
      </w:r>
      <w:r>
        <w:rPr>
          <w:rFonts w:hint="eastAsia" w:ascii="仿宋_GB2312" w:hAnsi="Times New Roman" w:eastAsia="仿宋_GB2312" w:cs="Times New Roman"/>
          <w:sz w:val="24"/>
        </w:rPr>
        <w:t>100</w:t>
      </w:r>
      <w:r>
        <w:rPr>
          <w:rFonts w:hint="eastAsia" w:ascii="仿宋_GB2312" w:hAnsi="Times New Roman" w:eastAsia="仿宋_GB2312" w:cs="Times New Roman"/>
          <w:sz w:val="24"/>
          <w:lang w:val="zh-CN"/>
        </w:rPr>
        <w:t>%。依据评分标准，公共服务工程验收合格率×指标满分值（4分）=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分。综上所述，该项指标</w:t>
      </w:r>
      <w:r>
        <w:rPr>
          <w:rFonts w:hint="eastAsia" w:ascii="仿宋_GB2312" w:hAnsi="Times New Roman" w:eastAsia="仿宋_GB2312" w:cs="Times New Roman"/>
          <w:sz w:val="24"/>
        </w:rPr>
        <w:t>可</w:t>
      </w:r>
      <w:r>
        <w:rPr>
          <w:rFonts w:hint="eastAsia" w:ascii="仿宋_GB2312" w:hAnsi="Times New Roman" w:eastAsia="仿宋_GB2312" w:cs="Times New Roman"/>
          <w:sz w:val="24"/>
          <w:lang w:val="zh-CN"/>
        </w:rPr>
        <w:t>得</w:t>
      </w:r>
      <w:r>
        <w:rPr>
          <w:rFonts w:hint="eastAsia" w:ascii="仿宋_GB2312" w:hAnsi="Times New Roman" w:eastAsia="仿宋_GB2312" w:cs="Times New Roman"/>
          <w:sz w:val="24"/>
        </w:rPr>
        <w:t>满分4</w:t>
      </w:r>
      <w:r>
        <w:rPr>
          <w:rFonts w:hint="eastAsia" w:ascii="仿宋_GB2312" w:hAnsi="Times New Roman" w:eastAsia="仿宋_GB2312" w:cs="Times New Roman"/>
          <w:sz w:val="24"/>
          <w:lang w:val="zh-CN"/>
        </w:rPr>
        <w:t>分。</w:t>
      </w:r>
    </w:p>
    <w:p w14:paraId="3479976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3.产出时效（</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w:t>
      </w:r>
      <w:r>
        <w:rPr>
          <w:rFonts w:hint="eastAsia" w:ascii="仿宋_GB2312" w:hAnsi="Times New Roman" w:eastAsia="仿宋_GB2312" w:cs="Times New Roman"/>
          <w:sz w:val="24"/>
        </w:rPr>
        <w:t>1.25</w:t>
      </w:r>
      <w:r>
        <w:rPr>
          <w:rFonts w:hint="eastAsia" w:ascii="仿宋_GB2312" w:hAnsi="Times New Roman" w:eastAsia="仿宋_GB2312" w:cs="Times New Roman"/>
          <w:sz w:val="24"/>
          <w:lang w:val="zh-CN"/>
        </w:rPr>
        <w:t>分）</w:t>
      </w:r>
    </w:p>
    <w:p w14:paraId="37B1CAA5">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按照完工及时率对产出时效评分，完工及时率=（</w:t>
      </w:r>
      <w:r>
        <w:rPr>
          <w:rFonts w:hint="eastAsia" w:ascii="仿宋_GB2312" w:hAnsi="Times New Roman" w:eastAsia="仿宋_GB2312" w:cs="Times New Roman"/>
          <w:sz w:val="24"/>
        </w:rPr>
        <w:t>完工验收</w:t>
      </w:r>
      <w:r>
        <w:rPr>
          <w:rFonts w:hint="eastAsia" w:ascii="仿宋_GB2312" w:hAnsi="Times New Roman" w:eastAsia="仿宋_GB2312" w:cs="Times New Roman"/>
          <w:sz w:val="24"/>
          <w:lang w:val="zh-CN"/>
        </w:rPr>
        <w:t>项目按时建设完成数量/完工</w:t>
      </w:r>
      <w:r>
        <w:rPr>
          <w:rFonts w:hint="eastAsia" w:ascii="仿宋_GB2312" w:hAnsi="Times New Roman" w:eastAsia="仿宋_GB2312" w:cs="Times New Roman"/>
          <w:sz w:val="24"/>
        </w:rPr>
        <w:t>验收</w:t>
      </w:r>
      <w:r>
        <w:rPr>
          <w:rFonts w:hint="eastAsia" w:ascii="仿宋_GB2312" w:hAnsi="Times New Roman" w:eastAsia="仿宋_GB2312" w:cs="Times New Roman"/>
          <w:sz w:val="24"/>
          <w:lang w:val="zh-CN"/>
        </w:rPr>
        <w:t>总项目数量）×100%。根据表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数据统计，</w:t>
      </w:r>
      <w:bookmarkStart w:id="110" w:name="_Hlk204544051"/>
      <w:r>
        <w:rPr>
          <w:rFonts w:hint="eastAsia" w:ascii="仿宋_GB2312" w:hAnsi="Times New Roman" w:eastAsia="仿宋_GB2312" w:cs="Times New Roman"/>
          <w:sz w:val="24"/>
          <w:lang w:val="zh-CN"/>
        </w:rPr>
        <w:t>完工</w:t>
      </w:r>
      <w:r>
        <w:rPr>
          <w:rFonts w:hint="eastAsia" w:ascii="仿宋_GB2312" w:hAnsi="Times New Roman" w:eastAsia="仿宋_GB2312" w:cs="Times New Roman"/>
          <w:sz w:val="24"/>
        </w:rPr>
        <w:t>验收通过的</w:t>
      </w:r>
      <w:r>
        <w:rPr>
          <w:rFonts w:hint="eastAsia" w:ascii="仿宋_GB2312" w:hAnsi="Times New Roman" w:eastAsia="仿宋_GB2312" w:cs="Times New Roman"/>
          <w:sz w:val="24"/>
          <w:lang w:val="zh-CN"/>
        </w:rPr>
        <w:t>项目</w:t>
      </w:r>
      <w:r>
        <w:rPr>
          <w:rFonts w:hint="eastAsia" w:ascii="仿宋_GB2312" w:hAnsi="Times New Roman" w:eastAsia="仿宋_GB2312" w:cs="Times New Roman"/>
          <w:sz w:val="24"/>
        </w:rPr>
        <w:t>有12</w:t>
      </w:r>
      <w:r>
        <w:rPr>
          <w:rFonts w:hint="eastAsia" w:ascii="仿宋_GB2312" w:hAnsi="Times New Roman" w:eastAsia="仿宋_GB2312" w:cs="Times New Roman"/>
          <w:sz w:val="24"/>
          <w:lang w:val="zh-CN"/>
        </w:rPr>
        <w:t>个。</w:t>
      </w:r>
      <w:bookmarkEnd w:id="110"/>
      <w:r>
        <w:rPr>
          <w:rFonts w:hint="eastAsia" w:ascii="仿宋_GB2312" w:hAnsi="Times New Roman" w:eastAsia="仿宋_GB2312" w:cs="Times New Roman"/>
          <w:sz w:val="24"/>
        </w:rPr>
        <w:t>通过各项目建设合同或验收报告，统计发现共有7个项目建设期超过合同规定的期限。</w:t>
      </w:r>
      <w:r>
        <w:rPr>
          <w:rFonts w:hint="eastAsia" w:ascii="仿宋_GB2312" w:hAnsi="Times New Roman" w:eastAsia="仿宋_GB2312" w:cs="Times New Roman"/>
          <w:sz w:val="24"/>
          <w:lang w:val="zh-CN"/>
        </w:rPr>
        <w:t>依据评分标准，完工及时率×指标满分值（3分）=（</w:t>
      </w:r>
      <w:r>
        <w:rPr>
          <w:rFonts w:hint="eastAsia" w:ascii="仿宋_GB2312" w:hAnsi="Times New Roman" w:eastAsia="仿宋_GB2312" w:cs="Times New Roman"/>
          <w:sz w:val="24"/>
        </w:rPr>
        <w:t>5</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12</w:t>
      </w:r>
      <w:r>
        <w:rPr>
          <w:rFonts w:hint="eastAsia" w:ascii="仿宋_GB2312" w:hAnsi="Times New Roman" w:eastAsia="仿宋_GB2312" w:cs="Times New Roman"/>
          <w:sz w:val="24"/>
          <w:lang w:val="zh-CN"/>
        </w:rPr>
        <w:t>）×100%×3=</w:t>
      </w:r>
      <w:r>
        <w:rPr>
          <w:rFonts w:hint="eastAsia" w:ascii="仿宋_GB2312" w:hAnsi="Times New Roman" w:eastAsia="仿宋_GB2312" w:cs="Times New Roman"/>
          <w:sz w:val="24"/>
        </w:rPr>
        <w:t>1.25</w:t>
      </w:r>
      <w:r>
        <w:rPr>
          <w:rFonts w:hint="eastAsia" w:ascii="仿宋_GB2312" w:hAnsi="Times New Roman" w:eastAsia="仿宋_GB2312" w:cs="Times New Roman"/>
          <w:sz w:val="24"/>
          <w:lang w:val="zh-CN"/>
        </w:rPr>
        <w:t>分。综上所述，该项指标扣</w:t>
      </w:r>
      <w:r>
        <w:rPr>
          <w:rFonts w:hint="eastAsia" w:ascii="仿宋_GB2312" w:hAnsi="Times New Roman" w:eastAsia="仿宋_GB2312" w:cs="Times New Roman"/>
          <w:sz w:val="24"/>
        </w:rPr>
        <w:t>1.75</w:t>
      </w:r>
      <w:r>
        <w:rPr>
          <w:rFonts w:hint="eastAsia" w:ascii="仿宋_GB2312" w:hAnsi="Times New Roman" w:eastAsia="仿宋_GB2312" w:cs="Times New Roman"/>
          <w:sz w:val="24"/>
          <w:lang w:val="zh-CN"/>
        </w:rPr>
        <w:t>分，得</w:t>
      </w:r>
      <w:r>
        <w:rPr>
          <w:rFonts w:hint="eastAsia" w:ascii="仿宋_GB2312" w:hAnsi="Times New Roman" w:eastAsia="仿宋_GB2312" w:cs="Times New Roman"/>
          <w:sz w:val="24"/>
        </w:rPr>
        <w:t>1.25</w:t>
      </w:r>
      <w:r>
        <w:rPr>
          <w:rFonts w:hint="eastAsia" w:ascii="仿宋_GB2312" w:hAnsi="Times New Roman" w:eastAsia="仿宋_GB2312" w:cs="Times New Roman"/>
          <w:sz w:val="24"/>
          <w:lang w:val="zh-CN"/>
        </w:rPr>
        <w:t>分。</w:t>
      </w:r>
    </w:p>
    <w:p w14:paraId="3AB7E453">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4.产出成本（</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3分，得分3分）</w:t>
      </w:r>
    </w:p>
    <w:p w14:paraId="3BBF097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按成本节约对产出成本评分，完工项目的实际投资额较计划投资额相比，每节约一个项目得一分；每超额一个项目扣一分；持平不得分；最多得3分。根据表</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数据统计，当年度示范创建实施项目共有完工项目1</w:t>
      </w:r>
      <w:r>
        <w:rPr>
          <w:rFonts w:hint="eastAsia" w:ascii="仿宋_GB2312" w:hAnsi="Times New Roman" w:eastAsia="仿宋_GB2312" w:cs="Times New Roman"/>
          <w:sz w:val="24"/>
        </w:rPr>
        <w:t>3</w:t>
      </w:r>
      <w:r>
        <w:rPr>
          <w:rFonts w:hint="eastAsia" w:ascii="仿宋_GB2312" w:hAnsi="Times New Roman" w:eastAsia="仿宋_GB2312" w:cs="Times New Roman"/>
          <w:sz w:val="24"/>
          <w:lang w:val="zh-CN"/>
        </w:rPr>
        <w:t>个，其中实际投资额较计划投资额有节约的项目</w:t>
      </w:r>
      <w:r>
        <w:rPr>
          <w:rFonts w:hint="eastAsia" w:ascii="仿宋_GB2312" w:hAnsi="Times New Roman" w:eastAsia="仿宋_GB2312" w:cs="Times New Roman"/>
          <w:sz w:val="24"/>
        </w:rPr>
        <w:t>9</w:t>
      </w:r>
      <w:r>
        <w:rPr>
          <w:rFonts w:hint="eastAsia" w:ascii="仿宋_GB2312" w:hAnsi="Times New Roman" w:eastAsia="仿宋_GB2312" w:cs="Times New Roman"/>
          <w:sz w:val="24"/>
          <w:lang w:val="zh-CN"/>
        </w:rPr>
        <w:t>个，超额项目</w:t>
      </w:r>
      <w:r>
        <w:rPr>
          <w:rFonts w:hint="eastAsia" w:ascii="仿宋_GB2312" w:hAnsi="Times New Roman" w:eastAsia="仿宋_GB2312" w:cs="Times New Roman"/>
          <w:sz w:val="24"/>
        </w:rPr>
        <w:t>3</w:t>
      </w:r>
      <w:r>
        <w:rPr>
          <w:rFonts w:hint="eastAsia" w:ascii="仿宋_GB2312" w:hAnsi="Times New Roman" w:eastAsia="仿宋_GB2312" w:cs="Times New Roman"/>
          <w:sz w:val="24"/>
          <w:lang w:val="zh-CN"/>
        </w:rPr>
        <w:t>个，持平项目1个。综上所述，该项指标得3分。</w:t>
      </w:r>
    </w:p>
    <w:p w14:paraId="2ADACE62">
      <w:pPr>
        <w:spacing w:line="360" w:lineRule="auto"/>
        <w:ind w:firstLine="482" w:firstLineChars="200"/>
        <w:outlineLvl w:val="1"/>
        <w:rPr>
          <w:rFonts w:ascii="仿宋_GB2312" w:hAnsi="Times New Roman" w:eastAsia="仿宋_GB2312" w:cs="Times New Roman"/>
          <w:b/>
          <w:bCs/>
          <w:sz w:val="24"/>
        </w:rPr>
      </w:pPr>
      <w:bookmarkStart w:id="111" w:name="_Toc184981070"/>
      <w:bookmarkStart w:id="112" w:name="_Toc184981308"/>
      <w:bookmarkStart w:id="113" w:name="_Toc205852128"/>
      <w:bookmarkStart w:id="114" w:name="_Toc7390"/>
      <w:bookmarkStart w:id="115" w:name="_Toc24165"/>
      <w:bookmarkStart w:id="116" w:name="_Toc1250"/>
      <w:bookmarkStart w:id="117" w:name="_Toc1040"/>
      <w:r>
        <w:rPr>
          <w:rFonts w:hint="eastAsia" w:ascii="仿宋_GB2312" w:hAnsi="Times New Roman" w:eastAsia="仿宋_GB2312" w:cs="Times New Roman"/>
          <w:b/>
          <w:bCs/>
          <w:sz w:val="24"/>
        </w:rPr>
        <w:t>（四）项目效益情况</w:t>
      </w:r>
      <w:bookmarkEnd w:id="111"/>
      <w:bookmarkEnd w:id="112"/>
      <w:r>
        <w:rPr>
          <w:rFonts w:hint="eastAsia" w:ascii="仿宋_GB2312" w:hAnsi="Times New Roman" w:eastAsia="仿宋_GB2312" w:cs="Times New Roman"/>
          <w:b/>
          <w:bCs/>
          <w:sz w:val="24"/>
        </w:rPr>
        <w:t>（分值32分，得分</w:t>
      </w:r>
      <w:r>
        <w:rPr>
          <w:rFonts w:hint="eastAsia" w:ascii="仿宋_GB2312" w:hAnsi="Times New Roman" w:eastAsia="仿宋_GB2312" w:cs="Times New Roman"/>
          <w:b/>
          <w:bCs/>
          <w:sz w:val="24"/>
          <w:lang w:val="en-US" w:eastAsia="zh-CN"/>
        </w:rPr>
        <w:t>25.05</w:t>
      </w:r>
      <w:r>
        <w:rPr>
          <w:rFonts w:hint="eastAsia" w:ascii="仿宋_GB2312" w:hAnsi="Times New Roman" w:eastAsia="仿宋_GB2312" w:cs="Times New Roman"/>
          <w:b/>
          <w:bCs/>
          <w:sz w:val="24"/>
        </w:rPr>
        <w:t>分）</w:t>
      </w:r>
      <w:bookmarkEnd w:id="113"/>
      <w:bookmarkEnd w:id="114"/>
      <w:bookmarkEnd w:id="115"/>
      <w:bookmarkEnd w:id="116"/>
      <w:bookmarkEnd w:id="117"/>
    </w:p>
    <w:p w14:paraId="272C4943">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1.社会效益（</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8分，实际得分</w:t>
      </w:r>
      <w:r>
        <w:rPr>
          <w:rFonts w:hint="eastAsia" w:ascii="仿宋_GB2312" w:hAnsi="Times New Roman" w:eastAsia="仿宋_GB2312" w:cs="Times New Roman"/>
          <w:sz w:val="24"/>
          <w:lang w:val="en-US" w:eastAsia="zh-CN"/>
        </w:rPr>
        <w:t>5</w:t>
      </w:r>
      <w:r>
        <w:rPr>
          <w:rFonts w:hint="eastAsia" w:ascii="仿宋_GB2312" w:hAnsi="Times New Roman" w:eastAsia="仿宋_GB2312" w:cs="Times New Roman"/>
          <w:sz w:val="24"/>
        </w:rPr>
        <w:t>.</w:t>
      </w:r>
      <w:r>
        <w:rPr>
          <w:rFonts w:hint="eastAsia" w:ascii="仿宋_GB2312" w:hAnsi="Times New Roman" w:eastAsia="仿宋_GB2312" w:cs="Times New Roman"/>
          <w:sz w:val="24"/>
          <w:lang w:val="en-US" w:eastAsia="zh-CN"/>
        </w:rPr>
        <w:t>76</w:t>
      </w:r>
      <w:r>
        <w:rPr>
          <w:rFonts w:hint="eastAsia" w:ascii="仿宋_GB2312" w:hAnsi="Times New Roman" w:eastAsia="仿宋_GB2312" w:cs="Times New Roman"/>
          <w:sz w:val="24"/>
          <w:lang w:val="zh-CN"/>
        </w:rPr>
        <w:t>分）</w:t>
      </w:r>
    </w:p>
    <w:p w14:paraId="69036A0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（1）政策知晓率（</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3.</w:t>
      </w:r>
      <w:r>
        <w:rPr>
          <w:rFonts w:hint="eastAsia" w:ascii="仿宋_GB2312" w:hAnsi="Times New Roman" w:eastAsia="仿宋_GB2312" w:cs="Times New Roman"/>
          <w:sz w:val="24"/>
          <w:lang w:val="en-US" w:eastAsia="zh-CN"/>
        </w:rPr>
        <w:t>76</w:t>
      </w:r>
      <w:r>
        <w:rPr>
          <w:rFonts w:hint="eastAsia" w:ascii="仿宋_GB2312" w:hAnsi="Times New Roman" w:eastAsia="仿宋_GB2312" w:cs="Times New Roman"/>
          <w:sz w:val="24"/>
          <w:lang w:val="zh-CN"/>
        </w:rPr>
        <w:t>分）</w:t>
      </w:r>
    </w:p>
    <w:p w14:paraId="430679F6">
      <w:pPr>
        <w:spacing w:line="360" w:lineRule="auto"/>
        <w:ind w:firstLine="480" w:firstLineChars="200"/>
        <w:rPr>
          <w:rFonts w:ascii="仿宋_GB2312" w:hAnsi="Times New Roman" w:eastAsia="仿宋_GB2312" w:cs="Times New Roman"/>
          <w:sz w:val="24"/>
          <w:highlight w:val="yellow"/>
          <w:lang w:val="zh-CN"/>
        </w:rPr>
      </w:pPr>
      <w:r>
        <w:rPr>
          <w:rFonts w:hint="eastAsia" w:ascii="仿宋_GB2312" w:hAnsi="Times New Roman" w:eastAsia="仿宋_GB2312" w:cs="Times New Roman"/>
          <w:sz w:val="24"/>
          <w:lang w:val="zh-CN"/>
        </w:rPr>
        <w:t>将政策知晓率设定为“公示项目数/项目总数×100%”，目的在于通过量化公开公示的覆盖面。既验证示范创建资金是否真正实行公开公示制度，实施项目是否充分尊重村民意愿，资金使用公开接受村民代表的全程监督；又检验市委乡村振兴办是否起到指导督促有关部门做好示范创建资金财务管理工作。本次</w:t>
      </w:r>
      <w:r>
        <w:rPr>
          <w:rFonts w:hint="eastAsia" w:ascii="仿宋_GB2312" w:hAnsi="Times New Roman" w:eastAsia="仿宋_GB2312" w:cs="Times New Roman"/>
          <w:sz w:val="24"/>
        </w:rPr>
        <w:t>17个</w:t>
      </w:r>
      <w:r>
        <w:rPr>
          <w:rFonts w:hint="eastAsia" w:ascii="仿宋_GB2312" w:hAnsi="Times New Roman" w:eastAsia="仿宋_GB2312" w:cs="Times New Roman"/>
          <w:sz w:val="24"/>
          <w:lang w:val="zh-CN"/>
        </w:rPr>
        <w:t>项目</w:t>
      </w:r>
      <w:r>
        <w:rPr>
          <w:rFonts w:hint="eastAsia" w:ascii="仿宋_GB2312" w:hAnsi="Times New Roman" w:eastAsia="仿宋_GB2312" w:cs="Times New Roman"/>
          <w:sz w:val="24"/>
        </w:rPr>
        <w:t>中有1</w:t>
      </w:r>
      <w:r>
        <w:rPr>
          <w:rFonts w:hint="eastAsia" w:ascii="仿宋_GB2312" w:hAnsi="Times New Roman" w:eastAsia="仿宋_GB2312" w:cs="Times New Roman"/>
          <w:sz w:val="24"/>
          <w:lang w:val="en-US" w:eastAsia="zh-CN"/>
        </w:rPr>
        <w:t>6</w:t>
      </w:r>
      <w:r>
        <w:rPr>
          <w:rFonts w:hint="eastAsia" w:ascii="仿宋_GB2312" w:hAnsi="Times New Roman" w:eastAsia="仿宋_GB2312" w:cs="Times New Roman"/>
          <w:sz w:val="24"/>
        </w:rPr>
        <w:t>个项目均通过村务公开栏、微信或媒体报道等方式进行</w:t>
      </w:r>
      <w:r>
        <w:rPr>
          <w:rFonts w:hint="eastAsia" w:ascii="仿宋_GB2312" w:hAnsi="Times New Roman" w:eastAsia="仿宋_GB2312" w:cs="Times New Roman"/>
          <w:sz w:val="24"/>
          <w:lang w:val="zh-CN"/>
        </w:rPr>
        <w:t>公示，</w:t>
      </w:r>
      <w:r>
        <w:rPr>
          <w:rFonts w:hint="eastAsia" w:ascii="仿宋_GB2312" w:hAnsi="Times New Roman" w:eastAsia="仿宋_GB2312" w:cs="Times New Roman"/>
          <w:sz w:val="24"/>
        </w:rPr>
        <w:t>其中</w:t>
      </w:r>
      <w:r>
        <w:rPr>
          <w:rFonts w:hint="eastAsia" w:ascii="仿宋_GB2312" w:hAnsi="Times New Roman" w:eastAsia="仿宋_GB2312" w:cs="Times New Roman"/>
          <w:sz w:val="24"/>
          <w:lang w:val="en-US" w:eastAsia="zh-CN"/>
        </w:rPr>
        <w:t>一</w:t>
      </w:r>
      <w:r>
        <w:rPr>
          <w:rFonts w:hint="eastAsia" w:ascii="仿宋_GB2312" w:hAnsi="Times New Roman" w:eastAsia="仿宋_GB2312" w:cs="Times New Roman"/>
          <w:sz w:val="24"/>
        </w:rPr>
        <w:t>个项目暂未收集到相关公示材料</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lang w:val="zh-CN"/>
        </w:rPr>
        <w:t>表明</w:t>
      </w:r>
      <w:r>
        <w:rPr>
          <w:rFonts w:hint="eastAsia" w:ascii="仿宋_GB2312" w:hAnsi="Times New Roman" w:eastAsia="仿宋_GB2312" w:cs="Times New Roman"/>
          <w:sz w:val="24"/>
        </w:rPr>
        <w:t>大部分项目</w:t>
      </w:r>
      <w:r>
        <w:rPr>
          <w:rFonts w:hint="eastAsia" w:ascii="仿宋_GB2312" w:hAnsi="Times New Roman" w:eastAsia="仿宋_GB2312" w:cs="Times New Roman"/>
          <w:sz w:val="24"/>
          <w:lang w:val="zh-CN"/>
        </w:rPr>
        <w:t>已实现“应公开尽公开”，村民知情权和监督权得到充分保障，为财政资金安全高效使用奠定了群众基础。政策知晓率</w:t>
      </w:r>
      <w:r>
        <w:rPr>
          <w:rFonts w:hint="eastAsia" w:ascii="仿宋_GB2312" w:hAnsi="Times New Roman" w:eastAsia="仿宋_GB2312" w:cs="Times New Roman"/>
          <w:sz w:val="24"/>
        </w:rPr>
        <w:t>=1</w:t>
      </w:r>
      <w:r>
        <w:rPr>
          <w:rFonts w:hint="eastAsia" w:ascii="仿宋_GB2312" w:hAnsi="Times New Roman" w:eastAsia="仿宋_GB2312" w:cs="Times New Roman"/>
          <w:sz w:val="24"/>
          <w:lang w:val="en-US" w:eastAsia="zh-CN"/>
        </w:rPr>
        <w:t>6</w:t>
      </w:r>
      <w:r>
        <w:rPr>
          <w:rFonts w:hint="eastAsia" w:ascii="仿宋_GB2312" w:hAnsi="Times New Roman" w:eastAsia="仿宋_GB2312" w:cs="Times New Roman"/>
          <w:sz w:val="24"/>
        </w:rPr>
        <w:t>/17×100%=</w:t>
      </w:r>
      <w:r>
        <w:rPr>
          <w:rFonts w:hint="eastAsia" w:ascii="仿宋_GB2312" w:hAnsi="Times New Roman" w:eastAsia="仿宋_GB2312" w:cs="Times New Roman"/>
          <w:sz w:val="24"/>
          <w:lang w:val="en-US" w:eastAsia="zh-CN"/>
        </w:rPr>
        <w:t>94.12</w:t>
      </w:r>
      <w:r>
        <w:rPr>
          <w:rFonts w:hint="eastAsia" w:ascii="仿宋_GB2312" w:hAnsi="Times New Roman" w:eastAsia="仿宋_GB2312" w:cs="Times New Roman"/>
          <w:sz w:val="24"/>
        </w:rPr>
        <w:t>%</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根据评分标准，得分=</w:t>
      </w:r>
      <w:r>
        <w:rPr>
          <w:rFonts w:hint="eastAsia" w:ascii="仿宋_GB2312" w:hAnsi="Times New Roman" w:eastAsia="仿宋_GB2312" w:cs="Times New Roman"/>
          <w:sz w:val="24"/>
          <w:lang w:val="en-US" w:eastAsia="zh-CN"/>
        </w:rPr>
        <w:t>94.12</w:t>
      </w:r>
      <w:r>
        <w:rPr>
          <w:rFonts w:hint="eastAsia" w:ascii="仿宋_GB2312" w:hAnsi="Times New Roman" w:eastAsia="仿宋_GB2312" w:cs="Times New Roman"/>
          <w:sz w:val="24"/>
        </w:rPr>
        <w:t>%</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4分=3.</w:t>
      </w:r>
      <w:r>
        <w:rPr>
          <w:rFonts w:hint="eastAsia" w:ascii="仿宋_GB2312" w:hAnsi="Times New Roman" w:eastAsia="仿宋_GB2312" w:cs="Times New Roman"/>
          <w:sz w:val="24"/>
          <w:lang w:val="en-US" w:eastAsia="zh-CN"/>
        </w:rPr>
        <w:t>76</w:t>
      </w:r>
      <w:r>
        <w:rPr>
          <w:rFonts w:hint="eastAsia" w:ascii="仿宋_GB2312" w:hAnsi="Times New Roman" w:eastAsia="仿宋_GB2312" w:cs="Times New Roman"/>
          <w:sz w:val="24"/>
        </w:rPr>
        <w:t>分。</w:t>
      </w:r>
      <w:r>
        <w:rPr>
          <w:rFonts w:hint="eastAsia" w:ascii="仿宋_GB2312" w:hAnsi="Times New Roman" w:eastAsia="仿宋_GB2312" w:cs="Times New Roman"/>
          <w:sz w:val="24"/>
          <w:lang w:val="zh-CN"/>
        </w:rPr>
        <w:t>综上所述，该项指标</w:t>
      </w:r>
      <w:r>
        <w:rPr>
          <w:rFonts w:hint="eastAsia" w:ascii="仿宋_GB2312" w:hAnsi="Times New Roman" w:eastAsia="仿宋_GB2312" w:cs="Times New Roman"/>
          <w:sz w:val="24"/>
        </w:rPr>
        <w:t>扣0.</w:t>
      </w:r>
      <w:r>
        <w:rPr>
          <w:rFonts w:hint="eastAsia" w:ascii="仿宋_GB2312" w:hAnsi="Times New Roman" w:eastAsia="仿宋_GB2312" w:cs="Times New Roman"/>
          <w:sz w:val="24"/>
          <w:lang w:val="en-US" w:eastAsia="zh-CN"/>
        </w:rPr>
        <w:t>24</w:t>
      </w:r>
      <w:r>
        <w:rPr>
          <w:rFonts w:hint="eastAsia" w:ascii="仿宋_GB2312" w:hAnsi="Times New Roman" w:eastAsia="仿宋_GB2312" w:cs="Times New Roman"/>
          <w:sz w:val="24"/>
        </w:rPr>
        <w:t>分，</w:t>
      </w:r>
      <w:r>
        <w:rPr>
          <w:rFonts w:hint="eastAsia" w:ascii="仿宋_GB2312" w:hAnsi="Times New Roman" w:eastAsia="仿宋_GB2312" w:cs="Times New Roman"/>
          <w:sz w:val="24"/>
          <w:lang w:val="zh-CN"/>
        </w:rPr>
        <w:t>得</w:t>
      </w:r>
      <w:r>
        <w:rPr>
          <w:rFonts w:hint="eastAsia" w:ascii="仿宋_GB2312" w:hAnsi="Times New Roman" w:eastAsia="仿宋_GB2312" w:cs="Times New Roman"/>
          <w:sz w:val="24"/>
        </w:rPr>
        <w:t>3.</w:t>
      </w:r>
      <w:r>
        <w:rPr>
          <w:rFonts w:hint="eastAsia" w:ascii="仿宋_GB2312" w:hAnsi="Times New Roman" w:eastAsia="仿宋_GB2312" w:cs="Times New Roman"/>
          <w:sz w:val="24"/>
          <w:lang w:val="en-US" w:eastAsia="zh-CN"/>
        </w:rPr>
        <w:t>76</w:t>
      </w:r>
      <w:r>
        <w:rPr>
          <w:rFonts w:hint="eastAsia" w:ascii="仿宋_GB2312" w:hAnsi="Times New Roman" w:eastAsia="仿宋_GB2312" w:cs="Times New Roman"/>
          <w:sz w:val="24"/>
          <w:lang w:val="zh-CN"/>
        </w:rPr>
        <w:t>分。</w:t>
      </w:r>
    </w:p>
    <w:p w14:paraId="6A81A4C9">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（2）就业带动（</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lang w:val="en-US" w:eastAsia="zh-CN"/>
        </w:rPr>
        <w:t>2</w:t>
      </w:r>
      <w:r>
        <w:rPr>
          <w:rFonts w:hint="eastAsia" w:ascii="仿宋_GB2312" w:hAnsi="Times New Roman" w:eastAsia="仿宋_GB2312" w:cs="Times New Roman"/>
          <w:sz w:val="24"/>
          <w:lang w:val="zh-CN"/>
        </w:rPr>
        <w:t>分）</w:t>
      </w:r>
    </w:p>
    <w:p w14:paraId="0A9BABBC">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通过问卷调查考察产业发展类项目能否为当地创造更多的就业岗位，带动周边创业，就业人数增长。</w:t>
      </w:r>
      <w:r>
        <w:rPr>
          <w:rFonts w:hint="eastAsia" w:ascii="仿宋_GB2312" w:hAnsi="Times New Roman" w:eastAsia="仿宋_GB2312" w:cs="Times New Roman"/>
          <w:sz w:val="24"/>
        </w:rPr>
        <w:t>产业发展项目于2024年度完工8个项目，及时竣工验收通过的项目</w:t>
      </w:r>
      <w:r>
        <w:rPr>
          <w:rFonts w:hint="eastAsia" w:ascii="仿宋_GB2312" w:hAnsi="Times New Roman" w:eastAsia="仿宋_GB2312" w:cs="Times New Roman"/>
          <w:color w:val="auto"/>
          <w:sz w:val="24"/>
          <w:highlight w:val="none"/>
          <w:u w:val="none"/>
        </w:rPr>
        <w:t>仅郭坑村光伏发电建设第三期项目和西偏村体育文创园工程（二期）。</w:t>
      </w:r>
      <w:r>
        <w:rPr>
          <w:rFonts w:hint="eastAsia" w:ascii="仿宋_GB2312" w:hAnsi="Times New Roman" w:eastAsia="仿宋_GB2312" w:cs="Times New Roman"/>
          <w:color w:val="auto"/>
          <w:sz w:val="24"/>
          <w:highlight w:val="none"/>
          <w:u w:val="none"/>
          <w:lang w:val="zh-CN"/>
        </w:rPr>
        <w:t>从问卷调查结果看，</w:t>
      </w:r>
      <w:r>
        <w:rPr>
          <w:rFonts w:hint="eastAsia" w:ascii="仿宋_GB2312" w:hAnsi="Times New Roman" w:eastAsia="仿宋_GB2312" w:cs="Times New Roman"/>
          <w:color w:val="auto"/>
          <w:sz w:val="24"/>
          <w:highlight w:val="none"/>
          <w:u w:val="none"/>
        </w:rPr>
        <w:t>西偏村</w:t>
      </w:r>
      <w:r>
        <w:rPr>
          <w:rFonts w:hint="eastAsia" w:ascii="仿宋_GB2312" w:hAnsi="Times New Roman" w:eastAsia="仿宋_GB2312" w:cs="Times New Roman"/>
          <w:color w:val="auto"/>
          <w:sz w:val="24"/>
          <w:highlight w:val="none"/>
          <w:u w:val="none"/>
          <w:lang w:val="zh-CN"/>
        </w:rPr>
        <w:t>反映产业发展类项目</w:t>
      </w:r>
      <w:r>
        <w:rPr>
          <w:rFonts w:hint="eastAsia" w:ascii="仿宋_GB2312" w:hAnsi="Times New Roman" w:eastAsia="仿宋_GB2312" w:cs="Times New Roman"/>
          <w:color w:val="auto"/>
          <w:sz w:val="24"/>
          <w:highlight w:val="none"/>
          <w:u w:val="none"/>
        </w:rPr>
        <w:t>能够</w:t>
      </w:r>
      <w:r>
        <w:rPr>
          <w:rFonts w:hint="eastAsia" w:ascii="仿宋_GB2312" w:hAnsi="Times New Roman" w:eastAsia="仿宋_GB2312" w:cs="Times New Roman"/>
          <w:color w:val="auto"/>
          <w:sz w:val="24"/>
          <w:highlight w:val="none"/>
          <w:u w:val="none"/>
          <w:lang w:val="zh-CN"/>
        </w:rPr>
        <w:t>增加就业创业机会，郭坑村</w:t>
      </w:r>
      <w:r>
        <w:rPr>
          <w:rFonts w:hint="eastAsia" w:ascii="仿宋_GB2312" w:hAnsi="Times New Roman" w:eastAsia="仿宋_GB2312" w:cs="Times New Roman"/>
          <w:color w:val="auto"/>
          <w:sz w:val="24"/>
          <w:highlight w:val="none"/>
          <w:u w:val="none"/>
          <w:lang w:val="en-US" w:eastAsia="zh-CN"/>
        </w:rPr>
        <w:t>该产业发展项目未能带动就业创业</w:t>
      </w:r>
      <w:r>
        <w:rPr>
          <w:rFonts w:hint="eastAsia" w:ascii="仿宋_GB2312" w:hAnsi="Times New Roman" w:eastAsia="仿宋_GB2312" w:cs="Times New Roman"/>
          <w:color w:val="auto"/>
          <w:sz w:val="24"/>
          <w:highlight w:val="none"/>
          <w:u w:val="none"/>
          <w:lang w:val="zh-CN"/>
        </w:rPr>
        <w:t>。据此判断，</w:t>
      </w:r>
      <w:r>
        <w:rPr>
          <w:rFonts w:hint="eastAsia" w:ascii="仿宋_GB2312" w:hAnsi="Times New Roman" w:eastAsia="仿宋_GB2312" w:cs="Times New Roman"/>
          <w:color w:val="auto"/>
          <w:sz w:val="24"/>
          <w:highlight w:val="none"/>
          <w:u w:val="none"/>
          <w:lang w:val="en-US" w:eastAsia="zh-CN"/>
        </w:rPr>
        <w:t>部分</w:t>
      </w:r>
      <w:r>
        <w:rPr>
          <w:rFonts w:hint="eastAsia" w:ascii="仿宋_GB2312" w:hAnsi="Times New Roman" w:eastAsia="仿宋_GB2312" w:cs="Times New Roman"/>
          <w:color w:val="auto"/>
          <w:sz w:val="24"/>
          <w:highlight w:val="none"/>
          <w:u w:val="none"/>
          <w:lang w:val="zh-CN"/>
        </w:rPr>
        <w:t>项目“就业带动”指标</w:t>
      </w:r>
      <w:r>
        <w:rPr>
          <w:rFonts w:hint="eastAsia" w:ascii="仿宋_GB2312" w:hAnsi="Times New Roman" w:eastAsia="仿宋_GB2312" w:cs="Times New Roman"/>
          <w:color w:val="auto"/>
          <w:sz w:val="24"/>
          <w:highlight w:val="none"/>
          <w:u w:val="none"/>
          <w:lang w:val="en-US" w:eastAsia="zh-CN"/>
        </w:rPr>
        <w:t>不能够</w:t>
      </w:r>
      <w:r>
        <w:rPr>
          <w:rFonts w:hint="eastAsia" w:ascii="仿宋_GB2312" w:hAnsi="Times New Roman" w:eastAsia="仿宋_GB2312" w:cs="Times New Roman"/>
          <w:color w:val="auto"/>
          <w:sz w:val="24"/>
          <w:highlight w:val="none"/>
          <w:u w:val="none"/>
          <w:lang w:val="zh-CN"/>
        </w:rPr>
        <w:t>达到“能够创造更多就业岗位、促进周边创业、就业人数增长”的要求。综上所述，该项指标</w:t>
      </w:r>
      <w:r>
        <w:rPr>
          <w:rFonts w:hint="eastAsia" w:ascii="仿宋_GB2312" w:hAnsi="Times New Roman" w:eastAsia="仿宋_GB2312" w:cs="Times New Roman"/>
          <w:color w:val="auto"/>
          <w:sz w:val="24"/>
          <w:highlight w:val="none"/>
          <w:u w:val="none"/>
          <w:lang w:val="en-US" w:eastAsia="zh-CN"/>
        </w:rPr>
        <w:t>扣2分，</w:t>
      </w:r>
      <w:r>
        <w:rPr>
          <w:rFonts w:hint="eastAsia" w:ascii="仿宋_GB2312" w:hAnsi="Times New Roman" w:eastAsia="仿宋_GB2312" w:cs="Times New Roman"/>
          <w:color w:val="auto"/>
          <w:sz w:val="24"/>
          <w:highlight w:val="none"/>
          <w:u w:val="none"/>
          <w:lang w:val="zh-CN"/>
        </w:rPr>
        <w:t>得</w:t>
      </w:r>
      <w:r>
        <w:rPr>
          <w:rFonts w:hint="eastAsia" w:ascii="仿宋_GB2312" w:hAnsi="Times New Roman" w:eastAsia="仿宋_GB2312" w:cs="Times New Roman"/>
          <w:color w:val="auto"/>
          <w:sz w:val="24"/>
          <w:highlight w:val="none"/>
          <w:u w:val="none"/>
          <w:lang w:val="en-US" w:eastAsia="zh-CN"/>
        </w:rPr>
        <w:t>2</w:t>
      </w:r>
      <w:r>
        <w:rPr>
          <w:rFonts w:hint="eastAsia" w:ascii="仿宋_GB2312" w:hAnsi="Times New Roman" w:eastAsia="仿宋_GB2312" w:cs="Times New Roman"/>
          <w:color w:val="auto"/>
          <w:sz w:val="24"/>
          <w:highlight w:val="none"/>
          <w:u w:val="none"/>
          <w:lang w:val="zh-CN"/>
        </w:rPr>
        <w:t>分。</w:t>
      </w:r>
    </w:p>
    <w:p w14:paraId="1117F051">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2.经济效益（</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4分，得分</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5E6AFC8F">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通过</w:t>
      </w:r>
      <w:r>
        <w:rPr>
          <w:rFonts w:hint="eastAsia" w:ascii="仿宋_GB2312" w:hAnsi="Times New Roman" w:eastAsia="仿宋_GB2312" w:cs="Times New Roman"/>
          <w:sz w:val="24"/>
        </w:rPr>
        <w:t>实地调研与</w:t>
      </w:r>
      <w:r>
        <w:rPr>
          <w:rFonts w:hint="eastAsia" w:ascii="仿宋_GB2312" w:hAnsi="Times New Roman" w:eastAsia="仿宋_GB2312" w:cs="Times New Roman"/>
          <w:sz w:val="24"/>
          <w:lang w:val="zh-CN"/>
        </w:rPr>
        <w:t>问卷调查考察产业发展项目</w:t>
      </w:r>
      <w:r>
        <w:rPr>
          <w:rFonts w:hint="eastAsia" w:ascii="仿宋_GB2312" w:hAnsi="Times New Roman" w:eastAsia="仿宋_GB2312" w:cs="Times New Roman"/>
          <w:sz w:val="24"/>
        </w:rPr>
        <w:t>能否为当地创造更多的收益，增加村财收入</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调查发现</w:t>
      </w:r>
      <w:r>
        <w:rPr>
          <w:rFonts w:hint="eastAsia" w:ascii="仿宋_GB2312" w:hAnsi="Times New Roman" w:eastAsia="仿宋_GB2312" w:cs="Times New Roman"/>
          <w:sz w:val="24"/>
          <w:lang w:val="zh-CN"/>
        </w:rPr>
        <w:t>2024年产业发展类项目投产后，西偏村体育文创园</w:t>
      </w:r>
      <w:r>
        <w:rPr>
          <w:rFonts w:hint="eastAsia" w:ascii="仿宋_GB2312" w:hAnsi="Times New Roman" w:eastAsia="仿宋_GB2312" w:cs="Times New Roman"/>
          <w:sz w:val="24"/>
        </w:rPr>
        <w:t>于当年度签订出租合同；邱下村文创服务中心、祥芝镇湖西村美食街也于2025年度签订出租。此外，厝仔村乡村振兴产品展播馆楼层及村委会楼层两侧光伏发电工程于2025年投入使用，光伏板发电除了自用外其余可产生光伏发电收入。</w:t>
      </w:r>
      <w:r>
        <w:rPr>
          <w:rFonts w:hint="eastAsia" w:ascii="仿宋_GB2312" w:hAnsi="Times New Roman" w:eastAsia="仿宋_GB2312" w:cs="Times New Roman"/>
          <w:sz w:val="24"/>
          <w:lang w:val="zh-CN"/>
        </w:rPr>
        <w:t>通过</w:t>
      </w:r>
      <w:r>
        <w:rPr>
          <w:rFonts w:hint="eastAsia" w:ascii="仿宋_GB2312" w:hAnsi="Times New Roman" w:eastAsia="仿宋_GB2312" w:cs="Times New Roman"/>
          <w:sz w:val="24"/>
        </w:rPr>
        <w:t>相关项目建设，增加</w:t>
      </w:r>
      <w:r>
        <w:rPr>
          <w:rFonts w:hint="eastAsia" w:ascii="仿宋_GB2312" w:hAnsi="Times New Roman" w:eastAsia="仿宋_GB2312" w:cs="Times New Roman"/>
          <w:sz w:val="24"/>
          <w:lang w:val="zh-CN"/>
        </w:rPr>
        <w:t>租金、</w:t>
      </w:r>
      <w:r>
        <w:rPr>
          <w:rFonts w:hint="eastAsia" w:ascii="仿宋_GB2312" w:hAnsi="Times New Roman" w:eastAsia="仿宋_GB2312" w:cs="Times New Roman"/>
          <w:sz w:val="24"/>
        </w:rPr>
        <w:t>光伏产业收入</w:t>
      </w:r>
      <w:r>
        <w:rPr>
          <w:rFonts w:hint="eastAsia" w:ascii="仿宋_GB2312" w:hAnsi="Times New Roman" w:eastAsia="仿宋_GB2312" w:cs="Times New Roman"/>
          <w:sz w:val="24"/>
          <w:lang w:val="zh-CN"/>
        </w:rPr>
        <w:t>等渠道已为所在村带来稳定且可量化的集体经营性收入增量，</w:t>
      </w:r>
      <w:r>
        <w:rPr>
          <w:rFonts w:hint="eastAsia" w:ascii="仿宋_GB2312" w:hAnsi="Times New Roman" w:eastAsia="仿宋_GB2312" w:cs="Times New Roman"/>
          <w:sz w:val="24"/>
        </w:rPr>
        <w:t>也</w:t>
      </w:r>
      <w:r>
        <w:rPr>
          <w:rFonts w:hint="eastAsia" w:ascii="仿宋_GB2312" w:hAnsi="Times New Roman" w:eastAsia="仿宋_GB2312" w:cs="Times New Roman"/>
          <w:sz w:val="24"/>
          <w:lang w:val="zh-CN"/>
        </w:rPr>
        <w:t>符合“可增加村财收入”的满分条件。综上所述，该项指标得</w:t>
      </w:r>
      <w:r>
        <w:rPr>
          <w:rFonts w:hint="eastAsia" w:ascii="仿宋_GB2312" w:hAnsi="Times New Roman" w:eastAsia="仿宋_GB2312" w:cs="Times New Roman"/>
          <w:sz w:val="24"/>
        </w:rPr>
        <w:t>4</w:t>
      </w:r>
      <w:r>
        <w:rPr>
          <w:rFonts w:hint="eastAsia" w:ascii="仿宋_GB2312" w:hAnsi="Times New Roman" w:eastAsia="仿宋_GB2312" w:cs="Times New Roman"/>
          <w:sz w:val="24"/>
          <w:lang w:val="zh-CN"/>
        </w:rPr>
        <w:t>分。</w:t>
      </w:r>
    </w:p>
    <w:p w14:paraId="4967EF7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3.可持续影响（</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10分，得分</w:t>
      </w:r>
      <w:r>
        <w:rPr>
          <w:rFonts w:hint="eastAsia" w:ascii="仿宋_GB2312" w:hAnsi="Times New Roman" w:eastAsia="仿宋_GB2312" w:cs="Times New Roman"/>
          <w:sz w:val="24"/>
          <w:lang w:val="en-US" w:eastAsia="zh-CN"/>
        </w:rPr>
        <w:t>6</w:t>
      </w:r>
      <w:r>
        <w:rPr>
          <w:rFonts w:hint="eastAsia" w:ascii="仿宋_GB2312" w:hAnsi="Times New Roman" w:eastAsia="仿宋_GB2312" w:cs="Times New Roman"/>
          <w:sz w:val="24"/>
          <w:lang w:val="zh-CN"/>
        </w:rPr>
        <w:t>分）</w:t>
      </w:r>
    </w:p>
    <w:p w14:paraId="33596E56">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（1）设施设备维护保养实施计划（</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lang w:val="zh-CN"/>
        </w:rPr>
        <w:t>分，得分</w:t>
      </w:r>
      <w:r>
        <w:rPr>
          <w:rFonts w:hint="eastAsia" w:ascii="仿宋_GB2312" w:hAnsi="Times New Roman" w:eastAsia="仿宋_GB2312" w:cs="Times New Roman"/>
          <w:sz w:val="24"/>
          <w:lang w:val="en-US" w:eastAsia="zh-CN"/>
        </w:rPr>
        <w:t>2</w:t>
      </w:r>
      <w:r>
        <w:rPr>
          <w:rFonts w:hint="eastAsia" w:ascii="仿宋_GB2312" w:hAnsi="Times New Roman" w:eastAsia="仿宋_GB2312" w:cs="Times New Roman"/>
          <w:sz w:val="24"/>
          <w:lang w:val="zh-CN"/>
        </w:rPr>
        <w:t>分）</w:t>
      </w:r>
    </w:p>
    <w:p w14:paraId="08EA9A22">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考察工程建后维修管护制度，机构、人员、经费是否已经落实。根据问卷调查</w:t>
      </w:r>
      <w:r>
        <w:rPr>
          <w:rFonts w:hint="eastAsia" w:ascii="仿宋_GB2312" w:hAnsi="Times New Roman" w:eastAsia="仿宋_GB2312" w:cs="Times New Roman"/>
          <w:sz w:val="24"/>
        </w:rPr>
        <w:t>结果分析</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rPr>
        <w:t>部分</w:t>
      </w:r>
      <w:r>
        <w:rPr>
          <w:rFonts w:hint="eastAsia" w:ascii="仿宋_GB2312" w:hAnsi="Times New Roman" w:eastAsia="仿宋_GB2312" w:cs="Times New Roman"/>
          <w:sz w:val="24"/>
          <w:lang w:val="zh-CN"/>
        </w:rPr>
        <w:t>项目</w:t>
      </w:r>
      <w:r>
        <w:rPr>
          <w:rFonts w:hint="eastAsia" w:ascii="仿宋_GB2312" w:hAnsi="Times New Roman" w:eastAsia="仿宋_GB2312" w:cs="Times New Roman"/>
          <w:sz w:val="24"/>
        </w:rPr>
        <w:t>尚未</w:t>
      </w:r>
      <w:r>
        <w:rPr>
          <w:rFonts w:hint="eastAsia" w:ascii="仿宋_GB2312" w:hAnsi="Times New Roman" w:eastAsia="仿宋_GB2312" w:cs="Times New Roman"/>
          <w:sz w:val="24"/>
          <w:lang w:val="zh-CN"/>
        </w:rPr>
        <w:t>建立建后管护</w:t>
      </w:r>
      <w:r>
        <w:rPr>
          <w:rFonts w:hint="eastAsia" w:ascii="仿宋_GB2312" w:hAnsi="Times New Roman" w:eastAsia="仿宋_GB2312" w:cs="Times New Roman"/>
          <w:sz w:val="24"/>
        </w:rPr>
        <w:t>长效</w:t>
      </w:r>
      <w:r>
        <w:rPr>
          <w:rFonts w:hint="eastAsia" w:ascii="仿宋_GB2312" w:hAnsi="Times New Roman" w:eastAsia="仿宋_GB2312" w:cs="Times New Roman"/>
          <w:sz w:val="24"/>
          <w:lang w:val="zh-CN"/>
        </w:rPr>
        <w:t>机制，其余项目建设完成</w:t>
      </w:r>
      <w:r>
        <w:rPr>
          <w:rFonts w:hint="eastAsia" w:ascii="仿宋_GB2312" w:hAnsi="Times New Roman" w:eastAsia="仿宋_GB2312" w:cs="Times New Roman"/>
          <w:sz w:val="24"/>
        </w:rPr>
        <w:t>后均将</w:t>
      </w:r>
      <w:r>
        <w:rPr>
          <w:rFonts w:hint="eastAsia" w:ascii="仿宋_GB2312" w:hAnsi="Times New Roman" w:eastAsia="仿宋_GB2312" w:cs="Times New Roman"/>
          <w:sz w:val="24"/>
          <w:lang w:val="zh-CN"/>
        </w:rPr>
        <w:t>移交村支部一同管理，但并未明确规定、划分</w:t>
      </w:r>
      <w:r>
        <w:rPr>
          <w:rFonts w:hint="eastAsia" w:ascii="仿宋_GB2312" w:hAnsi="Times New Roman" w:eastAsia="仿宋_GB2312" w:cs="Times New Roman"/>
          <w:sz w:val="24"/>
          <w:lang w:val="en-US" w:eastAsia="zh-CN"/>
        </w:rPr>
        <w:t>管护制度和管护责任</w:t>
      </w:r>
      <w:r>
        <w:rPr>
          <w:rFonts w:hint="eastAsia" w:ascii="仿宋_GB2312" w:hAnsi="Times New Roman" w:eastAsia="仿宋_GB2312" w:cs="Times New Roman"/>
          <w:sz w:val="24"/>
          <w:lang w:val="zh-CN"/>
        </w:rPr>
        <w:t>，未能很好的保障乡村振兴建设项目后续管理。综上所述，该项指标</w:t>
      </w:r>
      <w:r>
        <w:rPr>
          <w:rFonts w:hint="eastAsia" w:ascii="仿宋_GB2312" w:hAnsi="Times New Roman" w:eastAsia="仿宋_GB2312" w:cs="Times New Roman"/>
          <w:sz w:val="24"/>
        </w:rPr>
        <w:t>扣1分，</w:t>
      </w:r>
      <w:r>
        <w:rPr>
          <w:rFonts w:hint="eastAsia" w:ascii="仿宋_GB2312" w:hAnsi="Times New Roman" w:eastAsia="仿宋_GB2312" w:cs="Times New Roman"/>
          <w:sz w:val="24"/>
          <w:lang w:val="zh-CN"/>
        </w:rPr>
        <w:t>得</w:t>
      </w:r>
      <w:r>
        <w:rPr>
          <w:rFonts w:hint="eastAsia" w:ascii="仿宋_GB2312" w:hAnsi="Times New Roman" w:eastAsia="仿宋_GB2312" w:cs="Times New Roman"/>
          <w:sz w:val="24"/>
          <w:lang w:val="en-US" w:eastAsia="zh-CN"/>
        </w:rPr>
        <w:t>2</w:t>
      </w:r>
      <w:r>
        <w:rPr>
          <w:rFonts w:hint="eastAsia" w:ascii="仿宋_GB2312" w:hAnsi="Times New Roman" w:eastAsia="仿宋_GB2312" w:cs="Times New Roman"/>
          <w:sz w:val="24"/>
          <w:lang w:val="zh-CN"/>
        </w:rPr>
        <w:t>分。</w:t>
      </w:r>
    </w:p>
    <w:p w14:paraId="2B27C95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（2）示范村/镇创建（</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en-US" w:eastAsia="zh-CN"/>
        </w:rPr>
        <w:t>7</w:t>
      </w:r>
      <w:r>
        <w:rPr>
          <w:rFonts w:hint="eastAsia" w:ascii="仿宋_GB2312" w:hAnsi="Times New Roman" w:eastAsia="仿宋_GB2312" w:cs="Times New Roman"/>
          <w:sz w:val="24"/>
          <w:lang w:val="zh-CN"/>
        </w:rPr>
        <w:t>分，得分</w:t>
      </w:r>
      <w:r>
        <w:rPr>
          <w:rFonts w:hint="eastAsia" w:ascii="仿宋_GB2312" w:hAnsi="Times New Roman" w:eastAsia="仿宋_GB2312" w:cs="Times New Roman"/>
          <w:sz w:val="24"/>
          <w:lang w:val="en-US" w:eastAsia="zh-CN"/>
        </w:rPr>
        <w:t>4</w:t>
      </w:r>
      <w:r>
        <w:rPr>
          <w:rFonts w:hint="eastAsia" w:ascii="仿宋_GB2312" w:hAnsi="Times New Roman" w:eastAsia="仿宋_GB2312" w:cs="Times New Roman"/>
          <w:sz w:val="24"/>
          <w:lang w:val="zh-CN"/>
        </w:rPr>
        <w:t>分）</w:t>
      </w:r>
    </w:p>
    <w:p w14:paraId="3064EBC6">
      <w:pPr>
        <w:spacing w:line="360" w:lineRule="auto"/>
        <w:ind w:firstLine="480" w:firstLineChars="200"/>
        <w:rPr>
          <w:rFonts w:ascii="仿宋_GB2312" w:hAnsi="Times New Roman" w:eastAsia="仿宋_GB2312" w:cs="Times New Roman"/>
          <w:sz w:val="24"/>
        </w:rPr>
      </w:pPr>
      <w:r>
        <w:rPr>
          <w:rFonts w:hint="eastAsia" w:ascii="仿宋_GB2312" w:hAnsi="Times New Roman" w:eastAsia="仿宋_GB2312" w:cs="Times New Roman"/>
          <w:sz w:val="24"/>
          <w:lang w:val="zh-CN"/>
        </w:rPr>
        <w:t>该指标</w:t>
      </w:r>
      <w:r>
        <w:rPr>
          <w:rFonts w:hint="eastAsia" w:ascii="仿宋_GB2312" w:hAnsi="Times New Roman" w:eastAsia="仿宋_GB2312" w:cs="Times New Roman"/>
          <w:sz w:val="24"/>
        </w:rPr>
        <w:t>旨在量化评估示范创建资金对省级乡村振兴示范镇、示范村创建任务的实际成效。2024年，石狮市乡村振兴示范创建对象共有6个村及1个乡镇，通过项目建设，各创建对象乡村产业提质增效、人居环境显著改善、乡村治理持续深化。截至2024年底，其中厝仔村、西偏村成功认定为第一批省级乡村振兴示范村。依据评分标准，该项指标扣</w:t>
      </w:r>
      <w:r>
        <w:rPr>
          <w:rFonts w:hint="eastAsia" w:ascii="仿宋_GB2312" w:hAnsi="Times New Roman" w:eastAsia="仿宋_GB2312" w:cs="Times New Roman"/>
          <w:sz w:val="24"/>
          <w:lang w:val="en-US" w:eastAsia="zh-CN"/>
        </w:rPr>
        <w:t>3</w:t>
      </w:r>
      <w:r>
        <w:rPr>
          <w:rFonts w:hint="eastAsia" w:ascii="仿宋_GB2312" w:hAnsi="Times New Roman" w:eastAsia="仿宋_GB2312" w:cs="Times New Roman"/>
          <w:sz w:val="24"/>
        </w:rPr>
        <w:t>分，得</w:t>
      </w:r>
      <w:r>
        <w:rPr>
          <w:rFonts w:hint="eastAsia" w:ascii="仿宋_GB2312" w:hAnsi="Times New Roman" w:eastAsia="仿宋_GB2312" w:cs="Times New Roman"/>
          <w:sz w:val="24"/>
          <w:lang w:val="en-US" w:eastAsia="zh-CN"/>
        </w:rPr>
        <w:t>4</w:t>
      </w:r>
      <w:r>
        <w:rPr>
          <w:rFonts w:hint="eastAsia" w:ascii="仿宋_GB2312" w:hAnsi="Times New Roman" w:eastAsia="仿宋_GB2312" w:cs="Times New Roman"/>
          <w:sz w:val="24"/>
        </w:rPr>
        <w:t>分。</w:t>
      </w:r>
    </w:p>
    <w:p w14:paraId="2AB5CF7E">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4.满意度（</w:t>
      </w:r>
      <w:r>
        <w:rPr>
          <w:rFonts w:hint="eastAsia" w:ascii="仿宋_GB2312" w:hAnsi="Times New Roman" w:eastAsia="仿宋_GB2312" w:cs="Times New Roman"/>
          <w:sz w:val="24"/>
        </w:rPr>
        <w:t>分值</w:t>
      </w:r>
      <w:r>
        <w:rPr>
          <w:rFonts w:hint="eastAsia" w:ascii="仿宋_GB2312" w:hAnsi="Times New Roman" w:eastAsia="仿宋_GB2312" w:cs="Times New Roman"/>
          <w:sz w:val="24"/>
          <w:lang w:val="zh-CN"/>
        </w:rPr>
        <w:t>10分，得分</w:t>
      </w:r>
      <w:r>
        <w:rPr>
          <w:rFonts w:hint="eastAsia" w:ascii="仿宋_GB2312" w:hAnsi="Times New Roman" w:eastAsia="仿宋_GB2312" w:cs="Times New Roman"/>
          <w:sz w:val="24"/>
        </w:rPr>
        <w:t>9.29</w:t>
      </w:r>
      <w:r>
        <w:rPr>
          <w:rFonts w:hint="eastAsia" w:ascii="仿宋_GB2312" w:hAnsi="Times New Roman" w:eastAsia="仿宋_GB2312" w:cs="Times New Roman"/>
          <w:sz w:val="24"/>
          <w:lang w:val="zh-CN"/>
        </w:rPr>
        <w:t>分）</w:t>
      </w:r>
    </w:p>
    <w:p w14:paraId="1BE5CFF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根据回收的调查问卷，针对群众满意度共有1题，根据“请问您对当地乡村振兴示范创建项目财政资金投入的满意度打几分”分析结果，群众满意度评分</w:t>
      </w:r>
      <w:bookmarkStart w:id="186" w:name="_GoBack"/>
      <w:bookmarkEnd w:id="186"/>
      <w:r>
        <w:rPr>
          <w:rFonts w:hint="eastAsia" w:ascii="仿宋_GB2312" w:hAnsi="Times New Roman" w:eastAsia="仿宋_GB2312" w:cs="Times New Roman"/>
          <w:sz w:val="24"/>
        </w:rPr>
        <w:t>10分，平均分9.29分</w:t>
      </w:r>
      <w:r>
        <w:rPr>
          <w:rFonts w:hint="eastAsia" w:ascii="仿宋_GB2312" w:hAnsi="Times New Roman" w:eastAsia="仿宋_GB2312" w:cs="Times New Roman"/>
          <w:sz w:val="24"/>
          <w:lang w:val="zh-CN"/>
        </w:rPr>
        <w:t>。综合以上，该项指标得</w:t>
      </w:r>
      <w:r>
        <w:rPr>
          <w:rFonts w:hint="eastAsia" w:ascii="仿宋_GB2312" w:hAnsi="Times New Roman" w:eastAsia="仿宋_GB2312" w:cs="Times New Roman"/>
          <w:sz w:val="24"/>
        </w:rPr>
        <w:t>9.29</w:t>
      </w:r>
      <w:r>
        <w:rPr>
          <w:rFonts w:hint="eastAsia" w:ascii="仿宋_GB2312" w:hAnsi="Times New Roman" w:eastAsia="仿宋_GB2312" w:cs="Times New Roman"/>
          <w:sz w:val="24"/>
          <w:lang w:val="zh-CN"/>
        </w:rPr>
        <w:t>分。</w:t>
      </w:r>
    </w:p>
    <w:p w14:paraId="2D62ECB8">
      <w:pPr>
        <w:spacing w:line="360" w:lineRule="auto"/>
        <w:ind w:firstLine="480" w:firstLineChars="200"/>
        <w:rPr>
          <w:rFonts w:hint="eastAsia" w:ascii="仿宋_GB2312" w:hAnsi="Times New Roman" w:eastAsia="仿宋_GB2312" w:cs="Times New Roman"/>
          <w:sz w:val="24"/>
          <w:lang w:val="zh-CN"/>
        </w:rPr>
      </w:pPr>
    </w:p>
    <w:p w14:paraId="5A68239A">
      <w:pPr>
        <w:spacing w:line="360" w:lineRule="auto"/>
        <w:ind w:firstLine="562" w:firstLineChars="200"/>
        <w:outlineLvl w:val="0"/>
        <w:rPr>
          <w:rFonts w:hint="eastAsia" w:ascii="仿宋" w:hAnsi="仿宋" w:eastAsia="仿宋" w:cs="仿宋"/>
          <w:b/>
          <w:bCs/>
          <w:sz w:val="28"/>
          <w:szCs w:val="28"/>
          <w:lang w:val="zh-CN"/>
        </w:rPr>
      </w:pPr>
      <w:bookmarkStart w:id="118" w:name="_Toc205852129"/>
      <w:bookmarkStart w:id="119" w:name="_Toc184981309"/>
      <w:bookmarkStart w:id="120" w:name="_Toc2791"/>
      <w:bookmarkStart w:id="121" w:name="_Toc21059"/>
      <w:bookmarkStart w:id="122" w:name="_Toc31601"/>
      <w:bookmarkStart w:id="123" w:name="_Toc184981071"/>
      <w:bookmarkStart w:id="124" w:name="_Toc24135"/>
      <w:r>
        <w:rPr>
          <w:rFonts w:hint="eastAsia" w:ascii="仿宋" w:hAnsi="仿宋" w:eastAsia="仿宋" w:cs="仿宋"/>
          <w:b/>
          <w:bCs/>
          <w:sz w:val="28"/>
          <w:szCs w:val="28"/>
          <w:lang w:val="zh-CN"/>
        </w:rPr>
        <w:t>五、存在的问题及原因分析</w:t>
      </w:r>
      <w:bookmarkEnd w:id="118"/>
      <w:bookmarkEnd w:id="119"/>
      <w:bookmarkEnd w:id="120"/>
      <w:bookmarkEnd w:id="121"/>
      <w:bookmarkEnd w:id="122"/>
      <w:bookmarkEnd w:id="123"/>
      <w:bookmarkEnd w:id="124"/>
    </w:p>
    <w:p w14:paraId="2D3531F5">
      <w:pPr>
        <w:spacing w:line="360" w:lineRule="auto"/>
        <w:ind w:firstLine="482" w:firstLineChars="200"/>
        <w:outlineLvl w:val="1"/>
        <w:rPr>
          <w:rFonts w:ascii="仿宋_GB2312" w:hAnsi="Times New Roman" w:eastAsia="仿宋_GB2312" w:cs="Times New Roman"/>
          <w:b/>
          <w:bCs/>
          <w:sz w:val="24"/>
        </w:rPr>
      </w:pPr>
      <w:bookmarkStart w:id="125" w:name="_Toc19516"/>
      <w:bookmarkStart w:id="126" w:name="_Toc184981310"/>
      <w:bookmarkStart w:id="127" w:name="_Toc24341"/>
      <w:bookmarkStart w:id="128" w:name="_Toc205852130"/>
      <w:bookmarkStart w:id="129" w:name="_Toc21581"/>
      <w:bookmarkStart w:id="130" w:name="_Toc184981072"/>
      <w:bookmarkStart w:id="131" w:name="_Toc13379"/>
      <w:bookmarkStart w:id="132" w:name="_Toc15227"/>
      <w:r>
        <w:rPr>
          <w:rFonts w:hint="eastAsia" w:ascii="仿宋_GB2312" w:hAnsi="Times New Roman" w:eastAsia="仿宋_GB2312" w:cs="Times New Roman"/>
          <w:b/>
          <w:bCs/>
          <w:sz w:val="24"/>
        </w:rPr>
        <w:t>（一）</w:t>
      </w:r>
      <w:bookmarkEnd w:id="125"/>
      <w:bookmarkEnd w:id="126"/>
      <w:bookmarkEnd w:id="127"/>
      <w:bookmarkEnd w:id="128"/>
      <w:bookmarkEnd w:id="129"/>
      <w:bookmarkEnd w:id="130"/>
      <w:r>
        <w:rPr>
          <w:rFonts w:hint="eastAsia" w:ascii="仿宋_GB2312" w:hAnsi="Times New Roman" w:eastAsia="仿宋_GB2312" w:cs="Times New Roman"/>
          <w:b/>
          <w:bCs/>
          <w:sz w:val="24"/>
        </w:rPr>
        <w:t>绩效目标设置及指标细化不合理</w:t>
      </w:r>
      <w:bookmarkEnd w:id="131"/>
      <w:bookmarkEnd w:id="132"/>
    </w:p>
    <w:p w14:paraId="2690E668">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en-US" w:eastAsia="zh-CN"/>
        </w:rPr>
        <w:t>如表2所示，存在用于同样任务的专项资金绩效目标设定不一致问题，</w:t>
      </w:r>
      <w:r>
        <w:rPr>
          <w:rFonts w:hint="eastAsia" w:ascii="仿宋_GB2312" w:hAnsi="Times New Roman" w:eastAsia="仿宋_GB2312" w:cs="Times New Roman"/>
          <w:sz w:val="24"/>
          <w:lang w:val="zh-CN"/>
        </w:rPr>
        <w:t>总体绩效目标和年度具体工作任务之间尚未形成足够紧密的关联。部分绩效指标的设定也存在偏差，产出成本指标未能有效反映项目成本控制效果。此外，项目产出绩效目标设置不够细化，不能从多角度反映专项资金运用的绩效。例如：未根据项目类型具体细分产业发展、基础设施、公共服务类项目的产出数量、质量等具体指标。</w:t>
      </w:r>
    </w:p>
    <w:p w14:paraId="1FE3EDBD">
      <w:pPr>
        <w:spacing w:line="360" w:lineRule="auto"/>
        <w:ind w:firstLine="482" w:firstLineChars="200"/>
        <w:outlineLvl w:val="1"/>
        <w:rPr>
          <w:rFonts w:hint="eastAsia" w:ascii="仿宋_GB2312" w:hAnsi="Times New Roman" w:eastAsia="仿宋_GB2312" w:cs="Times New Roman"/>
          <w:b/>
          <w:bCs/>
          <w:sz w:val="24"/>
        </w:rPr>
      </w:pPr>
      <w:bookmarkStart w:id="133" w:name="_Toc22111"/>
      <w:bookmarkStart w:id="134" w:name="_Toc6564"/>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二）</w:t>
      </w:r>
      <w:r>
        <w:rPr>
          <w:rFonts w:hint="eastAsia" w:ascii="仿宋_GB2312" w:hAnsi="Times New Roman" w:eastAsia="仿宋_GB2312" w:cs="Times New Roman"/>
          <w:b/>
          <w:bCs/>
          <w:sz w:val="24"/>
        </w:rPr>
        <w:t>项目实际执行情况偏离计划，出现超计划投资及建设范围调整情况</w:t>
      </w:r>
      <w:bookmarkEnd w:id="133"/>
      <w:bookmarkEnd w:id="134"/>
    </w:p>
    <w:p w14:paraId="29FA7CB6">
      <w:pPr>
        <w:spacing w:line="360" w:lineRule="auto"/>
        <w:ind w:firstLine="480" w:firstLineChars="200"/>
        <w:rPr>
          <w:rFonts w:hint="eastAsia" w:ascii="仿宋_GB2312" w:hAnsi="Times New Roman" w:eastAsia="仿宋_GB2312" w:cs="Times New Roman"/>
          <w:sz w:val="24"/>
        </w:rPr>
      </w:pPr>
      <w:r>
        <w:rPr>
          <w:rFonts w:hint="eastAsia" w:ascii="仿宋_GB2312" w:hAnsi="Times New Roman" w:eastAsia="仿宋_GB2312" w:cs="Times New Roman"/>
          <w:sz w:val="24"/>
        </w:rPr>
        <w:t>根据表3，可以发现部分已完工项目在结算时出现实际完成投资额超出计划投资额的情况，如郭坑村入村大道修建工程、西偏村</w:t>
      </w:r>
      <w:r>
        <w:rPr>
          <w:rFonts w:hint="eastAsia" w:ascii="仿宋_GB2312" w:hAnsi="Times New Roman" w:eastAsia="仿宋_GB2312" w:cs="Times New Roman"/>
          <w:sz w:val="24"/>
          <w:lang w:val="en-US" w:eastAsia="zh-CN"/>
        </w:rPr>
        <w:t>的</w:t>
      </w:r>
      <w:r>
        <w:rPr>
          <w:rFonts w:hint="eastAsia" w:ascii="仿宋_GB2312" w:hAnsi="Times New Roman" w:eastAsia="仿宋_GB2312" w:cs="Times New Roman"/>
          <w:sz w:val="24"/>
        </w:rPr>
        <w:t>体育文创园工程（二期）及万里碧道建设项目，其中西偏村的两个项目因实施过程中对</w:t>
      </w:r>
      <w:r>
        <w:rPr>
          <w:rFonts w:hint="eastAsia" w:ascii="仿宋_GB2312" w:hAnsi="Times New Roman" w:eastAsia="仿宋_GB2312" w:cs="Times New Roman"/>
          <w:sz w:val="24"/>
          <w:lang w:val="en-US" w:eastAsia="zh-CN"/>
        </w:rPr>
        <w:t>均对</w:t>
      </w:r>
      <w:r>
        <w:rPr>
          <w:rFonts w:hint="eastAsia" w:ascii="仿宋_GB2312" w:hAnsi="Times New Roman" w:eastAsia="仿宋_GB2312" w:cs="Times New Roman"/>
          <w:sz w:val="24"/>
        </w:rPr>
        <w:t>部分施工内容进行调整</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导致投资增加</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同时，部分项目在推进中因实际需求签订补充协议调整了建设范围，像西偏村万里碧道项目将不适合种植草坪的地块改为石头小道、补充电线埋管及新增健身器材</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邱下村文创服务中心项目增补地梁防护、楼（地）面砂浆防水、楼梯滑动支座填缝、外墙扣件式钢管脚手架等建设内容</w:t>
      </w:r>
      <w:r>
        <w:rPr>
          <w:rFonts w:hint="eastAsia" w:ascii="仿宋_GB2312" w:hAnsi="Times New Roman" w:eastAsia="仿宋_GB2312" w:cs="Times New Roman"/>
          <w:sz w:val="24"/>
          <w:lang w:eastAsia="zh-CN"/>
        </w:rPr>
        <w:t>。</w:t>
      </w:r>
      <w:r>
        <w:rPr>
          <w:rFonts w:hint="eastAsia" w:ascii="仿宋_GB2312" w:hAnsi="Times New Roman" w:eastAsia="仿宋_GB2312" w:cs="Times New Roman"/>
          <w:sz w:val="24"/>
        </w:rPr>
        <w:t>这些调整多基于现场勘查和实际需求，却也带来了项目执行与初始计划的偏差。</w:t>
      </w:r>
    </w:p>
    <w:p w14:paraId="52AEFC47">
      <w:pPr>
        <w:spacing w:line="360" w:lineRule="auto"/>
        <w:ind w:firstLine="482" w:firstLineChars="200"/>
        <w:outlineLvl w:val="1"/>
        <w:rPr>
          <w:rFonts w:hint="eastAsia" w:ascii="仿宋_GB2312" w:hAnsi="Times New Roman" w:eastAsia="仿宋_GB2312" w:cs="Times New Roman"/>
          <w:b/>
          <w:bCs/>
          <w:sz w:val="24"/>
          <w:lang w:val="en-US" w:eastAsia="zh-CN"/>
        </w:rPr>
      </w:pPr>
      <w:bookmarkStart w:id="135" w:name="_Toc18445"/>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三）</w:t>
      </w:r>
      <w:r>
        <w:rPr>
          <w:rFonts w:hint="eastAsia" w:ascii="仿宋_GB2312" w:hAnsi="Times New Roman" w:eastAsia="仿宋_GB2312" w:cs="Times New Roman"/>
          <w:b/>
          <w:bCs/>
          <w:sz w:val="24"/>
        </w:rPr>
        <w:t>前期调研工作不充分</w:t>
      </w:r>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部分项目停止推进</w:t>
      </w:r>
      <w:bookmarkEnd w:id="135"/>
    </w:p>
    <w:p w14:paraId="1E111D0A">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在省级乡村振兴示范创建项目的绩效评价过程中，</w:t>
      </w:r>
      <w:r>
        <w:rPr>
          <w:rFonts w:hint="eastAsia" w:ascii="仿宋_GB2312" w:hAnsi="Times New Roman" w:eastAsia="仿宋_GB2312" w:cs="Times New Roman"/>
          <w:sz w:val="24"/>
          <w:lang w:val="en-US" w:eastAsia="zh-CN"/>
        </w:rPr>
        <w:t>工作组在</w:t>
      </w:r>
      <w:r>
        <w:rPr>
          <w:rFonts w:hint="eastAsia" w:ascii="仿宋_GB2312" w:hAnsi="Times New Roman" w:eastAsia="仿宋_GB2312" w:cs="Times New Roman"/>
          <w:sz w:val="24"/>
          <w:lang w:val="zh-CN"/>
        </w:rPr>
        <w:t>实地调研</w:t>
      </w:r>
      <w:r>
        <w:rPr>
          <w:rFonts w:hint="eastAsia" w:ascii="仿宋_GB2312" w:hAnsi="Times New Roman" w:eastAsia="仿宋_GB2312" w:cs="Times New Roman"/>
          <w:sz w:val="24"/>
          <w:lang w:val="en-US" w:eastAsia="zh-CN"/>
        </w:rPr>
        <w:t>中</w:t>
      </w:r>
      <w:r>
        <w:rPr>
          <w:rFonts w:hint="eastAsia" w:ascii="仿宋_GB2312" w:hAnsi="Times New Roman" w:eastAsia="仿宋_GB2312" w:cs="Times New Roman"/>
          <w:sz w:val="24"/>
          <w:lang w:val="zh-CN"/>
        </w:rPr>
        <w:t>发现有两个项目取消推进，其中</w:t>
      </w:r>
      <w:r>
        <w:rPr>
          <w:rFonts w:hint="eastAsia" w:ascii="仿宋_GB2312" w:hAnsi="Times New Roman" w:eastAsia="仿宋_GB2312" w:cs="Times New Roman"/>
          <w:sz w:val="24"/>
        </w:rPr>
        <w:t>包括邱下村人居环境改造提升项目以及东店村公租房建设（一期）。邱下村人居环境改造提升项目因涉及当地村民房屋拆建问题导致停滞；东店村公租房建设（一期）</w:t>
      </w:r>
      <w:r>
        <w:rPr>
          <w:rFonts w:hint="eastAsia" w:ascii="仿宋_GB2312" w:hAnsi="Times New Roman" w:eastAsia="仿宋_GB2312" w:cs="Times New Roman"/>
          <w:sz w:val="24"/>
          <w:lang w:val="zh-CN"/>
        </w:rPr>
        <w:t>因用地规划问题难以开展。这些情况均反映出项目在前期调研阶段未能全面、细致地掌握相关信息，进而影响了申报论证的严谨性，导致项目停止推进。</w:t>
      </w:r>
    </w:p>
    <w:p w14:paraId="1193DC08">
      <w:pPr>
        <w:spacing w:line="360" w:lineRule="auto"/>
        <w:ind w:firstLine="482" w:firstLineChars="200"/>
        <w:outlineLvl w:val="1"/>
        <w:rPr>
          <w:rFonts w:hint="eastAsia" w:ascii="仿宋_GB2312" w:hAnsi="Times New Roman" w:eastAsia="仿宋_GB2312" w:cs="Times New Roman"/>
          <w:b/>
          <w:bCs/>
          <w:sz w:val="24"/>
          <w:lang w:val="zh-CN"/>
        </w:rPr>
      </w:pPr>
      <w:bookmarkStart w:id="136" w:name="_Toc9117"/>
      <w:r>
        <w:rPr>
          <w:rFonts w:hint="eastAsia" w:ascii="仿宋_GB2312" w:hAnsi="Times New Roman" w:eastAsia="仿宋_GB2312" w:cs="Times New Roman"/>
          <w:b/>
          <w:bCs/>
          <w:sz w:val="24"/>
          <w:lang w:eastAsia="zh-CN"/>
        </w:rPr>
        <w:t>（</w:t>
      </w:r>
      <w:r>
        <w:rPr>
          <w:rFonts w:hint="eastAsia" w:ascii="仿宋_GB2312" w:hAnsi="Times New Roman" w:eastAsia="仿宋_GB2312" w:cs="Times New Roman"/>
          <w:b/>
          <w:bCs/>
          <w:sz w:val="24"/>
          <w:lang w:val="en-US" w:eastAsia="zh-CN"/>
        </w:rPr>
        <w:t>四）</w:t>
      </w:r>
      <w:r>
        <w:rPr>
          <w:rFonts w:hint="eastAsia" w:ascii="仿宋_GB2312" w:hAnsi="Times New Roman" w:eastAsia="仿宋_GB2312" w:cs="Times New Roman"/>
          <w:b/>
          <w:bCs/>
          <w:sz w:val="24"/>
          <w:lang w:val="zh-CN"/>
        </w:rPr>
        <w:t>资料填报缺失关键日期及盖章，项目管理规范性不足</w:t>
      </w:r>
      <w:bookmarkEnd w:id="136"/>
    </w:p>
    <w:p w14:paraId="706CD8C0">
      <w:p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en-US" w:eastAsia="zh-CN"/>
        </w:rPr>
        <w:t>工作</w:t>
      </w:r>
      <w:r>
        <w:rPr>
          <w:rFonts w:hint="eastAsia" w:ascii="仿宋_GB2312" w:hAnsi="Times New Roman" w:eastAsia="仿宋_GB2312" w:cs="Times New Roman"/>
          <w:sz w:val="24"/>
          <w:lang w:val="zh-CN"/>
        </w:rPr>
        <w:t>组抽阅了部分项目的合同文件、工程款支付申请表、验收报告等资料，发现个别项目存在招标代理合同或工程备案表缺少日期，工程款支付申请表缺失建设单位的公章。招标代理合同缺少日期会导致合同生效时间、履行期限等关键节点不明确，一旦发生合同纠纷，难以界定双方权利义务的时间范围，可能引发法律争议；工程备案表缺少日期则会影响备案信息的时效性和严肃性，不利于追溯项目流程节点，也可能导致项目合规性审核出现漏洞。工程款支付申请表缺失建设单位公章，会使支付申请的审批程序存在瑕疵，可能导致支付依据不充分，增加资金支付的随意性和风险，还可能在后续审计、核查中被认定为支付程序不合规，引发资金使用合规性争议，甚至可能因责任界定不清，在出现支付纠纷时难以明确各方责任。</w:t>
      </w:r>
    </w:p>
    <w:p w14:paraId="35149527">
      <w:pPr>
        <w:spacing w:line="360" w:lineRule="auto"/>
        <w:ind w:firstLine="480" w:firstLineChars="200"/>
        <w:rPr>
          <w:rFonts w:hint="eastAsia" w:ascii="仿宋_GB2312" w:hAnsi="Times New Roman" w:eastAsia="仿宋_GB2312" w:cs="Times New Roman"/>
          <w:sz w:val="24"/>
          <w:lang w:val="zh-CN"/>
        </w:rPr>
      </w:pPr>
    </w:p>
    <w:p w14:paraId="1AC42049">
      <w:pPr>
        <w:spacing w:line="360" w:lineRule="auto"/>
        <w:ind w:firstLine="562" w:firstLineChars="200"/>
        <w:outlineLvl w:val="0"/>
        <w:rPr>
          <w:rFonts w:hint="eastAsia" w:ascii="仿宋" w:hAnsi="仿宋" w:eastAsia="仿宋" w:cs="仿宋"/>
          <w:b/>
          <w:bCs/>
          <w:sz w:val="28"/>
          <w:szCs w:val="28"/>
          <w:lang w:val="zh-CN"/>
        </w:rPr>
      </w:pPr>
      <w:bookmarkStart w:id="137" w:name="_Toc24504"/>
      <w:bookmarkStart w:id="138" w:name="_Toc205852132"/>
      <w:bookmarkStart w:id="139" w:name="_Toc184981312"/>
      <w:bookmarkStart w:id="140" w:name="_Toc28626"/>
      <w:bookmarkStart w:id="141" w:name="_Toc184981074"/>
      <w:bookmarkStart w:id="142" w:name="_Toc22587"/>
      <w:bookmarkStart w:id="143" w:name="_Toc21762"/>
      <w:r>
        <w:rPr>
          <w:rFonts w:hint="eastAsia" w:ascii="仿宋" w:hAnsi="仿宋" w:eastAsia="仿宋" w:cs="仿宋"/>
          <w:b/>
          <w:bCs/>
          <w:sz w:val="28"/>
          <w:szCs w:val="28"/>
          <w:lang w:val="zh-CN"/>
        </w:rPr>
        <w:t>六、有关建议</w:t>
      </w:r>
      <w:bookmarkEnd w:id="137"/>
      <w:bookmarkEnd w:id="138"/>
      <w:bookmarkEnd w:id="139"/>
      <w:bookmarkEnd w:id="140"/>
      <w:bookmarkEnd w:id="141"/>
      <w:bookmarkEnd w:id="142"/>
      <w:bookmarkEnd w:id="143"/>
    </w:p>
    <w:p w14:paraId="71173E99">
      <w:pPr>
        <w:spacing w:line="360" w:lineRule="auto"/>
        <w:ind w:firstLine="482" w:firstLineChars="200"/>
        <w:outlineLvl w:val="1"/>
        <w:rPr>
          <w:rFonts w:ascii="仿宋_GB2312" w:hAnsi="Times New Roman" w:eastAsia="仿宋_GB2312" w:cs="Times New Roman"/>
          <w:b/>
          <w:bCs/>
          <w:sz w:val="24"/>
        </w:rPr>
      </w:pPr>
      <w:bookmarkStart w:id="144" w:name="_Toc184981075"/>
      <w:bookmarkStart w:id="145" w:name="_Toc184981313"/>
      <w:bookmarkStart w:id="146" w:name="_Toc19117"/>
      <w:bookmarkStart w:id="147" w:name="_Toc2595"/>
      <w:bookmarkStart w:id="148" w:name="_Toc4093"/>
      <w:bookmarkStart w:id="149" w:name="_Toc205852133"/>
      <w:bookmarkStart w:id="150" w:name="_Toc12645"/>
      <w:r>
        <w:rPr>
          <w:rFonts w:hint="eastAsia" w:ascii="仿宋_GB2312" w:hAnsi="Times New Roman" w:eastAsia="仿宋_GB2312" w:cs="Times New Roman"/>
          <w:b/>
          <w:bCs/>
          <w:sz w:val="24"/>
        </w:rPr>
        <w:t>（一）加强绩效目标与指标设定</w:t>
      </w:r>
      <w:bookmarkEnd w:id="144"/>
      <w:bookmarkEnd w:id="145"/>
      <w:bookmarkEnd w:id="146"/>
      <w:r>
        <w:rPr>
          <w:rFonts w:hint="eastAsia" w:ascii="仿宋_GB2312" w:hAnsi="Times New Roman" w:eastAsia="仿宋_GB2312" w:cs="Times New Roman"/>
          <w:b/>
          <w:bCs/>
          <w:sz w:val="24"/>
        </w:rPr>
        <w:t>，以应对绩效目标与指标不合理</w:t>
      </w:r>
      <w:bookmarkEnd w:id="147"/>
      <w:bookmarkEnd w:id="148"/>
      <w:bookmarkEnd w:id="149"/>
      <w:bookmarkEnd w:id="150"/>
    </w:p>
    <w:p w14:paraId="23C9689F">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应进一步促进树立“花钱必问效，无效必问责”意识，切实落实绩效管理主体责任，将绩效管理作为推进专项资金使用的有效抓手，进一步明确各自岗位责任。首先，强化总体绩效目标与年度具体工作任务的衔接机制。将总体绩效目标按年度拆解为可执行的具体工作任务，明确每项任务与总体目标的对应关系。其次，根据年度实际全面考量项目的预期产出效益与效果后进行绩效目标的设定，再根据绩效目标细化设置绩效指标，预算绩效目标编制要突出具体项目的每个环节的个性化指标，能体现项目资金使用的主要产出数量与质量，能切实衡量项目资金使用产生的效益。</w:t>
      </w:r>
    </w:p>
    <w:p w14:paraId="00BF6B1D">
      <w:pPr>
        <w:spacing w:line="360" w:lineRule="auto"/>
        <w:ind w:firstLine="482" w:firstLineChars="200"/>
        <w:outlineLvl w:val="1"/>
        <w:rPr>
          <w:rFonts w:ascii="仿宋_GB2312" w:hAnsi="Times New Roman" w:eastAsia="仿宋_GB2312" w:cs="Times New Roman"/>
          <w:b/>
          <w:bCs/>
          <w:sz w:val="24"/>
          <w:highlight w:val="none"/>
        </w:rPr>
      </w:pPr>
      <w:bookmarkStart w:id="151" w:name="_Toc18295"/>
      <w:bookmarkStart w:id="152" w:name="_Toc205852134"/>
      <w:bookmarkStart w:id="153" w:name="_Toc30674"/>
      <w:bookmarkStart w:id="154" w:name="_Toc6664"/>
      <w:r>
        <w:rPr>
          <w:rFonts w:hint="eastAsia" w:ascii="仿宋_GB2312" w:hAnsi="Times New Roman" w:eastAsia="仿宋_GB2312" w:cs="Times New Roman"/>
          <w:b/>
          <w:bCs/>
          <w:sz w:val="24"/>
        </w:rPr>
        <w:t>（二）</w:t>
      </w:r>
      <w:r>
        <w:rPr>
          <w:rFonts w:hint="eastAsia" w:ascii="仿宋_GB2312" w:hAnsi="Times New Roman" w:eastAsia="仿宋_GB2312" w:cs="Times New Roman"/>
          <w:b/>
          <w:bCs/>
          <w:sz w:val="24"/>
          <w:highlight w:val="none"/>
        </w:rPr>
        <w:t>精准规划、规范调整并强化管控，</w:t>
      </w:r>
      <w:r>
        <w:rPr>
          <w:rFonts w:hint="eastAsia" w:ascii="仿宋_GB2312" w:hAnsi="Times New Roman" w:eastAsia="仿宋_GB2312" w:cs="Times New Roman"/>
          <w:b/>
          <w:bCs/>
          <w:sz w:val="24"/>
          <w:highlight w:val="none"/>
          <w:lang w:val="en-US" w:eastAsia="zh-CN"/>
        </w:rPr>
        <w:t>以应对</w:t>
      </w:r>
      <w:r>
        <w:rPr>
          <w:rFonts w:hint="eastAsia" w:ascii="仿宋_GB2312" w:hAnsi="Times New Roman" w:eastAsia="仿宋_GB2312" w:cs="Times New Roman"/>
          <w:b/>
          <w:bCs/>
          <w:sz w:val="24"/>
          <w:highlight w:val="none"/>
        </w:rPr>
        <w:t>项目执行偏差</w:t>
      </w:r>
      <w:bookmarkEnd w:id="151"/>
      <w:bookmarkEnd w:id="152"/>
      <w:bookmarkEnd w:id="153"/>
      <w:bookmarkEnd w:id="154"/>
    </w:p>
    <w:p w14:paraId="5455243D">
      <w:pPr>
        <w:pStyle w:val="7"/>
        <w:numPr>
          <w:ilvl w:val="0"/>
          <w:numId w:val="0"/>
        </w:numPr>
        <w:spacing w:line="360" w:lineRule="auto"/>
        <w:ind w:firstLine="480" w:firstLineChars="200"/>
        <w:rPr>
          <w:rFonts w:ascii="仿宋_GB2312" w:hAnsi="Times New Roman" w:eastAsia="仿宋_GB2312" w:cs="Times New Roman"/>
          <w:sz w:val="24"/>
          <w:highlight w:val="none"/>
          <w:lang w:val="zh-CN"/>
        </w:rPr>
      </w:pPr>
      <w:r>
        <w:rPr>
          <w:rFonts w:hint="eastAsia" w:ascii="仿宋_GB2312" w:hAnsi="Times New Roman" w:eastAsia="仿宋_GB2312" w:cs="Times New Roman"/>
          <w:sz w:val="24"/>
          <w:highlight w:val="none"/>
          <w:lang w:val="en-US" w:eastAsia="zh-CN"/>
        </w:rPr>
        <w:t>首先，</w:t>
      </w:r>
      <w:r>
        <w:rPr>
          <w:rFonts w:hint="eastAsia" w:ascii="仿宋_GB2312" w:hAnsi="Times New Roman" w:eastAsia="仿宋_GB2312" w:cs="Times New Roman"/>
          <w:sz w:val="24"/>
          <w:highlight w:val="none"/>
          <w:lang w:val="zh-CN"/>
        </w:rPr>
        <w:t>应强化前期调研与规划的精准性，在项目启动前组织专业团队开展全面勘察，结合现场实际条件细化设计方案，将电线埋管、地梁防护等易遗漏的配套内容纳入初始规划，同时充分预估施工中可能出现的地块适配性等问题，避免后期频繁调整。</w:t>
      </w:r>
      <w:r>
        <w:rPr>
          <w:rFonts w:hint="eastAsia" w:ascii="仿宋_GB2312" w:hAnsi="Times New Roman" w:eastAsia="仿宋_GB2312" w:cs="Times New Roman"/>
          <w:sz w:val="24"/>
          <w:highlight w:val="none"/>
          <w:lang w:val="en-US" w:eastAsia="zh-CN"/>
        </w:rPr>
        <w:t>其次应</w:t>
      </w:r>
      <w:r>
        <w:rPr>
          <w:rFonts w:hint="eastAsia" w:ascii="仿宋_GB2312" w:hAnsi="Times New Roman" w:eastAsia="仿宋_GB2312" w:cs="Times New Roman"/>
          <w:sz w:val="24"/>
          <w:highlight w:val="none"/>
          <w:lang w:val="zh-CN"/>
        </w:rPr>
        <w:t>建立严格的项目调整审批机制，对确需变更的施工内容或建设范围，要求先进行必要性与可行性论证，评估调整对投资额、工期的影响，经规范审批后签订补充协议，明确调整细节及费用结算方式。</w:t>
      </w:r>
      <w:r>
        <w:rPr>
          <w:rFonts w:hint="eastAsia" w:ascii="仿宋_GB2312" w:hAnsi="Times New Roman" w:eastAsia="仿宋_GB2312" w:cs="Times New Roman"/>
          <w:sz w:val="24"/>
          <w:highlight w:val="none"/>
          <w:lang w:val="en-US" w:eastAsia="zh-CN"/>
        </w:rPr>
        <w:t>同时需</w:t>
      </w:r>
      <w:r>
        <w:rPr>
          <w:rFonts w:hint="eastAsia" w:ascii="仿宋_GB2312" w:hAnsi="Times New Roman" w:eastAsia="仿宋_GB2312" w:cs="Times New Roman"/>
          <w:sz w:val="24"/>
          <w:highlight w:val="none"/>
          <w:lang w:val="zh-CN"/>
        </w:rPr>
        <w:t>加强过程管控与动态跟踪，定期对比项目实际进展与计划，实时监控投资使用情况，对调整内容的执行过程进行专项监督，确保项目偏差可控，提升资金使用效益与项目管理规范性。</w:t>
      </w:r>
    </w:p>
    <w:p w14:paraId="63CABA2B">
      <w:pPr>
        <w:spacing w:line="360" w:lineRule="auto"/>
        <w:ind w:firstLine="482" w:firstLineChars="200"/>
        <w:outlineLvl w:val="1"/>
        <w:rPr>
          <w:rFonts w:hint="eastAsia" w:ascii="仿宋_GB2312" w:hAnsi="Times New Roman" w:eastAsia="仿宋_GB2312" w:cs="Times New Roman"/>
          <w:b/>
          <w:bCs/>
          <w:sz w:val="24"/>
        </w:rPr>
      </w:pPr>
      <w:bookmarkStart w:id="155" w:name="_Toc26368"/>
      <w:bookmarkStart w:id="156" w:name="_Toc205852136"/>
      <w:bookmarkStart w:id="157" w:name="_Toc17016"/>
      <w:bookmarkStart w:id="158" w:name="_Toc14377"/>
      <w:r>
        <w:rPr>
          <w:rFonts w:hint="eastAsia" w:ascii="仿宋_GB2312" w:hAnsi="Times New Roman" w:eastAsia="仿宋_GB2312" w:cs="Times New Roman"/>
          <w:b/>
          <w:bCs/>
          <w:sz w:val="24"/>
        </w:rPr>
        <w:t>（</w:t>
      </w:r>
      <w:r>
        <w:rPr>
          <w:rFonts w:hint="eastAsia" w:ascii="仿宋_GB2312" w:hAnsi="Times New Roman" w:eastAsia="仿宋_GB2312" w:cs="Times New Roman"/>
          <w:b/>
          <w:bCs/>
          <w:sz w:val="24"/>
          <w:lang w:val="en-US" w:eastAsia="zh-CN"/>
        </w:rPr>
        <w:t>三</w:t>
      </w:r>
      <w:r>
        <w:rPr>
          <w:rFonts w:hint="eastAsia" w:ascii="仿宋_GB2312" w:hAnsi="Times New Roman" w:eastAsia="仿宋_GB2312" w:cs="Times New Roman"/>
          <w:b/>
          <w:bCs/>
          <w:sz w:val="24"/>
        </w:rPr>
        <w:t>）深化前期调研，以避免项目停滞</w:t>
      </w:r>
      <w:bookmarkEnd w:id="155"/>
      <w:bookmarkEnd w:id="156"/>
      <w:bookmarkEnd w:id="157"/>
      <w:bookmarkEnd w:id="158"/>
    </w:p>
    <w:p w14:paraId="26A4CCA2">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en-US" w:eastAsia="zh-CN"/>
        </w:rPr>
        <w:t>农业农村局</w:t>
      </w:r>
      <w:r>
        <w:rPr>
          <w:rFonts w:hint="eastAsia" w:ascii="仿宋_GB2312" w:hAnsi="Times New Roman" w:eastAsia="仿宋_GB2312" w:cs="Times New Roman"/>
          <w:sz w:val="24"/>
          <w:lang w:val="zh-CN"/>
        </w:rPr>
        <w:t>应</w:t>
      </w:r>
      <w:r>
        <w:rPr>
          <w:rFonts w:hint="eastAsia" w:ascii="仿宋_GB2312" w:hAnsi="Times New Roman" w:eastAsia="仿宋_GB2312" w:cs="Times New Roman"/>
          <w:sz w:val="24"/>
          <w:lang w:val="en-US" w:eastAsia="zh-CN"/>
        </w:rPr>
        <w:t>要求创建对象</w:t>
      </w:r>
      <w:r>
        <w:rPr>
          <w:rFonts w:hint="eastAsia" w:ascii="仿宋_GB2312" w:hAnsi="Times New Roman" w:eastAsia="仿宋_GB2312" w:cs="Times New Roman"/>
          <w:sz w:val="24"/>
          <w:lang w:val="zh-CN"/>
        </w:rPr>
        <w:t>深化项目前期调研工作，建立完善的前期调研机制，组织专业团队对项目涉及的土地规划、村民意愿、环境影响等方面进行全面深入的调研，</w:t>
      </w:r>
      <w:r>
        <w:rPr>
          <w:rFonts w:hint="eastAsia" w:ascii="仿宋_GB2312" w:hAnsi="Times New Roman" w:eastAsia="仿宋_GB2312" w:cs="Times New Roman"/>
          <w:sz w:val="24"/>
          <w:lang w:val="en-US" w:eastAsia="zh-CN"/>
        </w:rPr>
        <w:t>并提交完整的项目可行性方案进行立项申请</w:t>
      </w:r>
      <w:r>
        <w:rPr>
          <w:rFonts w:hint="eastAsia" w:ascii="仿宋_GB2312" w:hAnsi="Times New Roman" w:eastAsia="仿宋_GB2312" w:cs="Times New Roman"/>
          <w:sz w:val="24"/>
          <w:lang w:val="zh-CN"/>
        </w:rPr>
        <w:t>。</w:t>
      </w:r>
      <w:r>
        <w:rPr>
          <w:rFonts w:hint="eastAsia" w:ascii="仿宋_GB2312" w:hAnsi="Times New Roman" w:eastAsia="仿宋_GB2312" w:cs="Times New Roman"/>
          <w:sz w:val="24"/>
          <w:lang w:val="en-US" w:eastAsia="zh-CN"/>
        </w:rPr>
        <w:t>包括</w:t>
      </w:r>
      <w:r>
        <w:rPr>
          <w:rFonts w:hint="eastAsia" w:ascii="仿宋_GB2312" w:hAnsi="Times New Roman" w:eastAsia="仿宋_GB2312" w:cs="Times New Roman"/>
          <w:sz w:val="24"/>
          <w:lang w:val="zh-CN"/>
        </w:rPr>
        <w:t>涉及村民房屋拆建的项目，需与村民充分沟通以了解诉求和意见，制定合理的补偿和安置方案确保获得村民支持；涉及用地规划的项目，要提前与国土资源等相关部门沟通协调以明确用地性质和规划要求，确保无其他用地规划。同时加强项目申报论证的严谨性，建立严格的申报论证制度，组织专家对项目的可行性、必要性、风险等进行全面评估，严格审查项目各项条件以确保符合政策要求和实际情况，对论证不通过的项目不予立项，从源头上避免因前期工作不充分导致项目停滞，同时建立项目风险评估和预警机制，对可能出现的风险进行预判并制定应对措施。</w:t>
      </w:r>
    </w:p>
    <w:p w14:paraId="375EAC19">
      <w:pPr>
        <w:spacing w:line="360" w:lineRule="auto"/>
        <w:ind w:firstLine="482" w:firstLineChars="200"/>
        <w:outlineLvl w:val="1"/>
        <w:rPr>
          <w:rFonts w:ascii="仿宋_GB2312" w:hAnsi="Times New Roman" w:eastAsia="仿宋_GB2312" w:cs="Times New Roman"/>
          <w:b/>
          <w:bCs/>
          <w:sz w:val="24"/>
        </w:rPr>
      </w:pPr>
      <w:bookmarkStart w:id="159" w:name="_Toc4721"/>
      <w:bookmarkStart w:id="160" w:name="_Toc1698"/>
      <w:bookmarkStart w:id="161" w:name="_Toc205852137"/>
      <w:bookmarkStart w:id="162" w:name="_Toc30812"/>
      <w:r>
        <w:rPr>
          <w:rFonts w:hint="eastAsia" w:ascii="仿宋_GB2312" w:hAnsi="Times New Roman" w:eastAsia="仿宋_GB2312" w:cs="Times New Roman"/>
          <w:b/>
          <w:bCs/>
          <w:sz w:val="24"/>
        </w:rPr>
        <w:t>（</w:t>
      </w:r>
      <w:r>
        <w:rPr>
          <w:rFonts w:hint="eastAsia" w:ascii="仿宋_GB2312" w:hAnsi="Times New Roman" w:eastAsia="仿宋_GB2312" w:cs="Times New Roman"/>
          <w:b/>
          <w:bCs/>
          <w:sz w:val="24"/>
          <w:lang w:val="en-US" w:eastAsia="zh-CN"/>
        </w:rPr>
        <w:t>四</w:t>
      </w:r>
      <w:r>
        <w:rPr>
          <w:rFonts w:hint="eastAsia" w:ascii="仿宋_GB2312" w:hAnsi="Times New Roman" w:eastAsia="仿宋_GB2312" w:cs="Times New Roman"/>
          <w:b/>
          <w:bCs/>
          <w:sz w:val="24"/>
        </w:rPr>
        <w:t>）加强档案管理，以规范资料填写</w:t>
      </w:r>
      <w:bookmarkEnd w:id="159"/>
      <w:bookmarkEnd w:id="160"/>
      <w:bookmarkEnd w:id="161"/>
      <w:bookmarkEnd w:id="162"/>
    </w:p>
    <w:p w14:paraId="45FD06AF">
      <w:pPr>
        <w:pStyle w:val="7"/>
        <w:numPr>
          <w:ilvl w:val="0"/>
          <w:numId w:val="0"/>
        </w:numPr>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在项目资料管理方面，</w:t>
      </w:r>
      <w:r>
        <w:rPr>
          <w:rFonts w:hint="eastAsia" w:ascii="仿宋_GB2312" w:hAnsi="Times New Roman" w:eastAsia="仿宋_GB2312" w:cs="Times New Roman"/>
          <w:sz w:val="24"/>
          <w:lang w:val="en-US" w:eastAsia="zh-CN"/>
        </w:rPr>
        <w:t>创建对象</w:t>
      </w:r>
      <w:r>
        <w:rPr>
          <w:rFonts w:hint="eastAsia" w:ascii="仿宋_GB2312" w:hAnsi="Times New Roman" w:eastAsia="仿宋_GB2312" w:cs="Times New Roman"/>
          <w:sz w:val="24"/>
          <w:lang w:val="zh-CN"/>
        </w:rPr>
        <w:t>应规范合同、工程备案表等关键文件的填写，明确标注日期并加盖公章，确保文件要素完整、信息准确，便于项目流程追溯和合规性审核。建立健全资料审核机制，由专人负责审核项目文件的完整性和规范性，确保重要信息不缺失。同时可建立项目归档制度，结合工作实际情况，确定项目文件归档范围，以及档案保管、查阅等工作。</w:t>
      </w:r>
    </w:p>
    <w:p w14:paraId="5F425B9E">
      <w:pPr>
        <w:pStyle w:val="7"/>
        <w:numPr>
          <w:ilvl w:val="0"/>
          <w:numId w:val="0"/>
        </w:numPr>
        <w:spacing w:line="360" w:lineRule="auto"/>
        <w:ind w:firstLine="480" w:firstLineChars="200"/>
        <w:rPr>
          <w:rFonts w:hint="eastAsia" w:ascii="仿宋_GB2312" w:hAnsi="Times New Roman" w:eastAsia="仿宋_GB2312" w:cs="Times New Roman"/>
          <w:sz w:val="24"/>
          <w:lang w:val="zh-CN"/>
        </w:rPr>
      </w:pPr>
    </w:p>
    <w:p w14:paraId="16F64BFB">
      <w:pPr>
        <w:spacing w:line="360" w:lineRule="auto"/>
        <w:ind w:firstLine="562" w:firstLineChars="200"/>
        <w:outlineLvl w:val="0"/>
        <w:rPr>
          <w:rFonts w:hint="eastAsia" w:ascii="仿宋" w:hAnsi="仿宋" w:eastAsia="仿宋" w:cs="仿宋"/>
          <w:b/>
          <w:bCs/>
          <w:sz w:val="28"/>
          <w:szCs w:val="28"/>
          <w:lang w:val="zh-CN"/>
        </w:rPr>
      </w:pPr>
      <w:bookmarkStart w:id="163" w:name="_Toc205852138"/>
      <w:bookmarkStart w:id="164" w:name="_Toc16371"/>
      <w:bookmarkStart w:id="165" w:name="_Toc184981081"/>
      <w:bookmarkStart w:id="166" w:name="_Toc32"/>
      <w:bookmarkStart w:id="167" w:name="_Toc16876"/>
      <w:bookmarkStart w:id="168" w:name="_Toc26627"/>
      <w:bookmarkStart w:id="169" w:name="_Toc184981319"/>
      <w:r>
        <w:rPr>
          <w:rFonts w:hint="eastAsia" w:ascii="仿宋" w:hAnsi="仿宋" w:eastAsia="仿宋" w:cs="仿宋"/>
          <w:b/>
          <w:bCs/>
          <w:sz w:val="28"/>
          <w:szCs w:val="28"/>
          <w:lang w:val="zh-CN"/>
        </w:rPr>
        <w:t>七、其他需要说明的问题</w:t>
      </w:r>
      <w:bookmarkEnd w:id="163"/>
      <w:bookmarkEnd w:id="164"/>
      <w:bookmarkEnd w:id="165"/>
      <w:bookmarkEnd w:id="166"/>
      <w:bookmarkEnd w:id="167"/>
      <w:bookmarkEnd w:id="168"/>
      <w:bookmarkEnd w:id="169"/>
    </w:p>
    <w:p w14:paraId="01CD9EF3">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r>
        <w:rPr>
          <w:rFonts w:hint="eastAsia" w:ascii="仿宋_GB2312" w:hAnsi="Times New Roman" w:eastAsia="仿宋_GB2312" w:cs="Times New Roman"/>
          <w:sz w:val="24"/>
          <w:lang w:val="zh-CN"/>
        </w:rPr>
        <w:t>本绩效评价报告旨在对石狮市2024年省级示范</w:t>
      </w:r>
      <w:r>
        <w:rPr>
          <w:rFonts w:hint="eastAsia" w:ascii="仿宋_GB2312" w:hAnsi="Times New Roman" w:eastAsia="仿宋_GB2312" w:cs="Times New Roman"/>
          <w:sz w:val="24"/>
        </w:rPr>
        <w:t>村</w:t>
      </w:r>
      <w:r>
        <w:rPr>
          <w:rFonts w:hint="eastAsia" w:ascii="仿宋_GB2312" w:hAnsi="Times New Roman" w:eastAsia="仿宋_GB2312" w:cs="Times New Roman"/>
          <w:sz w:val="24"/>
          <w:lang w:val="zh-CN"/>
        </w:rPr>
        <w:t>创建专项资金</w:t>
      </w:r>
      <w:r>
        <w:rPr>
          <w:rFonts w:hint="eastAsia" w:ascii="仿宋_GB2312" w:hAnsi="Times New Roman" w:eastAsia="仿宋_GB2312" w:cs="Times New Roman"/>
          <w:sz w:val="24"/>
        </w:rPr>
        <w:t>项目</w:t>
      </w:r>
      <w:r>
        <w:rPr>
          <w:rFonts w:hint="eastAsia" w:ascii="仿宋_GB2312" w:hAnsi="Times New Roman" w:eastAsia="仿宋_GB2312" w:cs="Times New Roman"/>
          <w:sz w:val="24"/>
          <w:lang w:val="zh-CN"/>
        </w:rPr>
        <w:t>的实施效果进行综合评估，提供决策支持，为未来的项目管理和预算分配提供参考依据。报告中的数据和分析基于现有可获得的信息和文档，可能存在数据不全面或滞后的情况，这可能影响评价结果的准确性和时效性。鉴于数据来源和分析方法的局限，报告中的结论可能需要根据新的数据和情况适时调整。项目管理者应持续监控项目进展，并根据实际情况对策略进行优化。本报告供</w:t>
      </w:r>
      <w:r>
        <w:rPr>
          <w:rFonts w:hint="eastAsia" w:ascii="仿宋_GB2312" w:hAnsi="Times New Roman" w:eastAsia="仿宋_GB2312" w:cs="Times New Roman"/>
          <w:sz w:val="24"/>
        </w:rPr>
        <w:t>石狮市农业农村局</w:t>
      </w:r>
      <w:r>
        <w:rPr>
          <w:rFonts w:hint="eastAsia" w:ascii="仿宋_GB2312" w:hAnsi="Times New Roman" w:eastAsia="仿宋_GB2312" w:cs="Times New Roman"/>
          <w:sz w:val="24"/>
          <w:lang w:val="zh-CN"/>
        </w:rPr>
        <w:t>及相关部门在项目规划、执行和监控过程中使用。建议使用者结合项目实际情况，参考报告中的评价结果和建议，制定相应的改进措施。</w:t>
      </w:r>
    </w:p>
    <w:p w14:paraId="5F7D7F43">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6C881244">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3B31AE3E">
      <w:pPr>
        <w:pStyle w:val="7"/>
        <w:numPr>
          <w:ilvl w:val="0"/>
          <w:numId w:val="0"/>
        </w:numPr>
        <w:tabs>
          <w:tab w:val="clear" w:pos="2040"/>
        </w:tabs>
        <w:spacing w:line="360" w:lineRule="auto"/>
        <w:ind w:firstLine="480" w:firstLineChars="200"/>
        <w:rPr>
          <w:rFonts w:ascii="仿宋_GB2312" w:hAnsi="Times New Roman" w:eastAsia="仿宋_GB2312" w:cs="Times New Roman"/>
          <w:sz w:val="24"/>
          <w:lang w:val="zh-CN"/>
        </w:rPr>
      </w:pPr>
    </w:p>
    <w:p w14:paraId="7BF65DF5">
      <w:pPr>
        <w:ind w:firstLine="482" w:firstLineChars="200"/>
        <w:jc w:val="left"/>
        <w:rPr>
          <w:rFonts w:hint="eastAsia" w:ascii="仿宋" w:hAnsi="仿宋" w:eastAsia="仿宋" w:cs="宋体"/>
          <w:b/>
          <w:bCs/>
          <w:sz w:val="24"/>
        </w:rPr>
      </w:pPr>
      <w:r>
        <w:rPr>
          <w:rFonts w:hint="eastAsia" w:ascii="仿宋" w:hAnsi="仿宋" w:eastAsia="仿宋" w:cs="宋体"/>
          <w:b/>
          <w:bCs/>
          <w:sz w:val="24"/>
        </w:rPr>
        <w:t>集大财经咨询（福州）有限公司                   主评人签字：</w:t>
      </w:r>
    </w:p>
    <w:p w14:paraId="357F6D40">
      <w:pPr>
        <w:ind w:firstLine="1446" w:firstLineChars="600"/>
        <w:rPr>
          <w:rFonts w:hint="eastAsia" w:ascii="仿宋" w:hAnsi="仿宋" w:eastAsia="仿宋" w:cs="宋体"/>
          <w:b/>
          <w:bCs/>
          <w:sz w:val="24"/>
        </w:rPr>
      </w:pPr>
      <w:r>
        <w:rPr>
          <w:rFonts w:hint="eastAsia" w:ascii="仿宋" w:hAnsi="仿宋" w:eastAsia="仿宋" w:cs="宋体"/>
          <w:b/>
          <w:bCs/>
          <w:sz w:val="24"/>
        </w:rPr>
        <w:t xml:space="preserve">中国 </w:t>
      </w:r>
      <w:r>
        <w:rPr>
          <w:rFonts w:hint="eastAsia" w:ascii="微软雅黑" w:hAnsi="微软雅黑" w:eastAsia="微软雅黑" w:cs="微软雅黑"/>
          <w:b/>
          <w:bCs/>
          <w:sz w:val="24"/>
        </w:rPr>
        <w:t>•</w:t>
      </w:r>
      <w:r>
        <w:rPr>
          <w:rFonts w:hint="eastAsia" w:ascii="仿宋" w:hAnsi="仿宋" w:eastAsia="仿宋" w:cs="宋体"/>
          <w:b/>
          <w:bCs/>
          <w:sz w:val="24"/>
        </w:rPr>
        <w:t xml:space="preserve"> 福州                  </w:t>
      </w:r>
    </w:p>
    <w:p w14:paraId="748F03CB">
      <w:pPr>
        <w:ind w:firstLine="1446" w:firstLineChars="600"/>
        <w:jc w:val="right"/>
        <w:rPr>
          <w:rFonts w:ascii="仿宋_GB2312" w:hAnsi="Times New Roman" w:eastAsia="仿宋_GB2312" w:cs="Times New Roman"/>
          <w:sz w:val="24"/>
          <w:lang w:val="zh-CN"/>
        </w:rPr>
      </w:pPr>
      <w:r>
        <w:rPr>
          <w:rFonts w:hint="eastAsia" w:ascii="仿宋" w:hAnsi="仿宋" w:eastAsia="仿宋" w:cs="宋体"/>
          <w:b/>
          <w:bCs/>
          <w:sz w:val="24"/>
        </w:rPr>
        <w:t xml:space="preserve"> 二零二五年七月二十八日</w:t>
      </w:r>
    </w:p>
    <w:p w14:paraId="3FA4B544">
      <w:pPr>
        <w:widowControl/>
        <w:jc w:val="left"/>
        <w:rPr>
          <w:rFonts w:hint="eastAsia" w:ascii="仿宋" w:hAnsi="仿宋" w:eastAsia="仿宋" w:cs="仿宋"/>
          <w:b/>
          <w:bCs/>
          <w:sz w:val="28"/>
          <w:szCs w:val="28"/>
          <w:lang w:val="zh-CN"/>
        </w:rPr>
      </w:pPr>
      <w:bookmarkStart w:id="170" w:name="_Toc184981320"/>
      <w:bookmarkStart w:id="171" w:name="_Toc15180"/>
      <w:bookmarkStart w:id="172" w:name="_Toc17139"/>
      <w:bookmarkStart w:id="173" w:name="_Toc184981082"/>
      <w:r>
        <w:rPr>
          <w:rFonts w:hint="eastAsia" w:ascii="仿宋" w:hAnsi="仿宋" w:eastAsia="仿宋" w:cs="仿宋"/>
          <w:b/>
          <w:bCs/>
          <w:sz w:val="28"/>
          <w:szCs w:val="28"/>
          <w:lang w:val="zh-CN"/>
        </w:rPr>
        <w:br w:type="page"/>
      </w:r>
    </w:p>
    <w:p w14:paraId="2CCAD4C3">
      <w:pPr>
        <w:spacing w:line="360" w:lineRule="auto"/>
        <w:ind w:firstLine="281" w:firstLineChars="100"/>
        <w:outlineLvl w:val="0"/>
        <w:rPr>
          <w:rFonts w:hint="eastAsia" w:ascii="仿宋" w:hAnsi="仿宋" w:eastAsia="仿宋" w:cs="仿宋"/>
          <w:b/>
          <w:bCs/>
          <w:sz w:val="28"/>
          <w:szCs w:val="28"/>
          <w:lang w:val="zh-CN"/>
        </w:rPr>
      </w:pPr>
      <w:bookmarkStart w:id="174" w:name="_Toc2251"/>
      <w:bookmarkStart w:id="175" w:name="_Toc5694"/>
      <w:bookmarkStart w:id="176" w:name="_Toc2165"/>
      <w:bookmarkStart w:id="177" w:name="_Toc205852139"/>
      <w:r>
        <w:rPr>
          <w:rFonts w:hint="eastAsia" w:ascii="仿宋" w:hAnsi="仿宋" w:eastAsia="仿宋" w:cs="仿宋"/>
          <w:b/>
          <w:bCs/>
          <w:sz w:val="28"/>
          <w:szCs w:val="28"/>
          <w:lang w:val="zh-CN"/>
        </w:rPr>
        <w:t>附表</w:t>
      </w:r>
      <w:r>
        <w:rPr>
          <w:rFonts w:hint="eastAsia" w:ascii="仿宋" w:hAnsi="仿宋" w:eastAsia="仿宋" w:cs="仿宋"/>
          <w:b/>
          <w:bCs/>
          <w:sz w:val="28"/>
          <w:szCs w:val="28"/>
        </w:rPr>
        <w:t xml:space="preserve">  </w:t>
      </w:r>
      <w:r>
        <w:rPr>
          <w:rFonts w:hint="eastAsia" w:ascii="仿宋" w:hAnsi="仿宋" w:eastAsia="仿宋" w:cs="仿宋"/>
          <w:b/>
          <w:bCs/>
          <w:sz w:val="28"/>
          <w:szCs w:val="28"/>
          <w:lang w:val="zh-CN"/>
        </w:rPr>
        <w:t>石狮市2024年省级示范</w:t>
      </w:r>
      <w:r>
        <w:rPr>
          <w:rFonts w:hint="eastAsia" w:ascii="仿宋" w:hAnsi="仿宋" w:eastAsia="仿宋" w:cs="仿宋"/>
          <w:b/>
          <w:bCs/>
          <w:sz w:val="28"/>
          <w:szCs w:val="28"/>
        </w:rPr>
        <w:t>村</w:t>
      </w:r>
      <w:r>
        <w:rPr>
          <w:rFonts w:hint="eastAsia" w:ascii="仿宋" w:hAnsi="仿宋" w:eastAsia="仿宋" w:cs="仿宋"/>
          <w:b/>
          <w:bCs/>
          <w:sz w:val="28"/>
          <w:szCs w:val="28"/>
          <w:lang w:val="zh-CN"/>
        </w:rPr>
        <w:t>创建专项资金评价指标表</w:t>
      </w:r>
      <w:bookmarkEnd w:id="170"/>
      <w:bookmarkEnd w:id="171"/>
      <w:bookmarkEnd w:id="172"/>
      <w:bookmarkEnd w:id="173"/>
      <w:bookmarkEnd w:id="174"/>
      <w:bookmarkEnd w:id="175"/>
      <w:bookmarkEnd w:id="176"/>
      <w:bookmarkEnd w:id="177"/>
    </w:p>
    <w:p w14:paraId="7C50F542">
      <w:pPr>
        <w:pStyle w:val="7"/>
        <w:numPr>
          <w:ilvl w:val="0"/>
          <w:numId w:val="0"/>
        </w:numPr>
        <w:tabs>
          <w:tab w:val="clear" w:pos="2040"/>
        </w:tabs>
        <w:ind w:left="1680"/>
      </w:pPr>
    </w:p>
    <w:tbl>
      <w:tblPr>
        <w:tblStyle w:val="13"/>
        <w:tblW w:w="8783" w:type="dxa"/>
        <w:tblInd w:w="91" w:type="dxa"/>
        <w:tblLayout w:type="fixed"/>
        <w:tblCellMar>
          <w:top w:w="0" w:type="dxa"/>
          <w:left w:w="108" w:type="dxa"/>
          <w:bottom w:w="0" w:type="dxa"/>
          <w:right w:w="108" w:type="dxa"/>
        </w:tblCellMar>
      </w:tblPr>
      <w:tblGrid>
        <w:gridCol w:w="747"/>
        <w:gridCol w:w="766"/>
        <w:gridCol w:w="1780"/>
        <w:gridCol w:w="5490"/>
      </w:tblGrid>
      <w:tr w14:paraId="37F0E291">
        <w:tblPrEx>
          <w:tblCellMar>
            <w:top w:w="0" w:type="dxa"/>
            <w:left w:w="108" w:type="dxa"/>
            <w:bottom w:w="0" w:type="dxa"/>
            <w:right w:w="108" w:type="dxa"/>
          </w:tblCellMar>
        </w:tblPrEx>
        <w:trPr>
          <w:trHeight w:val="272" w:hRule="atLeast"/>
          <w:tblHeader/>
        </w:trPr>
        <w:tc>
          <w:tcPr>
            <w:tcW w:w="3293" w:type="dxa"/>
            <w:gridSpan w:val="3"/>
            <w:tcBorders>
              <w:top w:val="single" w:color="auto" w:sz="4" w:space="0"/>
              <w:left w:val="single" w:color="auto" w:sz="4" w:space="0"/>
              <w:bottom w:val="single" w:color="auto" w:sz="4" w:space="0"/>
              <w:right w:val="single" w:color="auto" w:sz="4" w:space="0"/>
            </w:tcBorders>
            <w:noWrap/>
            <w:vAlign w:val="center"/>
          </w:tcPr>
          <w:p w14:paraId="48DDDC90">
            <w:pPr>
              <w:widowControl/>
              <w:jc w:val="center"/>
              <w:textAlignment w:val="center"/>
              <w:rPr>
                <w:rFonts w:hint="eastAsia" w:ascii="仿宋" w:hAnsi="仿宋" w:eastAsia="仿宋"/>
                <w:b/>
                <w:bCs/>
                <w:color w:val="000000"/>
                <w:szCs w:val="21"/>
              </w:rPr>
            </w:pPr>
            <w:r>
              <w:rPr>
                <w:rFonts w:hint="eastAsia" w:ascii="仿宋" w:hAnsi="仿宋" w:eastAsia="仿宋" w:cs="仿宋"/>
                <w:b/>
                <w:bCs/>
                <w:color w:val="000000"/>
                <w:kern w:val="0"/>
                <w:szCs w:val="21"/>
                <w:lang w:bidi="ar"/>
              </w:rPr>
              <w:t>评价指标</w:t>
            </w:r>
          </w:p>
        </w:tc>
        <w:tc>
          <w:tcPr>
            <w:tcW w:w="5490" w:type="dxa"/>
            <w:vMerge w:val="restart"/>
            <w:tcBorders>
              <w:top w:val="single" w:color="auto" w:sz="4" w:space="0"/>
              <w:left w:val="single" w:color="auto" w:sz="4" w:space="0"/>
              <w:bottom w:val="single" w:color="auto" w:sz="4" w:space="0"/>
              <w:right w:val="single" w:color="auto" w:sz="4" w:space="0"/>
            </w:tcBorders>
            <w:noWrap/>
            <w:vAlign w:val="center"/>
          </w:tcPr>
          <w:p w14:paraId="02635642">
            <w:pPr>
              <w:widowControl/>
              <w:jc w:val="center"/>
              <w:textAlignment w:val="top"/>
              <w:rPr>
                <w:rFonts w:hint="eastAsia" w:ascii="仿宋" w:hAnsi="仿宋" w:eastAsia="仿宋"/>
                <w:b/>
                <w:bCs/>
                <w:color w:val="000000"/>
                <w:szCs w:val="21"/>
              </w:rPr>
            </w:pPr>
            <w:r>
              <w:rPr>
                <w:rFonts w:hint="eastAsia" w:ascii="仿宋" w:hAnsi="仿宋" w:eastAsia="仿宋" w:cs="仿宋"/>
                <w:b/>
                <w:bCs/>
                <w:color w:val="000000"/>
                <w:kern w:val="0"/>
                <w:szCs w:val="21"/>
                <w:lang w:bidi="ar"/>
              </w:rPr>
              <w:t>评分标准</w:t>
            </w:r>
          </w:p>
        </w:tc>
      </w:tr>
      <w:tr w14:paraId="7F5C6C02">
        <w:tblPrEx>
          <w:tblCellMar>
            <w:top w:w="0" w:type="dxa"/>
            <w:left w:w="108" w:type="dxa"/>
            <w:bottom w:w="0" w:type="dxa"/>
            <w:right w:w="108" w:type="dxa"/>
          </w:tblCellMar>
        </w:tblPrEx>
        <w:trPr>
          <w:trHeight w:val="272" w:hRule="atLeast"/>
          <w:tblHeader/>
        </w:trPr>
        <w:tc>
          <w:tcPr>
            <w:tcW w:w="747" w:type="dxa"/>
            <w:tcBorders>
              <w:top w:val="nil"/>
              <w:left w:val="single" w:color="auto" w:sz="4" w:space="0"/>
              <w:bottom w:val="single" w:color="auto" w:sz="4" w:space="0"/>
              <w:right w:val="single" w:color="auto" w:sz="4" w:space="0"/>
            </w:tcBorders>
            <w:noWrap/>
            <w:vAlign w:val="center"/>
          </w:tcPr>
          <w:p w14:paraId="2F309E2F">
            <w:pPr>
              <w:widowControl/>
              <w:jc w:val="center"/>
              <w:textAlignment w:val="center"/>
              <w:rPr>
                <w:rFonts w:hint="eastAsia" w:ascii="仿宋" w:hAnsi="仿宋" w:eastAsia="仿宋"/>
                <w:b/>
                <w:bCs/>
                <w:color w:val="000000"/>
                <w:szCs w:val="21"/>
              </w:rPr>
            </w:pPr>
            <w:r>
              <w:rPr>
                <w:rFonts w:hint="eastAsia" w:ascii="仿宋" w:hAnsi="仿宋" w:eastAsia="仿宋" w:cs="仿宋"/>
                <w:b/>
                <w:bCs/>
                <w:color w:val="000000"/>
                <w:kern w:val="0"/>
                <w:szCs w:val="21"/>
                <w:lang w:bidi="ar"/>
              </w:rPr>
              <w:t>一级指标</w:t>
            </w:r>
          </w:p>
        </w:tc>
        <w:tc>
          <w:tcPr>
            <w:tcW w:w="766" w:type="dxa"/>
            <w:tcBorders>
              <w:top w:val="nil"/>
              <w:left w:val="nil"/>
              <w:bottom w:val="single" w:color="auto" w:sz="4" w:space="0"/>
              <w:right w:val="single" w:color="auto" w:sz="4" w:space="0"/>
            </w:tcBorders>
            <w:noWrap/>
            <w:vAlign w:val="center"/>
          </w:tcPr>
          <w:p w14:paraId="773142D1">
            <w:pPr>
              <w:widowControl/>
              <w:jc w:val="center"/>
              <w:textAlignment w:val="center"/>
              <w:rPr>
                <w:rFonts w:hint="eastAsia" w:ascii="仿宋" w:hAnsi="仿宋" w:eastAsia="仿宋"/>
                <w:b/>
                <w:bCs/>
                <w:color w:val="000000"/>
                <w:szCs w:val="21"/>
              </w:rPr>
            </w:pPr>
            <w:r>
              <w:rPr>
                <w:rFonts w:hint="eastAsia" w:ascii="仿宋" w:hAnsi="仿宋" w:eastAsia="仿宋" w:cs="仿宋"/>
                <w:b/>
                <w:bCs/>
                <w:color w:val="000000"/>
                <w:kern w:val="0"/>
                <w:szCs w:val="21"/>
                <w:lang w:bidi="ar"/>
              </w:rPr>
              <w:t>二级指标</w:t>
            </w:r>
          </w:p>
        </w:tc>
        <w:tc>
          <w:tcPr>
            <w:tcW w:w="1780" w:type="dxa"/>
            <w:tcBorders>
              <w:top w:val="nil"/>
              <w:left w:val="nil"/>
              <w:bottom w:val="single" w:color="auto" w:sz="4" w:space="0"/>
              <w:right w:val="single" w:color="auto" w:sz="4" w:space="0"/>
            </w:tcBorders>
            <w:noWrap/>
            <w:vAlign w:val="center"/>
          </w:tcPr>
          <w:p w14:paraId="37DD52A6">
            <w:pPr>
              <w:widowControl/>
              <w:jc w:val="center"/>
              <w:textAlignment w:val="center"/>
              <w:rPr>
                <w:rFonts w:hint="eastAsia" w:ascii="仿宋" w:hAnsi="仿宋" w:eastAsia="仿宋"/>
                <w:b/>
                <w:bCs/>
                <w:color w:val="000000"/>
                <w:szCs w:val="21"/>
              </w:rPr>
            </w:pPr>
            <w:r>
              <w:rPr>
                <w:rFonts w:hint="eastAsia" w:ascii="仿宋" w:hAnsi="仿宋" w:eastAsia="仿宋" w:cs="仿宋"/>
                <w:b/>
                <w:bCs/>
                <w:color w:val="000000"/>
                <w:kern w:val="0"/>
                <w:szCs w:val="21"/>
                <w:lang w:bidi="ar"/>
              </w:rPr>
              <w:t>三级指标</w:t>
            </w:r>
          </w:p>
        </w:tc>
        <w:tc>
          <w:tcPr>
            <w:tcW w:w="5490" w:type="dxa"/>
            <w:vMerge w:val="continue"/>
            <w:tcBorders>
              <w:top w:val="single" w:color="auto" w:sz="4" w:space="0"/>
              <w:left w:val="single" w:color="auto" w:sz="4" w:space="0"/>
              <w:bottom w:val="single" w:color="auto" w:sz="4" w:space="0"/>
              <w:right w:val="single" w:color="auto" w:sz="4" w:space="0"/>
            </w:tcBorders>
            <w:vAlign w:val="center"/>
          </w:tcPr>
          <w:p w14:paraId="40B8748F">
            <w:pPr>
              <w:jc w:val="center"/>
              <w:rPr>
                <w:rFonts w:hint="eastAsia" w:ascii="仿宋" w:hAnsi="仿宋" w:eastAsia="仿宋"/>
                <w:b/>
                <w:bCs/>
                <w:color w:val="000000"/>
                <w:szCs w:val="21"/>
              </w:rPr>
            </w:pPr>
          </w:p>
        </w:tc>
      </w:tr>
      <w:tr w14:paraId="0EDF2FF0">
        <w:tblPrEx>
          <w:tblCellMar>
            <w:top w:w="0" w:type="dxa"/>
            <w:left w:w="108" w:type="dxa"/>
            <w:bottom w:w="0" w:type="dxa"/>
            <w:right w:w="108" w:type="dxa"/>
          </w:tblCellMar>
        </w:tblPrEx>
        <w:trPr>
          <w:trHeight w:val="2121" w:hRule="atLeast"/>
        </w:trPr>
        <w:tc>
          <w:tcPr>
            <w:tcW w:w="747" w:type="dxa"/>
            <w:vMerge w:val="restart"/>
            <w:tcBorders>
              <w:top w:val="nil"/>
              <w:left w:val="single" w:color="auto" w:sz="4" w:space="0"/>
              <w:bottom w:val="single" w:color="000000" w:sz="4" w:space="0"/>
              <w:right w:val="single" w:color="auto" w:sz="4" w:space="0"/>
            </w:tcBorders>
            <w:vAlign w:val="center"/>
          </w:tcPr>
          <w:p w14:paraId="17A895AB">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决策</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（20分）</w:t>
            </w:r>
          </w:p>
        </w:tc>
        <w:tc>
          <w:tcPr>
            <w:tcW w:w="766" w:type="dxa"/>
            <w:vMerge w:val="restart"/>
            <w:tcBorders>
              <w:top w:val="nil"/>
              <w:left w:val="single" w:color="auto" w:sz="4" w:space="0"/>
              <w:bottom w:val="single" w:color="000000" w:sz="4" w:space="0"/>
              <w:right w:val="single" w:color="auto" w:sz="4" w:space="0"/>
            </w:tcBorders>
            <w:vAlign w:val="center"/>
          </w:tcPr>
          <w:p w14:paraId="39828E39">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项目立项</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（5分）</w:t>
            </w:r>
          </w:p>
        </w:tc>
        <w:tc>
          <w:tcPr>
            <w:tcW w:w="1780" w:type="dxa"/>
            <w:tcBorders>
              <w:top w:val="nil"/>
              <w:left w:val="nil"/>
              <w:bottom w:val="single" w:color="auto" w:sz="4" w:space="0"/>
              <w:right w:val="single" w:color="auto" w:sz="4" w:space="0"/>
            </w:tcBorders>
            <w:vAlign w:val="center"/>
          </w:tcPr>
          <w:p w14:paraId="6096F706">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立项依据充分性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（2分）</w:t>
            </w:r>
          </w:p>
        </w:tc>
        <w:tc>
          <w:tcPr>
            <w:tcW w:w="5490" w:type="dxa"/>
            <w:tcBorders>
              <w:top w:val="nil"/>
              <w:left w:val="nil"/>
              <w:bottom w:val="single" w:color="auto" w:sz="4" w:space="0"/>
              <w:right w:val="single" w:color="auto" w:sz="4" w:space="0"/>
            </w:tcBorders>
          </w:tcPr>
          <w:p w14:paraId="1A8F849D">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 xml:space="preserve">①项目立项是否符合国家法律法规、国民经济发展规划和相关政策；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②项目立项是否符合行业发展规划和政策要求；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③项目立项是否与部门职责范围相符，属于部门履职所需；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④项目是否属于公共财政支持范围，是否符合中央、地方事权支出责任划分原则；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⑤项目是否与相关部门同类项目或部门内部相关项目重复。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以上每条要素占权重的20%，每有一条不符合，扣除对应权重分，扣完为止。</w:t>
            </w:r>
          </w:p>
        </w:tc>
      </w:tr>
      <w:tr w14:paraId="47C32F81">
        <w:tblPrEx>
          <w:tblCellMar>
            <w:top w:w="0" w:type="dxa"/>
            <w:left w:w="108" w:type="dxa"/>
            <w:bottom w:w="0" w:type="dxa"/>
            <w:right w:w="108" w:type="dxa"/>
          </w:tblCellMar>
        </w:tblPrEx>
        <w:trPr>
          <w:trHeight w:val="1620" w:hRule="atLeast"/>
        </w:trPr>
        <w:tc>
          <w:tcPr>
            <w:tcW w:w="747" w:type="dxa"/>
            <w:vMerge w:val="continue"/>
            <w:tcBorders>
              <w:top w:val="nil"/>
              <w:left w:val="single" w:color="auto" w:sz="4" w:space="0"/>
              <w:bottom w:val="single" w:color="000000" w:sz="4" w:space="0"/>
              <w:right w:val="single" w:color="auto" w:sz="4" w:space="0"/>
            </w:tcBorders>
            <w:vAlign w:val="center"/>
          </w:tcPr>
          <w:p w14:paraId="233EC6CE">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3A5DA4A7">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35827003">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立项</w:t>
            </w:r>
            <w:r>
              <w:rPr>
                <w:rFonts w:hint="eastAsia" w:ascii="仿宋" w:hAnsi="仿宋" w:eastAsia="仿宋" w:cs="仿宋"/>
                <w:color w:val="000000"/>
                <w:kern w:val="0"/>
                <w:szCs w:val="21"/>
                <w:lang w:val="en-US" w:eastAsia="zh-CN" w:bidi="ar"/>
              </w:rPr>
              <w:t>程序</w:t>
            </w:r>
            <w:r>
              <w:rPr>
                <w:rFonts w:hint="eastAsia" w:ascii="仿宋" w:hAnsi="仿宋" w:eastAsia="仿宋" w:cs="仿宋"/>
                <w:color w:val="000000"/>
                <w:kern w:val="0"/>
                <w:szCs w:val="21"/>
                <w:lang w:bidi="ar"/>
              </w:rPr>
              <w:t>规范性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5490" w:type="dxa"/>
            <w:tcBorders>
              <w:top w:val="nil"/>
              <w:left w:val="nil"/>
              <w:bottom w:val="single" w:color="auto" w:sz="4" w:space="0"/>
              <w:right w:val="single" w:color="auto" w:sz="4" w:space="0"/>
            </w:tcBorders>
          </w:tcPr>
          <w:p w14:paraId="680FF8A8">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 xml:space="preserve">①项目是否按照规定的程序申请设立；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②审批文件、材料是否符合相关要求；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③事前是否已经过必要的可行性研究、专家论证、风险评估、绩效评估、集体决策。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以上每条要素占权重分的1/3，每有一条不符合，扣除对应权重分，扣完为止。</w:t>
            </w:r>
          </w:p>
        </w:tc>
      </w:tr>
      <w:tr w14:paraId="7AEB52C1">
        <w:tblPrEx>
          <w:tblCellMar>
            <w:top w:w="0" w:type="dxa"/>
            <w:left w:w="108" w:type="dxa"/>
            <w:bottom w:w="0" w:type="dxa"/>
            <w:right w:w="108" w:type="dxa"/>
          </w:tblCellMar>
        </w:tblPrEx>
        <w:trPr>
          <w:trHeight w:val="1080" w:hRule="atLeast"/>
        </w:trPr>
        <w:tc>
          <w:tcPr>
            <w:tcW w:w="747" w:type="dxa"/>
            <w:vMerge w:val="continue"/>
            <w:tcBorders>
              <w:top w:val="nil"/>
              <w:left w:val="single" w:color="auto" w:sz="4" w:space="0"/>
              <w:bottom w:val="single" w:color="000000" w:sz="4" w:space="0"/>
              <w:right w:val="single" w:color="auto" w:sz="4" w:space="0"/>
            </w:tcBorders>
            <w:vAlign w:val="center"/>
          </w:tcPr>
          <w:p w14:paraId="260245FA">
            <w:pPr>
              <w:jc w:val="center"/>
              <w:rPr>
                <w:rFonts w:hint="eastAsia" w:ascii="仿宋" w:hAnsi="仿宋" w:eastAsia="仿宋"/>
                <w:color w:val="000000"/>
                <w:szCs w:val="21"/>
              </w:rPr>
            </w:pPr>
          </w:p>
        </w:tc>
        <w:tc>
          <w:tcPr>
            <w:tcW w:w="766" w:type="dxa"/>
            <w:vMerge w:val="restart"/>
            <w:tcBorders>
              <w:top w:val="nil"/>
              <w:left w:val="single" w:color="auto" w:sz="4" w:space="0"/>
              <w:bottom w:val="single" w:color="000000" w:sz="4" w:space="0"/>
              <w:right w:val="single" w:color="auto" w:sz="4" w:space="0"/>
            </w:tcBorders>
            <w:vAlign w:val="center"/>
          </w:tcPr>
          <w:p w14:paraId="404340B1">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绩效目标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（7分）</w:t>
            </w:r>
          </w:p>
        </w:tc>
        <w:tc>
          <w:tcPr>
            <w:tcW w:w="1780" w:type="dxa"/>
            <w:tcBorders>
              <w:top w:val="nil"/>
              <w:left w:val="nil"/>
              <w:bottom w:val="single" w:color="auto" w:sz="4" w:space="0"/>
              <w:right w:val="single" w:color="auto" w:sz="4" w:space="0"/>
            </w:tcBorders>
            <w:vAlign w:val="center"/>
          </w:tcPr>
          <w:p w14:paraId="6F159AF8">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绩效目标合理性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2AE6FFAD">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①项目是否有绩效目标；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②项目绩效目标与实际工作内容是否具有相关性；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③项目预期产出效益和效果是否符合正常的业绩水平；</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④是否与预算确定的项目投资额或资金量相匹配。</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以上每条要素各占权重的25%，每有一条不符合，扣除对应的权重分，扣完为止。</w:t>
            </w:r>
          </w:p>
        </w:tc>
      </w:tr>
      <w:tr w14:paraId="064E1393">
        <w:tblPrEx>
          <w:tblCellMar>
            <w:top w:w="0" w:type="dxa"/>
            <w:left w:w="108" w:type="dxa"/>
            <w:bottom w:w="0" w:type="dxa"/>
            <w:right w:w="108" w:type="dxa"/>
          </w:tblCellMar>
        </w:tblPrEx>
        <w:trPr>
          <w:trHeight w:val="1080" w:hRule="atLeast"/>
        </w:trPr>
        <w:tc>
          <w:tcPr>
            <w:tcW w:w="747" w:type="dxa"/>
            <w:vMerge w:val="continue"/>
            <w:tcBorders>
              <w:top w:val="nil"/>
              <w:left w:val="single" w:color="auto" w:sz="4" w:space="0"/>
              <w:bottom w:val="single" w:color="000000" w:sz="4" w:space="0"/>
              <w:right w:val="single" w:color="auto" w:sz="4" w:space="0"/>
            </w:tcBorders>
            <w:vAlign w:val="center"/>
          </w:tcPr>
          <w:p w14:paraId="30D2BE2F">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1FD6E585">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122FEDFF">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绩效指标明确性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5490" w:type="dxa"/>
            <w:tcBorders>
              <w:top w:val="nil"/>
              <w:left w:val="nil"/>
              <w:bottom w:val="single" w:color="auto" w:sz="4" w:space="0"/>
              <w:right w:val="single" w:color="auto" w:sz="4" w:space="0"/>
            </w:tcBorders>
          </w:tcPr>
          <w:p w14:paraId="53C9F879">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①是否将项目绩效目标细化分解为具体的绩效指标；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②是否通过清晰、可衡量的指标值予以体现；</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③是否与项目目标任务数或计划数相对应。</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以上每条要素各占权重的1/3，每有一条不符合，扣除对应的权重分，扣完为止。</w:t>
            </w:r>
          </w:p>
        </w:tc>
      </w:tr>
      <w:tr w14:paraId="4E3023ED">
        <w:tblPrEx>
          <w:tblCellMar>
            <w:top w:w="0" w:type="dxa"/>
            <w:left w:w="108" w:type="dxa"/>
            <w:bottom w:w="0" w:type="dxa"/>
            <w:right w:w="108" w:type="dxa"/>
          </w:tblCellMar>
        </w:tblPrEx>
        <w:trPr>
          <w:trHeight w:val="1350" w:hRule="atLeast"/>
        </w:trPr>
        <w:tc>
          <w:tcPr>
            <w:tcW w:w="747" w:type="dxa"/>
            <w:vMerge w:val="continue"/>
            <w:tcBorders>
              <w:top w:val="nil"/>
              <w:left w:val="single" w:color="auto" w:sz="4" w:space="0"/>
              <w:bottom w:val="single" w:color="000000" w:sz="4" w:space="0"/>
              <w:right w:val="single" w:color="auto" w:sz="4" w:space="0"/>
            </w:tcBorders>
            <w:vAlign w:val="center"/>
          </w:tcPr>
          <w:p w14:paraId="7C51AB2A">
            <w:pPr>
              <w:jc w:val="center"/>
              <w:rPr>
                <w:rFonts w:hint="eastAsia" w:ascii="仿宋" w:hAnsi="仿宋" w:eastAsia="仿宋"/>
                <w:color w:val="000000"/>
                <w:szCs w:val="21"/>
              </w:rPr>
            </w:pPr>
          </w:p>
        </w:tc>
        <w:tc>
          <w:tcPr>
            <w:tcW w:w="766" w:type="dxa"/>
            <w:vMerge w:val="restart"/>
            <w:tcBorders>
              <w:top w:val="nil"/>
              <w:left w:val="single" w:color="auto" w:sz="4" w:space="0"/>
              <w:bottom w:val="single" w:color="000000" w:sz="4" w:space="0"/>
              <w:right w:val="single" w:color="auto" w:sz="4" w:space="0"/>
            </w:tcBorders>
            <w:vAlign w:val="center"/>
          </w:tcPr>
          <w:p w14:paraId="6420765F">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资金投入</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（8分）</w:t>
            </w:r>
          </w:p>
        </w:tc>
        <w:tc>
          <w:tcPr>
            <w:tcW w:w="1780" w:type="dxa"/>
            <w:tcBorders>
              <w:top w:val="nil"/>
              <w:left w:val="nil"/>
              <w:bottom w:val="single" w:color="auto" w:sz="4" w:space="0"/>
              <w:right w:val="single" w:color="auto" w:sz="4" w:space="0"/>
            </w:tcBorders>
            <w:vAlign w:val="center"/>
          </w:tcPr>
          <w:p w14:paraId="4C6A0E20">
            <w:pPr>
              <w:widowControl/>
              <w:jc w:val="center"/>
              <w:textAlignment w:val="center"/>
              <w:rPr>
                <w:rFonts w:hint="eastAsia" w:ascii="仿宋" w:hAnsi="仿宋" w:eastAsia="仿宋"/>
                <w:szCs w:val="21"/>
              </w:rPr>
            </w:pPr>
            <w:r>
              <w:rPr>
                <w:rFonts w:hint="eastAsia" w:ascii="仿宋" w:hAnsi="仿宋" w:eastAsia="仿宋" w:cs="仿宋"/>
                <w:color w:val="000000"/>
                <w:kern w:val="0"/>
                <w:szCs w:val="21"/>
                <w:lang w:bidi="ar"/>
              </w:rPr>
              <w:t>预算编制科学性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1BACC5E2">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①预算编制是否经过科学论证；</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②预算内容与项目内容是否匹配；</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③预算额度测算依据是否充分，是否按照标准编制；</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④预算确定的项目投资额或资金量是否与工作任务相匹配。</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以上每条要素各占权重的25%，每有一条不符合，扣除对应的权重分，扣完为止。</w:t>
            </w:r>
          </w:p>
        </w:tc>
      </w:tr>
      <w:tr w14:paraId="45195C56">
        <w:tblPrEx>
          <w:tblCellMar>
            <w:top w:w="0" w:type="dxa"/>
            <w:left w:w="108" w:type="dxa"/>
            <w:bottom w:w="0" w:type="dxa"/>
            <w:right w:w="108" w:type="dxa"/>
          </w:tblCellMar>
        </w:tblPrEx>
        <w:trPr>
          <w:trHeight w:val="810" w:hRule="atLeast"/>
        </w:trPr>
        <w:tc>
          <w:tcPr>
            <w:tcW w:w="747" w:type="dxa"/>
            <w:vMerge w:val="continue"/>
            <w:tcBorders>
              <w:top w:val="nil"/>
              <w:left w:val="single" w:color="auto" w:sz="4" w:space="0"/>
              <w:bottom w:val="single" w:color="000000" w:sz="4" w:space="0"/>
              <w:right w:val="single" w:color="auto" w:sz="4" w:space="0"/>
            </w:tcBorders>
            <w:vAlign w:val="center"/>
          </w:tcPr>
          <w:p w14:paraId="27DF171D">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3486691C">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237B2C25">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资金分配合理性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47593A2B">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①预算资金分配依据是否充分；</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②资金分配额度是否合理，与项目单位或地方实际是否相适应。</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以上每条要素各占权重的50%，每有一条不符合，扣除对应的权重分，扣完为止。</w:t>
            </w:r>
          </w:p>
        </w:tc>
      </w:tr>
      <w:tr w14:paraId="113D0B6F">
        <w:tblPrEx>
          <w:tblCellMar>
            <w:top w:w="0" w:type="dxa"/>
            <w:left w:w="108" w:type="dxa"/>
            <w:bottom w:w="0" w:type="dxa"/>
            <w:right w:w="108" w:type="dxa"/>
          </w:tblCellMar>
        </w:tblPrEx>
        <w:trPr>
          <w:trHeight w:val="810" w:hRule="atLeast"/>
        </w:trPr>
        <w:tc>
          <w:tcPr>
            <w:tcW w:w="747" w:type="dxa"/>
            <w:vMerge w:val="restart"/>
            <w:tcBorders>
              <w:top w:val="nil"/>
              <w:left w:val="single" w:color="auto" w:sz="4" w:space="0"/>
              <w:bottom w:val="nil"/>
              <w:right w:val="single" w:color="auto" w:sz="4" w:space="0"/>
            </w:tcBorders>
            <w:vAlign w:val="center"/>
          </w:tcPr>
          <w:p w14:paraId="78F82B7A">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过程</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（18分）</w:t>
            </w:r>
          </w:p>
        </w:tc>
        <w:tc>
          <w:tcPr>
            <w:tcW w:w="766" w:type="dxa"/>
            <w:vMerge w:val="restart"/>
            <w:tcBorders>
              <w:top w:val="nil"/>
              <w:left w:val="single" w:color="auto" w:sz="4" w:space="0"/>
              <w:bottom w:val="single" w:color="000000" w:sz="4" w:space="0"/>
              <w:right w:val="single" w:color="auto" w:sz="4" w:space="0"/>
            </w:tcBorders>
            <w:vAlign w:val="center"/>
          </w:tcPr>
          <w:p w14:paraId="63A8D829">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资金管理</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（10分）</w:t>
            </w:r>
          </w:p>
        </w:tc>
        <w:tc>
          <w:tcPr>
            <w:tcW w:w="1780" w:type="dxa"/>
            <w:tcBorders>
              <w:top w:val="nil"/>
              <w:left w:val="nil"/>
              <w:bottom w:val="single" w:color="auto" w:sz="4" w:space="0"/>
              <w:right w:val="single" w:color="auto" w:sz="4" w:space="0"/>
            </w:tcBorders>
            <w:vAlign w:val="center"/>
          </w:tcPr>
          <w:p w14:paraId="5F798C03">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资金到位率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5490" w:type="dxa"/>
            <w:tcBorders>
              <w:top w:val="nil"/>
              <w:left w:val="nil"/>
              <w:bottom w:val="single" w:color="auto" w:sz="4" w:space="0"/>
              <w:right w:val="single" w:color="auto" w:sz="4" w:space="0"/>
            </w:tcBorders>
          </w:tcPr>
          <w:p w14:paraId="54FD373D">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资金到位率=（实际到位资金/计划使用资金）×100%，占比得分。</w:t>
            </w:r>
          </w:p>
        </w:tc>
      </w:tr>
      <w:tr w14:paraId="58352EE1">
        <w:tblPrEx>
          <w:tblCellMar>
            <w:top w:w="0" w:type="dxa"/>
            <w:left w:w="108" w:type="dxa"/>
            <w:bottom w:w="0" w:type="dxa"/>
            <w:right w:w="108" w:type="dxa"/>
          </w:tblCellMar>
        </w:tblPrEx>
        <w:trPr>
          <w:trHeight w:val="810" w:hRule="atLeast"/>
        </w:trPr>
        <w:tc>
          <w:tcPr>
            <w:tcW w:w="747" w:type="dxa"/>
            <w:vMerge w:val="continue"/>
            <w:tcBorders>
              <w:top w:val="nil"/>
              <w:left w:val="single" w:color="auto" w:sz="4" w:space="0"/>
              <w:bottom w:val="nil"/>
              <w:right w:val="single" w:color="auto" w:sz="4" w:space="0"/>
            </w:tcBorders>
            <w:vAlign w:val="center"/>
          </w:tcPr>
          <w:p w14:paraId="6DEC66DB">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2132CEFB">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353B2A8E">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资金使用合规性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39DC6C58">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①符合国家财经法规和财务管理制度以及有关专项资金管理办法的规定；</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②资金的拨付有完整的审批程序和手续；</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③符合项目预算批复或合同规定的用途；</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④不存在截留、挤占、挪用、虚列支出等情况。</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以上每条要素各占权重的25%，每有一条不符合，扣除对应的权重分，扣完为止。</w:t>
            </w:r>
          </w:p>
        </w:tc>
      </w:tr>
      <w:tr w14:paraId="1D67A059">
        <w:tblPrEx>
          <w:tblCellMar>
            <w:top w:w="0" w:type="dxa"/>
            <w:left w:w="108" w:type="dxa"/>
            <w:bottom w:w="0" w:type="dxa"/>
            <w:right w:w="108" w:type="dxa"/>
          </w:tblCellMar>
        </w:tblPrEx>
        <w:trPr>
          <w:trHeight w:val="2160" w:hRule="atLeast"/>
        </w:trPr>
        <w:tc>
          <w:tcPr>
            <w:tcW w:w="747" w:type="dxa"/>
            <w:vMerge w:val="continue"/>
            <w:tcBorders>
              <w:top w:val="nil"/>
              <w:left w:val="single" w:color="auto" w:sz="4" w:space="0"/>
              <w:bottom w:val="nil"/>
              <w:right w:val="single" w:color="auto" w:sz="4" w:space="0"/>
            </w:tcBorders>
            <w:vAlign w:val="center"/>
          </w:tcPr>
          <w:p w14:paraId="0B544F73">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3C789CDC">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7A267298">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预算执行率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5490" w:type="dxa"/>
            <w:tcBorders>
              <w:top w:val="nil"/>
              <w:left w:val="nil"/>
              <w:bottom w:val="single" w:color="auto" w:sz="4" w:space="0"/>
              <w:right w:val="single" w:color="auto" w:sz="4" w:space="0"/>
            </w:tcBorders>
          </w:tcPr>
          <w:p w14:paraId="300726C8">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预算执行率=（实际支出资金/实际到位资金）×100%。预算执行率≥95%，得3分；90%≤预算执行率﹤95%，得2分；85%≤预算执行率﹤90%，得1分；预算执行率﹤85%，得0分</w:t>
            </w:r>
          </w:p>
        </w:tc>
      </w:tr>
      <w:tr w14:paraId="74AE48C3">
        <w:tblPrEx>
          <w:tblCellMar>
            <w:top w:w="0" w:type="dxa"/>
            <w:left w:w="108" w:type="dxa"/>
            <w:bottom w:w="0" w:type="dxa"/>
            <w:right w:w="108" w:type="dxa"/>
          </w:tblCellMar>
        </w:tblPrEx>
        <w:trPr>
          <w:trHeight w:val="1080" w:hRule="atLeast"/>
        </w:trPr>
        <w:tc>
          <w:tcPr>
            <w:tcW w:w="747" w:type="dxa"/>
            <w:vMerge w:val="continue"/>
            <w:tcBorders>
              <w:top w:val="nil"/>
              <w:left w:val="single" w:color="auto" w:sz="4" w:space="0"/>
              <w:bottom w:val="nil"/>
              <w:right w:val="single" w:color="auto" w:sz="4" w:space="0"/>
            </w:tcBorders>
            <w:vAlign w:val="center"/>
          </w:tcPr>
          <w:p w14:paraId="2B7F3A12">
            <w:pPr>
              <w:jc w:val="center"/>
              <w:rPr>
                <w:rFonts w:hint="eastAsia" w:ascii="仿宋" w:hAnsi="仿宋" w:eastAsia="仿宋"/>
                <w:color w:val="000000"/>
                <w:szCs w:val="21"/>
              </w:rPr>
            </w:pPr>
          </w:p>
        </w:tc>
        <w:tc>
          <w:tcPr>
            <w:tcW w:w="766" w:type="dxa"/>
            <w:vMerge w:val="restart"/>
            <w:tcBorders>
              <w:top w:val="nil"/>
              <w:left w:val="single" w:color="auto" w:sz="4" w:space="0"/>
              <w:bottom w:val="nil"/>
              <w:right w:val="single" w:color="auto" w:sz="4" w:space="0"/>
            </w:tcBorders>
            <w:vAlign w:val="center"/>
          </w:tcPr>
          <w:p w14:paraId="4AE37FCF">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组织实施</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（8分）</w:t>
            </w:r>
          </w:p>
        </w:tc>
        <w:tc>
          <w:tcPr>
            <w:tcW w:w="1780" w:type="dxa"/>
            <w:tcBorders>
              <w:top w:val="nil"/>
              <w:left w:val="nil"/>
              <w:bottom w:val="single" w:color="auto" w:sz="4" w:space="0"/>
              <w:right w:val="single" w:color="auto" w:sz="4" w:space="0"/>
            </w:tcBorders>
            <w:vAlign w:val="center"/>
          </w:tcPr>
          <w:p w14:paraId="14AAF5AE">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管理制度健全性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7D9FC0A4">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①制定或具有相应的财务管理制度；</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②制定或具有相应的业务管理制度；</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③制定或具有相应的监督管理制度；</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④财务管理制度、业务管理制度、监督管理制度合法、合规、完整。</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以上每条要素各占权重的25%，每有一条不符合，扣除对应的权重分，扣完为止。</w:t>
            </w:r>
          </w:p>
        </w:tc>
      </w:tr>
      <w:tr w14:paraId="12CA4A1F">
        <w:tblPrEx>
          <w:tblCellMar>
            <w:top w:w="0" w:type="dxa"/>
            <w:left w:w="108" w:type="dxa"/>
            <w:bottom w:w="0" w:type="dxa"/>
            <w:right w:w="108" w:type="dxa"/>
          </w:tblCellMar>
        </w:tblPrEx>
        <w:trPr>
          <w:trHeight w:val="1350" w:hRule="atLeast"/>
        </w:trPr>
        <w:tc>
          <w:tcPr>
            <w:tcW w:w="747" w:type="dxa"/>
            <w:vMerge w:val="continue"/>
            <w:tcBorders>
              <w:top w:val="nil"/>
              <w:left w:val="single" w:color="auto" w:sz="4" w:space="0"/>
              <w:bottom w:val="nil"/>
              <w:right w:val="single" w:color="auto" w:sz="4" w:space="0"/>
            </w:tcBorders>
            <w:vAlign w:val="center"/>
          </w:tcPr>
          <w:p w14:paraId="5D2A6456">
            <w:pPr>
              <w:jc w:val="center"/>
              <w:rPr>
                <w:rFonts w:hint="eastAsia" w:ascii="仿宋" w:hAnsi="仿宋" w:eastAsia="仿宋"/>
                <w:color w:val="000000"/>
                <w:szCs w:val="21"/>
              </w:rPr>
            </w:pPr>
          </w:p>
        </w:tc>
        <w:tc>
          <w:tcPr>
            <w:tcW w:w="766" w:type="dxa"/>
            <w:vMerge w:val="continue"/>
            <w:tcBorders>
              <w:top w:val="nil"/>
              <w:left w:val="single" w:color="auto" w:sz="4" w:space="0"/>
              <w:bottom w:val="nil"/>
              <w:right w:val="single" w:color="auto" w:sz="4" w:space="0"/>
            </w:tcBorders>
            <w:vAlign w:val="center"/>
          </w:tcPr>
          <w:p w14:paraId="3E582F0E">
            <w:pPr>
              <w:jc w:val="center"/>
              <w:rPr>
                <w:rFonts w:hint="eastAsia" w:ascii="仿宋" w:hAnsi="仿宋" w:eastAsia="仿宋"/>
                <w:color w:val="000000"/>
                <w:szCs w:val="21"/>
              </w:rPr>
            </w:pPr>
          </w:p>
        </w:tc>
        <w:tc>
          <w:tcPr>
            <w:tcW w:w="1780" w:type="dxa"/>
            <w:tcBorders>
              <w:top w:val="nil"/>
              <w:left w:val="nil"/>
              <w:bottom w:val="nil"/>
              <w:right w:val="single" w:color="auto" w:sz="4" w:space="0"/>
            </w:tcBorders>
            <w:vAlign w:val="center"/>
          </w:tcPr>
          <w:p w14:paraId="5811F092">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制度执行有效性</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4346EBA1">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①遵守相关法律法规和相关管理规定；</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②项目调整及支出调整手续完备；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③项目合同书、验收报告、技术鉴定等资料齐全并及时归档；</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④项目实施的人员条件、场地设备、信息支撑等落实到位。</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以上每条要素各占权重的25%，每有一条不符合，扣除对应的权重分，扣完为止。</w:t>
            </w:r>
          </w:p>
        </w:tc>
      </w:tr>
      <w:tr w14:paraId="5AD81D8B">
        <w:tblPrEx>
          <w:tblCellMar>
            <w:top w:w="0" w:type="dxa"/>
            <w:left w:w="108" w:type="dxa"/>
            <w:bottom w:w="0" w:type="dxa"/>
            <w:right w:w="108" w:type="dxa"/>
          </w:tblCellMar>
        </w:tblPrEx>
        <w:trPr>
          <w:trHeight w:val="690" w:hRule="atLeast"/>
        </w:trPr>
        <w:tc>
          <w:tcPr>
            <w:tcW w:w="747" w:type="dxa"/>
            <w:vMerge w:val="restart"/>
            <w:tcBorders>
              <w:top w:val="single" w:color="auto" w:sz="4" w:space="0"/>
              <w:left w:val="single" w:color="auto" w:sz="4" w:space="0"/>
              <w:bottom w:val="single" w:color="000000" w:sz="4" w:space="0"/>
              <w:right w:val="single" w:color="auto" w:sz="4" w:space="0"/>
            </w:tcBorders>
            <w:vAlign w:val="center"/>
          </w:tcPr>
          <w:p w14:paraId="758A3770">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产出</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（30分）</w:t>
            </w:r>
          </w:p>
        </w:tc>
        <w:tc>
          <w:tcPr>
            <w:tcW w:w="766" w:type="dxa"/>
            <w:vMerge w:val="restart"/>
            <w:tcBorders>
              <w:top w:val="single" w:color="auto" w:sz="4" w:space="0"/>
              <w:left w:val="single" w:color="auto" w:sz="4" w:space="0"/>
              <w:bottom w:val="single" w:color="000000" w:sz="4" w:space="0"/>
              <w:right w:val="single" w:color="auto" w:sz="4" w:space="0"/>
            </w:tcBorders>
            <w:vAlign w:val="center"/>
          </w:tcPr>
          <w:p w14:paraId="527DBC06">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产出数量</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（12分）</w:t>
            </w:r>
          </w:p>
        </w:tc>
        <w:tc>
          <w:tcPr>
            <w:tcW w:w="1780" w:type="dxa"/>
            <w:tcBorders>
              <w:top w:val="single" w:color="auto" w:sz="4" w:space="0"/>
              <w:left w:val="nil"/>
              <w:bottom w:val="single" w:color="auto" w:sz="4" w:space="0"/>
              <w:right w:val="single" w:color="auto" w:sz="4" w:space="0"/>
            </w:tcBorders>
            <w:vAlign w:val="center"/>
          </w:tcPr>
          <w:p w14:paraId="3CA3013B">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产业发展项目建成率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5473001C">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产业发展项目建成率=（产业发展项目建成数量/产业发展项目数量）×100%，占比得分。</w:t>
            </w:r>
          </w:p>
        </w:tc>
      </w:tr>
      <w:tr w14:paraId="3ABA2FB5">
        <w:tblPrEx>
          <w:tblCellMar>
            <w:top w:w="0" w:type="dxa"/>
            <w:left w:w="108" w:type="dxa"/>
            <w:bottom w:w="0" w:type="dxa"/>
            <w:right w:w="108" w:type="dxa"/>
          </w:tblCellMar>
        </w:tblPrEx>
        <w:trPr>
          <w:trHeight w:val="668" w:hRule="atLeast"/>
        </w:trPr>
        <w:tc>
          <w:tcPr>
            <w:tcW w:w="747" w:type="dxa"/>
            <w:vMerge w:val="continue"/>
            <w:tcBorders>
              <w:top w:val="single" w:color="auto" w:sz="4" w:space="0"/>
              <w:left w:val="single" w:color="auto" w:sz="4" w:space="0"/>
              <w:bottom w:val="single" w:color="000000" w:sz="4" w:space="0"/>
              <w:right w:val="single" w:color="auto" w:sz="4" w:space="0"/>
            </w:tcBorders>
            <w:vAlign w:val="center"/>
          </w:tcPr>
          <w:p w14:paraId="2FF24280">
            <w:pPr>
              <w:jc w:val="center"/>
              <w:rPr>
                <w:rFonts w:hint="eastAsia" w:ascii="仿宋" w:hAnsi="仿宋" w:eastAsia="仿宋"/>
                <w:color w:val="000000"/>
                <w:szCs w:val="21"/>
              </w:rPr>
            </w:pPr>
          </w:p>
        </w:tc>
        <w:tc>
          <w:tcPr>
            <w:tcW w:w="766" w:type="dxa"/>
            <w:vMerge w:val="continue"/>
            <w:tcBorders>
              <w:top w:val="single" w:color="auto" w:sz="4" w:space="0"/>
              <w:left w:val="single" w:color="auto" w:sz="4" w:space="0"/>
              <w:bottom w:val="single" w:color="000000" w:sz="4" w:space="0"/>
              <w:right w:val="single" w:color="auto" w:sz="4" w:space="0"/>
            </w:tcBorders>
            <w:vAlign w:val="center"/>
          </w:tcPr>
          <w:p w14:paraId="7BEDFCA4">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74021F1A">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基础设施工程完成率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10702EA5">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基础设施工程完成率=（基础设施工程完成数量/基础设施工程数量）×100%，占比得分。</w:t>
            </w:r>
          </w:p>
        </w:tc>
      </w:tr>
      <w:tr w14:paraId="0CEE2FB9">
        <w:tblPrEx>
          <w:tblCellMar>
            <w:top w:w="0" w:type="dxa"/>
            <w:left w:w="108" w:type="dxa"/>
            <w:bottom w:w="0" w:type="dxa"/>
            <w:right w:w="108" w:type="dxa"/>
          </w:tblCellMar>
        </w:tblPrEx>
        <w:trPr>
          <w:trHeight w:val="728" w:hRule="atLeast"/>
        </w:trPr>
        <w:tc>
          <w:tcPr>
            <w:tcW w:w="747" w:type="dxa"/>
            <w:vMerge w:val="continue"/>
            <w:tcBorders>
              <w:top w:val="single" w:color="auto" w:sz="4" w:space="0"/>
              <w:left w:val="single" w:color="auto" w:sz="4" w:space="0"/>
              <w:bottom w:val="single" w:color="000000" w:sz="4" w:space="0"/>
              <w:right w:val="single" w:color="auto" w:sz="4" w:space="0"/>
            </w:tcBorders>
            <w:vAlign w:val="center"/>
          </w:tcPr>
          <w:p w14:paraId="13C4FC56">
            <w:pPr>
              <w:jc w:val="center"/>
              <w:rPr>
                <w:rFonts w:hint="eastAsia" w:ascii="仿宋" w:hAnsi="仿宋" w:eastAsia="仿宋"/>
                <w:color w:val="000000"/>
                <w:szCs w:val="21"/>
              </w:rPr>
            </w:pPr>
          </w:p>
        </w:tc>
        <w:tc>
          <w:tcPr>
            <w:tcW w:w="766" w:type="dxa"/>
            <w:vMerge w:val="continue"/>
            <w:tcBorders>
              <w:top w:val="single" w:color="auto" w:sz="4" w:space="0"/>
              <w:left w:val="single" w:color="auto" w:sz="4" w:space="0"/>
              <w:bottom w:val="single" w:color="000000" w:sz="4" w:space="0"/>
              <w:right w:val="single" w:color="auto" w:sz="4" w:space="0"/>
            </w:tcBorders>
            <w:vAlign w:val="center"/>
          </w:tcPr>
          <w:p w14:paraId="071130F5">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398FE5F2">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公共服务项目完成率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60753E91">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公共服务项目完成率=（公共服务项目完成数量/公共服务项目数量）×100%，占比得分。</w:t>
            </w:r>
          </w:p>
        </w:tc>
      </w:tr>
      <w:tr w14:paraId="440767BB">
        <w:tblPrEx>
          <w:tblCellMar>
            <w:top w:w="0" w:type="dxa"/>
            <w:left w:w="108" w:type="dxa"/>
            <w:bottom w:w="0" w:type="dxa"/>
            <w:right w:w="108" w:type="dxa"/>
          </w:tblCellMar>
        </w:tblPrEx>
        <w:trPr>
          <w:trHeight w:val="810" w:hRule="atLeast"/>
        </w:trPr>
        <w:tc>
          <w:tcPr>
            <w:tcW w:w="747" w:type="dxa"/>
            <w:vMerge w:val="continue"/>
            <w:tcBorders>
              <w:top w:val="single" w:color="auto" w:sz="4" w:space="0"/>
              <w:left w:val="single" w:color="auto" w:sz="4" w:space="0"/>
              <w:bottom w:val="single" w:color="000000" w:sz="4" w:space="0"/>
              <w:right w:val="single" w:color="auto" w:sz="4" w:space="0"/>
            </w:tcBorders>
            <w:vAlign w:val="center"/>
          </w:tcPr>
          <w:p w14:paraId="28A98707">
            <w:pPr>
              <w:jc w:val="center"/>
              <w:rPr>
                <w:rFonts w:hint="eastAsia" w:ascii="仿宋" w:hAnsi="仿宋" w:eastAsia="仿宋"/>
                <w:color w:val="000000"/>
                <w:szCs w:val="21"/>
              </w:rPr>
            </w:pPr>
          </w:p>
        </w:tc>
        <w:tc>
          <w:tcPr>
            <w:tcW w:w="766" w:type="dxa"/>
            <w:vMerge w:val="restart"/>
            <w:tcBorders>
              <w:top w:val="nil"/>
              <w:left w:val="nil"/>
              <w:bottom w:val="single" w:color="auto" w:sz="4" w:space="0"/>
              <w:right w:val="single" w:color="auto" w:sz="4" w:space="0"/>
            </w:tcBorders>
            <w:vAlign w:val="center"/>
          </w:tcPr>
          <w:p w14:paraId="0AADE193">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产出质量</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（12分）</w:t>
            </w:r>
          </w:p>
        </w:tc>
        <w:tc>
          <w:tcPr>
            <w:tcW w:w="1780" w:type="dxa"/>
            <w:tcBorders>
              <w:top w:val="nil"/>
              <w:left w:val="nil"/>
              <w:bottom w:val="single" w:color="auto" w:sz="4" w:space="0"/>
              <w:right w:val="single" w:color="auto" w:sz="4" w:space="0"/>
            </w:tcBorders>
            <w:vAlign w:val="center"/>
          </w:tcPr>
          <w:p w14:paraId="4BB38990">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产业发展项目验收合格率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41B125E4">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产业发展项目验收合格率=（验收通过的产业发展项目数/</w:t>
            </w:r>
            <w:r>
              <w:rPr>
                <w:rFonts w:hint="eastAsia" w:ascii="仿宋" w:hAnsi="仿宋" w:eastAsia="仿宋" w:cs="仿宋"/>
                <w:color w:val="000000"/>
                <w:kern w:val="0"/>
                <w:szCs w:val="21"/>
                <w:lang w:val="en-US" w:eastAsia="zh-CN" w:bidi="ar"/>
              </w:rPr>
              <w:t>开展验收的</w:t>
            </w:r>
            <w:r>
              <w:rPr>
                <w:rFonts w:hint="eastAsia" w:ascii="仿宋" w:hAnsi="仿宋" w:eastAsia="仿宋" w:cs="仿宋"/>
                <w:color w:val="000000"/>
                <w:kern w:val="0"/>
                <w:szCs w:val="21"/>
                <w:lang w:bidi="ar"/>
              </w:rPr>
              <w:t>产业发展项目数）×100%，占比得分。</w:t>
            </w:r>
          </w:p>
        </w:tc>
      </w:tr>
      <w:tr w14:paraId="0BE1459C">
        <w:tblPrEx>
          <w:tblCellMar>
            <w:top w:w="0" w:type="dxa"/>
            <w:left w:w="108" w:type="dxa"/>
            <w:bottom w:w="0" w:type="dxa"/>
            <w:right w:w="108" w:type="dxa"/>
          </w:tblCellMar>
        </w:tblPrEx>
        <w:trPr>
          <w:trHeight w:val="810" w:hRule="atLeast"/>
        </w:trPr>
        <w:tc>
          <w:tcPr>
            <w:tcW w:w="747" w:type="dxa"/>
            <w:vMerge w:val="continue"/>
            <w:tcBorders>
              <w:top w:val="single" w:color="auto" w:sz="4" w:space="0"/>
              <w:left w:val="single" w:color="auto" w:sz="4" w:space="0"/>
              <w:bottom w:val="single" w:color="000000" w:sz="4" w:space="0"/>
              <w:right w:val="single" w:color="auto" w:sz="4" w:space="0"/>
            </w:tcBorders>
            <w:vAlign w:val="center"/>
          </w:tcPr>
          <w:p w14:paraId="6B234AD8">
            <w:pPr>
              <w:jc w:val="center"/>
              <w:rPr>
                <w:rFonts w:hint="eastAsia" w:ascii="仿宋" w:hAnsi="仿宋" w:eastAsia="仿宋"/>
                <w:color w:val="000000"/>
                <w:szCs w:val="21"/>
              </w:rPr>
            </w:pPr>
          </w:p>
        </w:tc>
        <w:tc>
          <w:tcPr>
            <w:tcW w:w="766" w:type="dxa"/>
            <w:vMerge w:val="continue"/>
            <w:tcBorders>
              <w:top w:val="nil"/>
              <w:left w:val="nil"/>
              <w:bottom w:val="single" w:color="auto" w:sz="4" w:space="0"/>
              <w:right w:val="single" w:color="auto" w:sz="4" w:space="0"/>
            </w:tcBorders>
            <w:vAlign w:val="center"/>
          </w:tcPr>
          <w:p w14:paraId="43FB3F79">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18BEDA4E">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基础设施工程建设验收合格率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6CC9918A">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基础设施工程建设完成率=（验收通过的基础设施项目数/</w:t>
            </w:r>
            <w:r>
              <w:rPr>
                <w:rFonts w:hint="eastAsia" w:ascii="仿宋" w:hAnsi="仿宋" w:eastAsia="仿宋" w:cs="仿宋"/>
                <w:color w:val="000000"/>
                <w:kern w:val="0"/>
                <w:szCs w:val="21"/>
                <w:lang w:val="en-US" w:eastAsia="zh-CN" w:bidi="ar"/>
              </w:rPr>
              <w:t>开展验收的</w:t>
            </w:r>
            <w:r>
              <w:rPr>
                <w:rFonts w:hint="eastAsia" w:ascii="仿宋" w:hAnsi="仿宋" w:eastAsia="仿宋" w:cs="仿宋"/>
                <w:color w:val="000000"/>
                <w:kern w:val="0"/>
                <w:szCs w:val="21"/>
                <w:lang w:bidi="ar"/>
              </w:rPr>
              <w:t>基础设施项目数）×100%，占比得分。</w:t>
            </w:r>
          </w:p>
        </w:tc>
      </w:tr>
      <w:tr w14:paraId="495097FE">
        <w:tblPrEx>
          <w:tblCellMar>
            <w:top w:w="0" w:type="dxa"/>
            <w:left w:w="108" w:type="dxa"/>
            <w:bottom w:w="0" w:type="dxa"/>
            <w:right w:w="108" w:type="dxa"/>
          </w:tblCellMar>
        </w:tblPrEx>
        <w:trPr>
          <w:trHeight w:val="1080" w:hRule="atLeast"/>
        </w:trPr>
        <w:tc>
          <w:tcPr>
            <w:tcW w:w="747" w:type="dxa"/>
            <w:vMerge w:val="continue"/>
            <w:tcBorders>
              <w:top w:val="single" w:color="auto" w:sz="4" w:space="0"/>
              <w:left w:val="single" w:color="auto" w:sz="4" w:space="0"/>
              <w:bottom w:val="single" w:color="000000" w:sz="4" w:space="0"/>
              <w:right w:val="single" w:color="auto" w:sz="4" w:space="0"/>
            </w:tcBorders>
            <w:vAlign w:val="center"/>
          </w:tcPr>
          <w:p w14:paraId="5C38297E">
            <w:pPr>
              <w:jc w:val="center"/>
              <w:rPr>
                <w:rFonts w:hint="eastAsia" w:ascii="仿宋" w:hAnsi="仿宋" w:eastAsia="仿宋"/>
                <w:color w:val="000000"/>
                <w:szCs w:val="21"/>
              </w:rPr>
            </w:pPr>
          </w:p>
        </w:tc>
        <w:tc>
          <w:tcPr>
            <w:tcW w:w="766" w:type="dxa"/>
            <w:vMerge w:val="continue"/>
            <w:tcBorders>
              <w:top w:val="nil"/>
              <w:left w:val="nil"/>
              <w:bottom w:val="single" w:color="auto" w:sz="4" w:space="0"/>
              <w:right w:val="single" w:color="auto" w:sz="4" w:space="0"/>
            </w:tcBorders>
            <w:vAlign w:val="center"/>
          </w:tcPr>
          <w:p w14:paraId="719CACF9">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22A4C35F">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公共服务工程验收合格率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25E7D12E">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公共服务工程验收合格率=（验收通过的公共服务项目数/</w:t>
            </w:r>
            <w:r>
              <w:rPr>
                <w:rFonts w:hint="eastAsia" w:ascii="仿宋" w:hAnsi="仿宋" w:eastAsia="仿宋" w:cs="仿宋"/>
                <w:color w:val="000000"/>
                <w:kern w:val="0"/>
                <w:szCs w:val="21"/>
                <w:lang w:val="en-US" w:eastAsia="zh-CN" w:bidi="ar"/>
              </w:rPr>
              <w:t>开展验收的</w:t>
            </w:r>
            <w:r>
              <w:rPr>
                <w:rFonts w:hint="eastAsia" w:ascii="仿宋" w:hAnsi="仿宋" w:eastAsia="仿宋" w:cs="仿宋"/>
                <w:color w:val="000000"/>
                <w:kern w:val="0"/>
                <w:szCs w:val="21"/>
                <w:lang w:bidi="ar"/>
              </w:rPr>
              <w:t>公共服务项目数）×100%，占比得分。</w:t>
            </w:r>
          </w:p>
        </w:tc>
      </w:tr>
      <w:tr w14:paraId="119A1C1D">
        <w:tblPrEx>
          <w:tblCellMar>
            <w:top w:w="0" w:type="dxa"/>
            <w:left w:w="108" w:type="dxa"/>
            <w:bottom w:w="0" w:type="dxa"/>
            <w:right w:w="108" w:type="dxa"/>
          </w:tblCellMar>
        </w:tblPrEx>
        <w:trPr>
          <w:trHeight w:val="540" w:hRule="atLeast"/>
        </w:trPr>
        <w:tc>
          <w:tcPr>
            <w:tcW w:w="747" w:type="dxa"/>
            <w:vMerge w:val="continue"/>
            <w:tcBorders>
              <w:top w:val="nil"/>
              <w:left w:val="single" w:color="auto" w:sz="4" w:space="0"/>
              <w:bottom w:val="single" w:color="000000" w:sz="4" w:space="0"/>
              <w:right w:val="single" w:color="auto" w:sz="4" w:space="0"/>
            </w:tcBorders>
            <w:vAlign w:val="center"/>
          </w:tcPr>
          <w:p w14:paraId="33E3D3A6">
            <w:pPr>
              <w:jc w:val="center"/>
              <w:rPr>
                <w:rFonts w:hint="eastAsia" w:ascii="仿宋" w:hAnsi="仿宋" w:eastAsia="仿宋"/>
                <w:color w:val="000000"/>
                <w:szCs w:val="21"/>
              </w:rPr>
            </w:pPr>
          </w:p>
        </w:tc>
        <w:tc>
          <w:tcPr>
            <w:tcW w:w="766" w:type="dxa"/>
            <w:tcBorders>
              <w:top w:val="nil"/>
              <w:left w:val="single" w:color="auto" w:sz="4" w:space="0"/>
              <w:bottom w:val="single" w:color="000000" w:sz="4" w:space="0"/>
              <w:right w:val="single" w:color="auto" w:sz="4" w:space="0"/>
            </w:tcBorders>
            <w:vAlign w:val="center"/>
          </w:tcPr>
          <w:p w14:paraId="463B621E">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产出时效</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1780" w:type="dxa"/>
            <w:tcBorders>
              <w:top w:val="nil"/>
              <w:left w:val="nil"/>
              <w:bottom w:val="single" w:color="auto" w:sz="4" w:space="0"/>
              <w:right w:val="single" w:color="auto" w:sz="4" w:space="0"/>
            </w:tcBorders>
            <w:vAlign w:val="center"/>
          </w:tcPr>
          <w:p w14:paraId="6F2FF86E">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完工及时率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5490" w:type="dxa"/>
            <w:tcBorders>
              <w:top w:val="nil"/>
              <w:left w:val="nil"/>
              <w:bottom w:val="single" w:color="auto" w:sz="4" w:space="0"/>
              <w:right w:val="single" w:color="auto" w:sz="4" w:space="0"/>
            </w:tcBorders>
          </w:tcPr>
          <w:p w14:paraId="1E5A8481">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完工及时率=（2024年度完工项目按时建设完成数量/2024年度完工验收总项目数量）×100%，占比得分。</w:t>
            </w:r>
          </w:p>
        </w:tc>
      </w:tr>
      <w:tr w14:paraId="41BB45E1">
        <w:tblPrEx>
          <w:tblCellMar>
            <w:top w:w="0" w:type="dxa"/>
            <w:left w:w="108" w:type="dxa"/>
            <w:bottom w:w="0" w:type="dxa"/>
            <w:right w:w="108" w:type="dxa"/>
          </w:tblCellMar>
        </w:tblPrEx>
        <w:trPr>
          <w:trHeight w:val="540" w:hRule="atLeast"/>
        </w:trPr>
        <w:tc>
          <w:tcPr>
            <w:tcW w:w="747" w:type="dxa"/>
            <w:vMerge w:val="continue"/>
            <w:tcBorders>
              <w:top w:val="nil"/>
              <w:left w:val="single" w:color="auto" w:sz="4" w:space="0"/>
              <w:bottom w:val="single" w:color="000000" w:sz="4" w:space="0"/>
              <w:right w:val="single" w:color="auto" w:sz="4" w:space="0"/>
            </w:tcBorders>
            <w:vAlign w:val="center"/>
          </w:tcPr>
          <w:p w14:paraId="60353071">
            <w:pPr>
              <w:jc w:val="center"/>
              <w:rPr>
                <w:rFonts w:hint="eastAsia" w:ascii="仿宋" w:hAnsi="仿宋" w:eastAsia="仿宋"/>
                <w:color w:val="000000"/>
                <w:szCs w:val="21"/>
              </w:rPr>
            </w:pPr>
          </w:p>
        </w:tc>
        <w:tc>
          <w:tcPr>
            <w:tcW w:w="766" w:type="dxa"/>
            <w:tcBorders>
              <w:top w:val="nil"/>
              <w:left w:val="single" w:color="auto" w:sz="4" w:space="0"/>
              <w:bottom w:val="single" w:color="000000" w:sz="4" w:space="0"/>
              <w:right w:val="single" w:color="auto" w:sz="4" w:space="0"/>
            </w:tcBorders>
            <w:vAlign w:val="center"/>
          </w:tcPr>
          <w:p w14:paraId="739049D2">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产出成本</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1780" w:type="dxa"/>
            <w:tcBorders>
              <w:top w:val="nil"/>
              <w:left w:val="nil"/>
              <w:bottom w:val="single" w:color="auto" w:sz="4" w:space="0"/>
              <w:right w:val="single" w:color="auto" w:sz="4" w:space="0"/>
            </w:tcBorders>
            <w:vAlign w:val="center"/>
          </w:tcPr>
          <w:p w14:paraId="016CF747">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成本节约</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（3分）</w:t>
            </w:r>
          </w:p>
        </w:tc>
        <w:tc>
          <w:tcPr>
            <w:tcW w:w="5490" w:type="dxa"/>
            <w:tcBorders>
              <w:top w:val="nil"/>
              <w:left w:val="nil"/>
              <w:bottom w:val="single" w:color="auto" w:sz="4" w:space="0"/>
              <w:right w:val="single" w:color="auto" w:sz="4" w:space="0"/>
            </w:tcBorders>
          </w:tcPr>
          <w:p w14:paraId="4C57072E">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完工项目实际投资额较计划投资额相比，每节约一个项目得一分；每超额一个项目扣一分；持平不得分；最多得3分。</w:t>
            </w:r>
          </w:p>
        </w:tc>
      </w:tr>
      <w:tr w14:paraId="272681A8">
        <w:tblPrEx>
          <w:tblCellMar>
            <w:top w:w="0" w:type="dxa"/>
            <w:left w:w="108" w:type="dxa"/>
            <w:bottom w:w="0" w:type="dxa"/>
            <w:right w:w="108" w:type="dxa"/>
          </w:tblCellMar>
        </w:tblPrEx>
        <w:trPr>
          <w:trHeight w:val="810" w:hRule="atLeast"/>
        </w:trPr>
        <w:tc>
          <w:tcPr>
            <w:tcW w:w="747" w:type="dxa"/>
            <w:vMerge w:val="restart"/>
            <w:tcBorders>
              <w:top w:val="nil"/>
              <w:left w:val="single" w:color="auto" w:sz="4" w:space="0"/>
              <w:bottom w:val="single" w:color="000000" w:sz="4" w:space="0"/>
              <w:right w:val="single" w:color="auto" w:sz="4" w:space="0"/>
            </w:tcBorders>
            <w:vAlign w:val="center"/>
          </w:tcPr>
          <w:p w14:paraId="4874A9B2">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效</w:t>
            </w:r>
            <w:r>
              <w:rPr>
                <w:rFonts w:hint="eastAsia" w:ascii="仿宋" w:hAnsi="仿宋" w:eastAsia="仿宋" w:cs="仿宋"/>
                <w:color w:val="000000"/>
                <w:kern w:val="0"/>
                <w:szCs w:val="21"/>
                <w:lang w:val="en-US" w:eastAsia="zh-CN" w:bidi="ar"/>
              </w:rPr>
              <w:t>益</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（32分）</w:t>
            </w:r>
          </w:p>
        </w:tc>
        <w:tc>
          <w:tcPr>
            <w:tcW w:w="766" w:type="dxa"/>
            <w:vMerge w:val="restart"/>
            <w:tcBorders>
              <w:top w:val="nil"/>
              <w:left w:val="nil"/>
              <w:bottom w:val="single" w:color="auto" w:sz="4" w:space="0"/>
              <w:right w:val="single" w:color="auto" w:sz="4" w:space="0"/>
            </w:tcBorders>
            <w:vAlign w:val="center"/>
          </w:tcPr>
          <w:p w14:paraId="3E9EED27">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社会效益</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（8分）</w:t>
            </w:r>
          </w:p>
        </w:tc>
        <w:tc>
          <w:tcPr>
            <w:tcW w:w="1780" w:type="dxa"/>
            <w:tcBorders>
              <w:top w:val="nil"/>
              <w:left w:val="nil"/>
              <w:bottom w:val="single" w:color="auto" w:sz="4" w:space="0"/>
              <w:right w:val="single" w:color="auto" w:sz="4" w:space="0"/>
            </w:tcBorders>
            <w:vAlign w:val="center"/>
          </w:tcPr>
          <w:p w14:paraId="71FCC2B0">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政策知晓率</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08C5CBC2">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政策知晓率=公示项目数/项目总数*100%，占比得分。</w:t>
            </w:r>
          </w:p>
        </w:tc>
      </w:tr>
      <w:tr w14:paraId="45ECBB03">
        <w:tblPrEx>
          <w:tblCellMar>
            <w:top w:w="0" w:type="dxa"/>
            <w:left w:w="108" w:type="dxa"/>
            <w:bottom w:w="0" w:type="dxa"/>
            <w:right w:w="108" w:type="dxa"/>
          </w:tblCellMar>
        </w:tblPrEx>
        <w:trPr>
          <w:trHeight w:val="810" w:hRule="atLeast"/>
        </w:trPr>
        <w:tc>
          <w:tcPr>
            <w:tcW w:w="747" w:type="dxa"/>
            <w:vMerge w:val="continue"/>
            <w:tcBorders>
              <w:top w:val="nil"/>
              <w:left w:val="single" w:color="auto" w:sz="4" w:space="0"/>
              <w:bottom w:val="single" w:color="000000" w:sz="4" w:space="0"/>
              <w:right w:val="single" w:color="auto" w:sz="4" w:space="0"/>
            </w:tcBorders>
            <w:vAlign w:val="center"/>
          </w:tcPr>
          <w:p w14:paraId="0B48DC02">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052CE144">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25CAAB72">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就业带动</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6B2001AA">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通过省级示范创建项目能否为当地创造更多的就业岗位，带动周边创业，就业人数增长可得满分，否则不得分。</w:t>
            </w:r>
          </w:p>
        </w:tc>
      </w:tr>
      <w:tr w14:paraId="28F1D162">
        <w:tblPrEx>
          <w:tblCellMar>
            <w:top w:w="0" w:type="dxa"/>
            <w:left w:w="108" w:type="dxa"/>
            <w:bottom w:w="0" w:type="dxa"/>
            <w:right w:w="108" w:type="dxa"/>
          </w:tblCellMar>
        </w:tblPrEx>
        <w:trPr>
          <w:trHeight w:val="540" w:hRule="atLeast"/>
        </w:trPr>
        <w:tc>
          <w:tcPr>
            <w:tcW w:w="747" w:type="dxa"/>
            <w:vMerge w:val="continue"/>
            <w:tcBorders>
              <w:top w:val="nil"/>
              <w:left w:val="single" w:color="auto" w:sz="4" w:space="0"/>
              <w:bottom w:val="single" w:color="000000" w:sz="4" w:space="0"/>
              <w:right w:val="single" w:color="auto" w:sz="4" w:space="0"/>
            </w:tcBorders>
            <w:vAlign w:val="center"/>
          </w:tcPr>
          <w:p w14:paraId="25CF3D6E">
            <w:pPr>
              <w:jc w:val="center"/>
              <w:rPr>
                <w:rFonts w:hint="eastAsia" w:ascii="仿宋" w:hAnsi="仿宋" w:eastAsia="仿宋"/>
                <w:color w:val="000000"/>
                <w:szCs w:val="21"/>
              </w:rPr>
            </w:pPr>
          </w:p>
        </w:tc>
        <w:tc>
          <w:tcPr>
            <w:tcW w:w="766" w:type="dxa"/>
            <w:tcBorders>
              <w:top w:val="nil"/>
              <w:left w:val="single" w:color="auto" w:sz="4" w:space="0"/>
              <w:bottom w:val="single" w:color="000000" w:sz="4" w:space="0"/>
              <w:right w:val="single" w:color="auto" w:sz="4" w:space="0"/>
            </w:tcBorders>
            <w:vAlign w:val="center"/>
          </w:tcPr>
          <w:p w14:paraId="1A74688D">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经济效益</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1780" w:type="dxa"/>
            <w:tcBorders>
              <w:top w:val="nil"/>
              <w:left w:val="nil"/>
              <w:bottom w:val="single" w:color="auto" w:sz="4" w:space="0"/>
              <w:right w:val="single" w:color="auto" w:sz="4" w:space="0"/>
            </w:tcBorders>
            <w:vAlign w:val="center"/>
          </w:tcPr>
          <w:p w14:paraId="7EDB968D">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村集体收入增长</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（4分）</w:t>
            </w:r>
          </w:p>
        </w:tc>
        <w:tc>
          <w:tcPr>
            <w:tcW w:w="5490" w:type="dxa"/>
            <w:tcBorders>
              <w:top w:val="nil"/>
              <w:left w:val="nil"/>
              <w:bottom w:val="single" w:color="auto" w:sz="4" w:space="0"/>
              <w:right w:val="single" w:color="auto" w:sz="4" w:space="0"/>
            </w:tcBorders>
          </w:tcPr>
          <w:p w14:paraId="492B9B4E">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通过产业发展项目，可增加村财收入得满分，项目未能增加村财收入不得分。</w:t>
            </w:r>
          </w:p>
        </w:tc>
      </w:tr>
      <w:tr w14:paraId="00C9E166">
        <w:tblPrEx>
          <w:tblCellMar>
            <w:top w:w="0" w:type="dxa"/>
            <w:left w:w="108" w:type="dxa"/>
            <w:bottom w:w="0" w:type="dxa"/>
            <w:right w:w="108" w:type="dxa"/>
          </w:tblCellMar>
        </w:tblPrEx>
        <w:trPr>
          <w:trHeight w:val="810" w:hRule="atLeast"/>
        </w:trPr>
        <w:tc>
          <w:tcPr>
            <w:tcW w:w="747" w:type="dxa"/>
            <w:vMerge w:val="continue"/>
            <w:tcBorders>
              <w:top w:val="nil"/>
              <w:left w:val="single" w:color="auto" w:sz="4" w:space="0"/>
              <w:bottom w:val="single" w:color="000000" w:sz="4" w:space="0"/>
              <w:right w:val="single" w:color="auto" w:sz="4" w:space="0"/>
            </w:tcBorders>
            <w:vAlign w:val="center"/>
          </w:tcPr>
          <w:p w14:paraId="5FFA7278">
            <w:pPr>
              <w:jc w:val="center"/>
              <w:rPr>
                <w:rFonts w:hint="eastAsia" w:ascii="仿宋" w:hAnsi="仿宋" w:eastAsia="仿宋"/>
                <w:color w:val="000000"/>
                <w:szCs w:val="21"/>
              </w:rPr>
            </w:pPr>
          </w:p>
        </w:tc>
        <w:tc>
          <w:tcPr>
            <w:tcW w:w="766" w:type="dxa"/>
            <w:vMerge w:val="restart"/>
            <w:tcBorders>
              <w:top w:val="nil"/>
              <w:left w:val="single" w:color="auto" w:sz="4" w:space="0"/>
              <w:bottom w:val="single" w:color="000000" w:sz="4" w:space="0"/>
              <w:right w:val="single" w:color="auto" w:sz="4" w:space="0"/>
            </w:tcBorders>
            <w:vAlign w:val="center"/>
          </w:tcPr>
          <w:p w14:paraId="26064594">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可持续影响</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（10分）</w:t>
            </w:r>
          </w:p>
        </w:tc>
        <w:tc>
          <w:tcPr>
            <w:tcW w:w="1780" w:type="dxa"/>
            <w:tcBorders>
              <w:top w:val="nil"/>
              <w:left w:val="nil"/>
              <w:bottom w:val="single" w:color="auto" w:sz="4" w:space="0"/>
              <w:right w:val="single" w:color="auto" w:sz="4" w:space="0"/>
            </w:tcBorders>
            <w:vAlign w:val="center"/>
          </w:tcPr>
          <w:p w14:paraId="59A80C64">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设施设备维护保养实施计划</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w:t>
            </w:r>
            <w:r>
              <w:rPr>
                <w:rFonts w:hint="eastAsia" w:ascii="仿宋" w:hAnsi="仿宋" w:eastAsia="仿宋" w:cs="仿宋"/>
                <w:color w:val="000000"/>
                <w:kern w:val="0"/>
                <w:szCs w:val="21"/>
                <w:lang w:val="en-US" w:eastAsia="zh-CN" w:bidi="ar"/>
              </w:rPr>
              <w:t>3</w:t>
            </w:r>
            <w:r>
              <w:rPr>
                <w:rFonts w:hint="eastAsia" w:ascii="仿宋" w:hAnsi="仿宋" w:eastAsia="仿宋" w:cs="仿宋"/>
                <w:color w:val="000000"/>
                <w:kern w:val="0"/>
                <w:szCs w:val="21"/>
                <w:lang w:bidi="ar"/>
              </w:rPr>
              <w:t>分）</w:t>
            </w:r>
          </w:p>
        </w:tc>
        <w:tc>
          <w:tcPr>
            <w:tcW w:w="5490" w:type="dxa"/>
            <w:tcBorders>
              <w:top w:val="nil"/>
              <w:left w:val="nil"/>
              <w:bottom w:val="single" w:color="auto" w:sz="4" w:space="0"/>
              <w:right w:val="single" w:color="auto" w:sz="4" w:space="0"/>
            </w:tcBorders>
          </w:tcPr>
          <w:p w14:paraId="1EF03910">
            <w:pPr>
              <w:widowControl/>
              <w:jc w:val="left"/>
              <w:textAlignment w:val="top"/>
              <w:rPr>
                <w:rFonts w:hint="eastAsia" w:ascii="仿宋" w:hAnsi="仿宋" w:eastAsia="仿宋"/>
                <w:color w:val="000000"/>
                <w:szCs w:val="21"/>
              </w:rPr>
            </w:pPr>
            <w:r>
              <w:rPr>
                <w:rFonts w:hint="eastAsia" w:ascii="仿宋" w:hAnsi="仿宋" w:eastAsia="仿宋" w:cs="仿宋"/>
                <w:color w:val="000000"/>
                <w:kern w:val="0"/>
                <w:szCs w:val="21"/>
                <w:lang w:bidi="ar"/>
              </w:rPr>
              <w:t>①项目移交后，是否制定设施维护保养年度计划（含资金预算、责任到人）；</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②是否建立村民监督维护机制（如巡查小组、举报渠道）。</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以上每条要素各占权重的50%，每有一条不符合，扣除对应的权重分，扣完为止。</w:t>
            </w:r>
          </w:p>
        </w:tc>
      </w:tr>
      <w:tr w14:paraId="51EC35ED">
        <w:tblPrEx>
          <w:tblCellMar>
            <w:top w:w="0" w:type="dxa"/>
            <w:left w:w="108" w:type="dxa"/>
            <w:bottom w:w="0" w:type="dxa"/>
            <w:right w:w="108" w:type="dxa"/>
          </w:tblCellMar>
        </w:tblPrEx>
        <w:trPr>
          <w:trHeight w:val="810" w:hRule="atLeast"/>
        </w:trPr>
        <w:tc>
          <w:tcPr>
            <w:tcW w:w="747" w:type="dxa"/>
            <w:vMerge w:val="continue"/>
            <w:tcBorders>
              <w:top w:val="nil"/>
              <w:left w:val="single" w:color="auto" w:sz="4" w:space="0"/>
              <w:bottom w:val="single" w:color="000000" w:sz="4" w:space="0"/>
              <w:right w:val="single" w:color="auto" w:sz="4" w:space="0"/>
            </w:tcBorders>
            <w:vAlign w:val="center"/>
          </w:tcPr>
          <w:p w14:paraId="5BD8BD93">
            <w:pPr>
              <w:jc w:val="center"/>
              <w:rPr>
                <w:rFonts w:hint="eastAsia" w:ascii="仿宋" w:hAnsi="仿宋" w:eastAsia="仿宋"/>
                <w:color w:val="000000"/>
                <w:szCs w:val="21"/>
              </w:rPr>
            </w:pPr>
          </w:p>
        </w:tc>
        <w:tc>
          <w:tcPr>
            <w:tcW w:w="766" w:type="dxa"/>
            <w:vMerge w:val="continue"/>
            <w:tcBorders>
              <w:top w:val="nil"/>
              <w:left w:val="single" w:color="auto" w:sz="4" w:space="0"/>
              <w:bottom w:val="single" w:color="000000" w:sz="4" w:space="0"/>
              <w:right w:val="single" w:color="auto" w:sz="4" w:space="0"/>
            </w:tcBorders>
            <w:vAlign w:val="center"/>
          </w:tcPr>
          <w:p w14:paraId="24EDA119">
            <w:pPr>
              <w:jc w:val="center"/>
              <w:rPr>
                <w:rFonts w:hint="eastAsia" w:ascii="仿宋" w:hAnsi="仿宋" w:eastAsia="仿宋"/>
                <w:color w:val="000000"/>
                <w:szCs w:val="21"/>
              </w:rPr>
            </w:pPr>
          </w:p>
        </w:tc>
        <w:tc>
          <w:tcPr>
            <w:tcW w:w="1780" w:type="dxa"/>
            <w:tcBorders>
              <w:top w:val="nil"/>
              <w:left w:val="nil"/>
              <w:bottom w:val="single" w:color="auto" w:sz="4" w:space="0"/>
              <w:right w:val="single" w:color="auto" w:sz="4" w:space="0"/>
            </w:tcBorders>
            <w:vAlign w:val="center"/>
          </w:tcPr>
          <w:p w14:paraId="4B4A0237">
            <w:pPr>
              <w:widowControl/>
              <w:jc w:val="center"/>
              <w:textAlignment w:val="center"/>
              <w:rPr>
                <w:rFonts w:hint="eastAsia" w:ascii="仿宋" w:hAnsi="仿宋" w:eastAsia="仿宋"/>
                <w:color w:val="000000"/>
                <w:szCs w:val="21"/>
              </w:rPr>
            </w:pPr>
            <w:r>
              <w:rPr>
                <w:rFonts w:hint="eastAsia" w:ascii="仿宋" w:hAnsi="仿宋" w:eastAsia="仿宋" w:cs="仿宋"/>
                <w:color w:val="000000"/>
                <w:kern w:val="0"/>
                <w:szCs w:val="21"/>
                <w:lang w:bidi="ar"/>
              </w:rPr>
              <w:t>示范村/镇创建</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w:t>
            </w:r>
            <w:r>
              <w:rPr>
                <w:rFonts w:hint="eastAsia" w:ascii="仿宋" w:hAnsi="仿宋" w:eastAsia="仿宋" w:cs="仿宋"/>
                <w:color w:val="000000"/>
                <w:kern w:val="0"/>
                <w:szCs w:val="21"/>
                <w:lang w:val="en-US" w:eastAsia="zh-CN" w:bidi="ar"/>
              </w:rPr>
              <w:t>7</w:t>
            </w:r>
            <w:r>
              <w:rPr>
                <w:rFonts w:hint="eastAsia" w:ascii="仿宋" w:hAnsi="仿宋" w:eastAsia="仿宋" w:cs="仿宋"/>
                <w:color w:val="000000"/>
                <w:kern w:val="0"/>
                <w:szCs w:val="21"/>
                <w:lang w:bidi="ar"/>
              </w:rPr>
              <w:t>分）</w:t>
            </w:r>
          </w:p>
        </w:tc>
        <w:tc>
          <w:tcPr>
            <w:tcW w:w="5490" w:type="dxa"/>
            <w:tcBorders>
              <w:top w:val="nil"/>
              <w:left w:val="nil"/>
              <w:bottom w:val="single" w:color="auto" w:sz="4" w:space="0"/>
              <w:right w:val="single" w:color="auto" w:sz="4" w:space="0"/>
            </w:tcBorders>
          </w:tcPr>
          <w:p w14:paraId="7143D26B">
            <w:pPr>
              <w:widowControl/>
              <w:jc w:val="left"/>
              <w:textAlignment w:val="top"/>
              <w:rPr>
                <w:rFonts w:hint="eastAsia" w:ascii="仿宋" w:hAnsi="仿宋" w:eastAsia="仿宋"/>
                <w:color w:val="000000"/>
                <w:szCs w:val="21"/>
                <w:lang w:eastAsia="zh-CN"/>
              </w:rPr>
            </w:pPr>
            <w:r>
              <w:rPr>
                <w:rFonts w:hint="eastAsia" w:ascii="仿宋" w:hAnsi="仿宋" w:eastAsia="仿宋"/>
                <w:color w:val="000000"/>
                <w:szCs w:val="21"/>
              </w:rPr>
              <w:t>省级乡村振兴示范创建对象中每有1个示范创建对象被认定为省级乡村振兴示范村得2分</w:t>
            </w:r>
            <w:r>
              <w:rPr>
                <w:rFonts w:hint="eastAsia" w:ascii="仿宋" w:hAnsi="仿宋" w:eastAsia="仿宋"/>
                <w:color w:val="000000"/>
                <w:szCs w:val="21"/>
                <w:lang w:eastAsia="zh-CN"/>
              </w:rPr>
              <w:t>；</w:t>
            </w:r>
            <w:r>
              <w:rPr>
                <w:rFonts w:hint="eastAsia" w:ascii="仿宋" w:hAnsi="仿宋" w:eastAsia="仿宋"/>
                <w:color w:val="000000"/>
                <w:szCs w:val="21"/>
              </w:rPr>
              <w:t>被认定为省级乡村振兴示范乡镇得3分。</w:t>
            </w:r>
          </w:p>
        </w:tc>
      </w:tr>
    </w:tbl>
    <w:p w14:paraId="6DDDA408">
      <w:pPr>
        <w:pStyle w:val="7"/>
        <w:numPr>
          <w:ilvl w:val="0"/>
          <w:numId w:val="0"/>
        </w:numPr>
        <w:tabs>
          <w:tab w:val="clear" w:pos="2040"/>
        </w:tabs>
      </w:pPr>
    </w:p>
    <w:p w14:paraId="6AEAA610">
      <w:pPr>
        <w:widowControl/>
        <w:jc w:val="left"/>
      </w:pPr>
      <w:r>
        <w:br w:type="page"/>
      </w:r>
    </w:p>
    <w:p w14:paraId="46F1A807">
      <w:pPr>
        <w:spacing w:line="360" w:lineRule="auto"/>
        <w:outlineLvl w:val="0"/>
        <w:rPr>
          <w:rFonts w:hint="eastAsia" w:ascii="仿宋" w:hAnsi="仿宋" w:eastAsia="仿宋" w:cs="仿宋"/>
          <w:b/>
          <w:bCs/>
          <w:sz w:val="28"/>
          <w:szCs w:val="28"/>
          <w:lang w:val="zh-CN"/>
        </w:rPr>
      </w:pPr>
      <w:bookmarkStart w:id="178" w:name="_Toc205852140"/>
      <w:bookmarkStart w:id="179" w:name="_Toc184981083"/>
      <w:bookmarkStart w:id="180" w:name="_Toc11980"/>
      <w:bookmarkStart w:id="181" w:name="_Toc26326"/>
      <w:bookmarkStart w:id="182" w:name="_Toc1021"/>
      <w:bookmarkStart w:id="183" w:name="_Toc184981321"/>
      <w:bookmarkStart w:id="184" w:name="_Toc26838"/>
      <w:r>
        <w:rPr>
          <w:rFonts w:hint="eastAsia" w:ascii="仿宋" w:hAnsi="仿宋" w:eastAsia="仿宋" w:cs="仿宋"/>
          <w:b/>
          <w:bCs/>
          <w:sz w:val="28"/>
          <w:szCs w:val="28"/>
          <w:lang w:val="zh-CN"/>
        </w:rPr>
        <w:t>附录</w:t>
      </w:r>
      <w:r>
        <w:rPr>
          <w:rFonts w:hint="eastAsia" w:ascii="仿宋" w:hAnsi="仿宋" w:eastAsia="仿宋" w:cs="仿宋"/>
          <w:b/>
          <w:bCs/>
          <w:sz w:val="28"/>
          <w:szCs w:val="28"/>
        </w:rPr>
        <w:t xml:space="preserve">  </w:t>
      </w:r>
      <w:r>
        <w:rPr>
          <w:rFonts w:hint="eastAsia" w:ascii="仿宋" w:hAnsi="仿宋" w:eastAsia="仿宋" w:cs="仿宋"/>
          <w:b/>
          <w:bCs/>
          <w:sz w:val="28"/>
          <w:szCs w:val="28"/>
          <w:lang w:val="zh-CN"/>
        </w:rPr>
        <w:t>石狮市2024年省级示范创建专项资金问卷调查</w:t>
      </w:r>
      <w:bookmarkEnd w:id="178"/>
      <w:bookmarkEnd w:id="179"/>
      <w:bookmarkEnd w:id="180"/>
      <w:bookmarkEnd w:id="181"/>
      <w:bookmarkEnd w:id="182"/>
      <w:bookmarkEnd w:id="183"/>
      <w:bookmarkEnd w:id="184"/>
    </w:p>
    <w:p w14:paraId="3FC7E3E4">
      <w:pPr>
        <w:rPr>
          <w:color w:val="000000"/>
          <w:szCs w:val="21"/>
        </w:rPr>
      </w:pPr>
    </w:p>
    <w:p w14:paraId="727E8960">
      <w:pPr>
        <w:spacing w:line="360" w:lineRule="auto"/>
        <w:rPr>
          <w:rFonts w:hint="eastAsia" w:ascii="仿宋" w:hAnsi="仿宋" w:eastAsia="仿宋" w:cs="仿宋"/>
          <w:sz w:val="24"/>
        </w:rPr>
      </w:pPr>
      <w:r>
        <w:rPr>
          <w:rFonts w:hint="eastAsia" w:ascii="仿宋" w:hAnsi="仿宋" w:eastAsia="仿宋" w:cs="仿宋"/>
          <w:sz w:val="24"/>
        </w:rPr>
        <w:t>来自：</w:t>
      </w:r>
      <w:r>
        <w:rPr>
          <w:rFonts w:hint="eastAsia" w:ascii="仿宋" w:hAnsi="仿宋" w:eastAsia="仿宋" w:cs="仿宋"/>
          <w:sz w:val="24"/>
          <w:u w:val="single"/>
        </w:rPr>
        <w:t xml:space="preserve">XX镇XX村  </w:t>
      </w:r>
      <w:r>
        <w:rPr>
          <w:rFonts w:hint="eastAsia" w:ascii="仿宋" w:hAnsi="仿宋" w:eastAsia="仿宋" w:cs="仿宋"/>
          <w:sz w:val="24"/>
        </w:rPr>
        <w:t xml:space="preserve">     填制人：</w:t>
      </w:r>
      <w:r>
        <w:rPr>
          <w:rFonts w:hint="eastAsia" w:ascii="仿宋" w:hAnsi="仿宋" w:eastAsia="仿宋" w:cs="仿宋"/>
          <w:sz w:val="24"/>
          <w:u w:val="single"/>
        </w:rPr>
        <w:t xml:space="preserve">           </w:t>
      </w:r>
      <w:r>
        <w:rPr>
          <w:rFonts w:hint="eastAsia" w:ascii="仿宋" w:hAnsi="仿宋" w:eastAsia="仿宋" w:cs="仿宋"/>
          <w:sz w:val="24"/>
        </w:rPr>
        <w:t xml:space="preserve">   联系方式：</w:t>
      </w:r>
      <w:r>
        <w:rPr>
          <w:rFonts w:ascii="仿宋" w:hAnsi="仿宋" w:eastAsia="仿宋" w:cs="仿宋"/>
          <w:sz w:val="24"/>
          <w:u w:val="single"/>
        </w:rPr>
        <w:tab/>
      </w:r>
      <w:r>
        <w:rPr>
          <w:rFonts w:hint="eastAsia" w:ascii="仿宋" w:hAnsi="仿宋" w:eastAsia="仿宋" w:cs="仿宋"/>
          <w:sz w:val="24"/>
          <w:u w:val="single"/>
        </w:rPr>
        <w:t xml:space="preserve">       </w:t>
      </w:r>
      <w:r>
        <w:rPr>
          <w:rFonts w:ascii="仿宋" w:hAnsi="仿宋" w:eastAsia="仿宋" w:cs="仿宋"/>
          <w:sz w:val="24"/>
          <w:u w:val="single"/>
        </w:rPr>
        <w:tab/>
      </w:r>
      <w:r>
        <w:rPr>
          <w:rFonts w:hint="eastAsia" w:ascii="仿宋" w:hAnsi="仿宋" w:eastAsia="仿宋" w:cs="仿宋"/>
          <w:sz w:val="24"/>
          <w:u w:val="single"/>
        </w:rPr>
        <w:t xml:space="preserve"> </w:t>
      </w:r>
    </w:p>
    <w:p w14:paraId="7B69291F">
      <w:pPr>
        <w:pStyle w:val="22"/>
        <w:numPr>
          <w:ilvl w:val="0"/>
          <w:numId w:val="2"/>
        </w:numPr>
        <w:spacing w:line="360" w:lineRule="auto"/>
        <w:rPr>
          <w:rFonts w:hint="eastAsia" w:ascii="仿宋" w:hAnsi="仿宋" w:eastAsia="仿宋" w:cs="仿宋"/>
          <w:sz w:val="24"/>
          <w:u w:val="single"/>
        </w:rPr>
      </w:pPr>
      <w:r>
        <w:rPr>
          <w:rFonts w:hint="eastAsia" w:ascii="仿宋" w:hAnsi="仿宋" w:eastAsia="仿宋" w:cs="仿宋"/>
          <w:sz w:val="24"/>
        </w:rPr>
        <w:t>本村2024年乡村振兴示范创建中开展的项目及项目类型（产业发展/基础设施/公共服务）：</w:t>
      </w:r>
    </w:p>
    <w:p w14:paraId="0C5B9735">
      <w:pPr>
        <w:pStyle w:val="22"/>
        <w:spacing w:line="360" w:lineRule="auto"/>
        <w:ind w:left="360"/>
        <w:rPr>
          <w:rFonts w:hint="eastAsia" w:ascii="仿宋" w:hAnsi="仿宋" w:eastAsia="仿宋" w:cs="仿宋"/>
          <w:sz w:val="24"/>
          <w:u w:val="single"/>
        </w:rPr>
      </w:pPr>
      <w:r>
        <w:rPr>
          <w:rFonts w:hint="eastAsia" w:ascii="仿宋" w:hAnsi="仿宋" w:eastAsia="仿宋" w:cs="仿宋"/>
          <w:sz w:val="24"/>
          <w:u w:val="single"/>
        </w:rPr>
        <w:t>XX项目-项目类型</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p>
    <w:p w14:paraId="30C472FE">
      <w:pPr>
        <w:pStyle w:val="22"/>
        <w:numPr>
          <w:ilvl w:val="0"/>
          <w:numId w:val="2"/>
        </w:numPr>
        <w:spacing w:line="360" w:lineRule="auto"/>
        <w:rPr>
          <w:rFonts w:hint="eastAsia" w:ascii="仿宋" w:hAnsi="仿宋" w:eastAsia="仿宋" w:cs="仿宋"/>
          <w:sz w:val="24"/>
        </w:rPr>
      </w:pPr>
      <w:r>
        <w:rPr>
          <w:rFonts w:hint="eastAsia" w:ascii="仿宋" w:hAnsi="仿宋" w:eastAsia="仿宋" w:cs="仿宋"/>
          <w:sz w:val="24"/>
        </w:rPr>
        <w:t>以上开展的项目中有进行不少于5个工作日公示的项目有（照片佐证）：</w:t>
      </w:r>
    </w:p>
    <w:p w14:paraId="7B7C5096">
      <w:pPr>
        <w:pStyle w:val="22"/>
        <w:spacing w:line="360" w:lineRule="auto"/>
        <w:ind w:left="360"/>
        <w:rPr>
          <w:rFonts w:hint="eastAsia" w:ascii="仿宋" w:hAnsi="仿宋" w:eastAsia="仿宋" w:cs="仿宋"/>
          <w:sz w:val="24"/>
          <w:u w:val="single"/>
        </w:rPr>
      </w:pPr>
      <w:r>
        <w:rPr>
          <w:rFonts w:ascii="仿宋" w:hAnsi="仿宋" w:eastAsia="仿宋" w:cs="仿宋"/>
          <w:sz w:val="24"/>
          <w:u w:val="single"/>
        </w:rPr>
        <w:tab/>
      </w:r>
      <w:r>
        <w:rPr>
          <w:rFonts w:ascii="仿宋" w:hAnsi="仿宋" w:eastAsia="仿宋" w:cs="仿宋"/>
          <w:sz w:val="24"/>
          <w:u w:val="single"/>
        </w:rPr>
        <w:tab/>
      </w:r>
      <w:r>
        <w:rPr>
          <w:rFonts w:hint="eastAsia" w:ascii="仿宋" w:hAnsi="仿宋" w:eastAsia="仿宋" w:cs="仿宋"/>
          <w:sz w:val="24"/>
          <w:u w:val="single"/>
        </w:rPr>
        <w:t xml:space="preserve"> </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p>
    <w:p w14:paraId="6B2C9448">
      <w:pPr>
        <w:pStyle w:val="22"/>
        <w:numPr>
          <w:ilvl w:val="0"/>
          <w:numId w:val="2"/>
        </w:numPr>
        <w:spacing w:line="360" w:lineRule="auto"/>
        <w:rPr>
          <w:rFonts w:hint="eastAsia" w:ascii="仿宋" w:hAnsi="仿宋" w:eastAsia="仿宋" w:cs="仿宋"/>
          <w:sz w:val="24"/>
        </w:rPr>
      </w:pPr>
      <w:r>
        <w:rPr>
          <w:rFonts w:hint="eastAsia" w:ascii="仿宋" w:hAnsi="仿宋" w:eastAsia="仿宋" w:cs="仿宋"/>
          <w:sz w:val="24"/>
        </w:rPr>
        <w:t>以上项目于本年度按时完成竣工验收的有（竣工验收报告佐证）：</w:t>
      </w:r>
    </w:p>
    <w:p w14:paraId="28418FDC">
      <w:pPr>
        <w:pStyle w:val="22"/>
        <w:spacing w:line="360" w:lineRule="auto"/>
        <w:ind w:left="360"/>
        <w:rPr>
          <w:rFonts w:hint="eastAsia" w:ascii="仿宋" w:hAnsi="仿宋" w:eastAsia="仿宋" w:cs="仿宋"/>
          <w:sz w:val="24"/>
        </w:rPr>
      </w:pPr>
      <w:r>
        <w:rPr>
          <w:rFonts w:ascii="仿宋" w:hAnsi="仿宋" w:eastAsia="仿宋" w:cs="仿宋"/>
          <w:sz w:val="24"/>
          <w:u w:val="single"/>
        </w:rPr>
        <w:tab/>
      </w:r>
      <w:r>
        <w:rPr>
          <w:rFonts w:ascii="仿宋" w:hAnsi="仿宋" w:eastAsia="仿宋" w:cs="仿宋"/>
          <w:sz w:val="24"/>
          <w:u w:val="single"/>
        </w:rPr>
        <w:tab/>
      </w:r>
      <w:r>
        <w:rPr>
          <w:rFonts w:hint="eastAsia" w:ascii="仿宋" w:hAnsi="仿宋" w:eastAsia="仿宋" w:cs="仿宋"/>
          <w:sz w:val="24"/>
          <w:u w:val="single"/>
        </w:rPr>
        <w:t xml:space="preserve"> </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p>
    <w:p w14:paraId="7638AE94">
      <w:pPr>
        <w:pStyle w:val="22"/>
        <w:numPr>
          <w:ilvl w:val="0"/>
          <w:numId w:val="2"/>
        </w:numPr>
        <w:spacing w:line="360" w:lineRule="auto"/>
        <w:rPr>
          <w:rFonts w:hint="eastAsia" w:ascii="仿宋" w:hAnsi="仿宋" w:eastAsia="仿宋" w:cs="仿宋"/>
          <w:sz w:val="24"/>
        </w:rPr>
      </w:pPr>
      <w:r>
        <w:rPr>
          <w:rFonts w:hint="eastAsia" w:ascii="仿宋" w:hAnsi="仿宋" w:eastAsia="仿宋" w:cs="仿宋"/>
          <w:sz w:val="24"/>
        </w:rPr>
        <w:t>以上项目完工后是否形成固定资产管理制度，制定设施维护保养年度计划（含资金预算、责任到人 ），建立村民监督维护机制（如巡查小组、举报渠道）？（制度文件等佐证）</w:t>
      </w:r>
    </w:p>
    <w:p w14:paraId="778E64CA">
      <w:pPr>
        <w:pStyle w:val="22"/>
        <w:spacing w:line="360" w:lineRule="auto"/>
        <w:ind w:left="360"/>
        <w:rPr>
          <w:rFonts w:hint="eastAsia" w:ascii="仿宋" w:hAnsi="仿宋" w:eastAsia="仿宋" w:cs="仿宋"/>
          <w:sz w:val="24"/>
          <w:u w:val="single"/>
        </w:rPr>
      </w:pP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bookmarkStart w:id="185" w:name="_Hlk204079303"/>
    </w:p>
    <w:p w14:paraId="2CBD917F">
      <w:pPr>
        <w:pStyle w:val="22"/>
        <w:numPr>
          <w:ilvl w:val="0"/>
          <w:numId w:val="2"/>
        </w:numPr>
        <w:spacing w:line="360" w:lineRule="auto"/>
        <w:rPr>
          <w:rFonts w:hint="eastAsia" w:ascii="仿宋" w:hAnsi="仿宋" w:eastAsia="仿宋" w:cs="仿宋"/>
          <w:sz w:val="24"/>
          <w:u w:val="single"/>
        </w:rPr>
      </w:pPr>
      <w:r>
        <w:rPr>
          <w:rFonts w:hint="eastAsia" w:ascii="仿宋" w:hAnsi="仿宋" w:eastAsia="仿宋" w:cs="仿宋"/>
          <w:sz w:val="24"/>
        </w:rPr>
        <w:t>2023年度村集体收入是</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hint="eastAsia" w:ascii="仿宋" w:hAnsi="仿宋" w:eastAsia="仿宋" w:cs="仿宋"/>
          <w:sz w:val="24"/>
        </w:rPr>
        <w:t>元，其具体构成（提供合同或发票等佐证）</w:t>
      </w:r>
    </w:p>
    <w:p w14:paraId="7F836F34">
      <w:pPr>
        <w:spacing w:line="360" w:lineRule="auto"/>
        <w:ind w:left="420" w:leftChars="200"/>
        <w:rPr>
          <w:rFonts w:hint="eastAsia" w:ascii="仿宋" w:hAnsi="仿宋" w:eastAsia="仿宋" w:cs="仿宋"/>
          <w:sz w:val="24"/>
        </w:rPr>
      </w:pP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hint="eastAsia" w:ascii="仿宋" w:hAnsi="仿宋" w:eastAsia="仿宋" w:cs="仿宋"/>
          <w:sz w:val="24"/>
        </w:rPr>
        <w:t>；</w:t>
      </w:r>
    </w:p>
    <w:p w14:paraId="704E1553">
      <w:pPr>
        <w:spacing w:line="360" w:lineRule="auto"/>
        <w:ind w:left="420" w:leftChars="200"/>
        <w:rPr>
          <w:rFonts w:hint="eastAsia" w:ascii="仿宋" w:hAnsi="仿宋" w:eastAsia="仿宋" w:cs="仿宋"/>
          <w:sz w:val="24"/>
          <w:u w:val="single"/>
        </w:rPr>
      </w:pPr>
      <w:r>
        <w:rPr>
          <w:rFonts w:hint="eastAsia" w:ascii="仿宋" w:hAnsi="仿宋" w:eastAsia="仿宋" w:cs="仿宋"/>
          <w:sz w:val="24"/>
        </w:rPr>
        <w:t>2024年度村集体收入是</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hint="eastAsia" w:ascii="仿宋" w:hAnsi="仿宋" w:eastAsia="仿宋" w:cs="仿宋"/>
          <w:sz w:val="24"/>
        </w:rPr>
        <w:t>元，其具体构成（提供合同或发票等佐证）</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bookmarkEnd w:id="185"/>
      <w:r>
        <w:rPr>
          <w:rFonts w:hint="eastAsia" w:ascii="仿宋" w:hAnsi="仿宋" w:eastAsia="仿宋" w:cs="仿宋"/>
          <w:sz w:val="24"/>
        </w:rPr>
        <w:t>；</w:t>
      </w:r>
    </w:p>
    <w:p w14:paraId="7E94FFAB">
      <w:pPr>
        <w:spacing w:line="360" w:lineRule="auto"/>
        <w:ind w:left="420" w:leftChars="200"/>
        <w:rPr>
          <w:rFonts w:hint="eastAsia" w:ascii="仿宋" w:hAnsi="仿宋" w:eastAsia="仿宋" w:cs="仿宋"/>
          <w:sz w:val="24"/>
        </w:rPr>
      </w:pPr>
      <w:r>
        <w:rPr>
          <w:rFonts w:hint="eastAsia" w:ascii="仿宋" w:hAnsi="仿宋" w:eastAsia="仿宋" w:cs="仿宋"/>
          <w:sz w:val="24"/>
          <w:u w:val="single"/>
        </w:rPr>
        <w:tab/>
      </w:r>
      <w:r>
        <w:rPr>
          <w:rFonts w:hint="eastAsia" w:ascii="仿宋" w:hAnsi="仿宋" w:eastAsia="仿宋" w:cs="仿宋"/>
          <w:sz w:val="24"/>
          <w:u w:val="single"/>
        </w:rPr>
        <w:tab/>
      </w:r>
      <w:r>
        <w:rPr>
          <w:rFonts w:hint="eastAsia" w:ascii="仿宋" w:hAnsi="仿宋" w:eastAsia="仿宋" w:cs="仿宋"/>
          <w:sz w:val="24"/>
        </w:rPr>
        <w:t>（是/否）与以上项目相关。</w:t>
      </w:r>
    </w:p>
    <w:p w14:paraId="35214054">
      <w:pPr>
        <w:pStyle w:val="22"/>
        <w:numPr>
          <w:ilvl w:val="0"/>
          <w:numId w:val="2"/>
        </w:numPr>
        <w:spacing w:line="360" w:lineRule="auto"/>
        <w:rPr>
          <w:rFonts w:hint="eastAsia" w:ascii="仿宋" w:hAnsi="仿宋" w:eastAsia="仿宋" w:cs="仿宋"/>
          <w:sz w:val="24"/>
        </w:rPr>
      </w:pPr>
      <w:r>
        <w:rPr>
          <w:rFonts w:hint="eastAsia" w:ascii="仿宋" w:hAnsi="仿宋" w:eastAsia="仿宋" w:cs="仿宋"/>
          <w:sz w:val="24"/>
        </w:rPr>
        <w:t>根据以上各项目类型选填以下内容，本村2024年乡村振兴示范创建中开展的项目对当地带来的效益（在</w:t>
      </w:r>
      <w:r>
        <w:rPr>
          <w:rFonts w:ascii="Wingdings 2" w:hAnsi="Wingdings 2" w:cs="Wingdings 2"/>
          <w:sz w:val="28"/>
          <w:szCs w:val="28"/>
        </w:rPr>
        <w:sym w:font="Wingdings 2" w:char="00A3"/>
      </w:r>
      <w:r>
        <w:rPr>
          <w:rFonts w:hint="eastAsia" w:ascii="仿宋" w:hAnsi="仿宋" w:eastAsia="仿宋" w:cs="仿宋"/>
          <w:sz w:val="24"/>
        </w:rPr>
        <w:t>中勾选，可多选，并提供佐证材料）：</w:t>
      </w:r>
    </w:p>
    <w:p w14:paraId="57AD9E12">
      <w:pPr>
        <w:spacing w:line="360" w:lineRule="auto"/>
        <w:ind w:left="210" w:leftChars="100"/>
        <w:rPr>
          <w:rFonts w:hint="eastAsia" w:ascii="仿宋" w:hAnsi="仿宋" w:eastAsia="仿宋" w:cs="仿宋"/>
          <w:sz w:val="24"/>
        </w:rPr>
      </w:pPr>
      <w:r>
        <w:rPr>
          <w:rFonts w:hint="eastAsia" w:ascii="仿宋" w:hAnsi="仿宋" w:eastAsia="仿宋" w:cs="仿宋"/>
          <w:sz w:val="24"/>
        </w:rPr>
        <w:t>（1）产业发展项目</w:t>
      </w:r>
    </w:p>
    <w:p w14:paraId="3A960449">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培育新型产业，发展乡村经济</w:t>
      </w:r>
    </w:p>
    <w:p w14:paraId="282F4601">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增加就业创业机会</w:t>
      </w:r>
    </w:p>
    <w:p w14:paraId="389D53E7">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引进人才</w:t>
      </w:r>
    </w:p>
    <w:p w14:paraId="06A89FF6">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提高居民收入</w:t>
      </w:r>
    </w:p>
    <w:p w14:paraId="0E0D4815">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文化生活更丰富</w:t>
      </w:r>
    </w:p>
    <w:p w14:paraId="2E930B72">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无明显影响</w:t>
      </w:r>
    </w:p>
    <w:p w14:paraId="5A2AE8A2">
      <w:pPr>
        <w:spacing w:line="360" w:lineRule="auto"/>
        <w:ind w:left="210" w:leftChars="100"/>
        <w:rPr>
          <w:rFonts w:hint="eastAsia" w:ascii="仿宋" w:hAnsi="仿宋" w:eastAsia="仿宋" w:cs="仿宋"/>
          <w:sz w:val="24"/>
        </w:rPr>
      </w:pPr>
      <w:r>
        <w:rPr>
          <w:rFonts w:hint="eastAsia" w:ascii="仿宋" w:hAnsi="仿宋" w:eastAsia="仿宋" w:cs="仿宋"/>
          <w:sz w:val="24"/>
        </w:rPr>
        <w:t>（2）基础设施项目</w:t>
      </w:r>
    </w:p>
    <w:p w14:paraId="3B2B6EFC">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解决人才引进居住问题</w:t>
      </w:r>
    </w:p>
    <w:p w14:paraId="0C4D951D">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完善基础设施</w:t>
      </w:r>
    </w:p>
    <w:p w14:paraId="175E2BAA">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优化居住环境</w:t>
      </w:r>
    </w:p>
    <w:p w14:paraId="12BDE018">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道路出行改善</w:t>
      </w:r>
    </w:p>
    <w:p w14:paraId="194AA933">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排水排污治理</w:t>
      </w:r>
    </w:p>
    <w:p w14:paraId="6049D102">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无明显影响</w:t>
      </w:r>
    </w:p>
    <w:p w14:paraId="0AE41E82">
      <w:pPr>
        <w:spacing w:line="360" w:lineRule="auto"/>
        <w:ind w:left="210" w:leftChars="100"/>
        <w:rPr>
          <w:rFonts w:hint="eastAsia" w:ascii="仿宋" w:hAnsi="仿宋" w:eastAsia="仿宋" w:cs="仿宋"/>
          <w:sz w:val="24"/>
        </w:rPr>
      </w:pPr>
      <w:r>
        <w:rPr>
          <w:rFonts w:hint="eastAsia" w:ascii="仿宋" w:hAnsi="仿宋" w:eastAsia="仿宋" w:cs="仿宋"/>
          <w:sz w:val="24"/>
        </w:rPr>
        <w:t>（3）公共服务项目</w:t>
      </w:r>
    </w:p>
    <w:p w14:paraId="6C732077">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满足户外活动需求</w:t>
      </w:r>
    </w:p>
    <w:p w14:paraId="17B15AC3">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完善公共服务配套</w:t>
      </w:r>
    </w:p>
    <w:p w14:paraId="09F3A31D">
      <w:pPr>
        <w:spacing w:line="360" w:lineRule="auto"/>
        <w:ind w:left="630" w:leftChars="3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无明显影响</w:t>
      </w:r>
    </w:p>
    <w:p w14:paraId="62C552D2">
      <w:pPr>
        <w:pStyle w:val="22"/>
        <w:numPr>
          <w:ilvl w:val="0"/>
          <w:numId w:val="2"/>
        </w:numPr>
        <w:spacing w:line="360" w:lineRule="auto"/>
        <w:rPr>
          <w:rFonts w:hint="eastAsia" w:ascii="仿宋" w:hAnsi="仿宋" w:eastAsia="仿宋" w:cs="仿宋"/>
          <w:sz w:val="24"/>
        </w:rPr>
      </w:pPr>
      <w:r>
        <w:rPr>
          <w:rFonts w:hint="eastAsia" w:ascii="仿宋" w:hAnsi="仿宋" w:eastAsia="仿宋" w:cs="仿宋"/>
          <w:sz w:val="24"/>
        </w:rPr>
        <w:t xml:space="preserve">请问您对当地乡村振兴示范创建项目财政资金投入的满意度打几分？请在 </w:t>
      </w:r>
      <w:r>
        <w:rPr>
          <w:rFonts w:ascii="Wingdings 2" w:hAnsi="Wingdings 2" w:cs="Wingdings 2"/>
          <w:sz w:val="28"/>
          <w:szCs w:val="28"/>
        </w:rPr>
        <w:sym w:font="Wingdings 2" w:char="00A3"/>
      </w:r>
      <w:r>
        <w:rPr>
          <w:rFonts w:hint="eastAsia" w:ascii="仿宋" w:hAnsi="仿宋" w:eastAsia="仿宋" w:cs="仿宋"/>
          <w:sz w:val="24"/>
        </w:rPr>
        <w:t>内勾选，分值在6分以下请在分数后说明理由。</w:t>
      </w:r>
    </w:p>
    <w:p w14:paraId="47072079">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10分</w:t>
      </w:r>
    </w:p>
    <w:p w14:paraId="7775A828">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9分</w:t>
      </w:r>
    </w:p>
    <w:p w14:paraId="77C0FD70">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8分</w:t>
      </w:r>
    </w:p>
    <w:p w14:paraId="41C7BC15">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7分</w:t>
      </w:r>
    </w:p>
    <w:p w14:paraId="268737FD">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6分</w:t>
      </w:r>
    </w:p>
    <w:p w14:paraId="2C7BADE4">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5分</w:t>
      </w:r>
    </w:p>
    <w:p w14:paraId="1FCADA86">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4分</w:t>
      </w:r>
    </w:p>
    <w:p w14:paraId="442E003A">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3分</w:t>
      </w:r>
    </w:p>
    <w:p w14:paraId="33CB77BB">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2分</w:t>
      </w:r>
    </w:p>
    <w:p w14:paraId="1FBCFF6D">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1分</w:t>
      </w:r>
    </w:p>
    <w:p w14:paraId="309FBECF">
      <w:pPr>
        <w:pStyle w:val="22"/>
        <w:spacing w:line="360" w:lineRule="auto"/>
        <w:ind w:left="149" w:leftChars="71" w:firstLine="560" w:firstLineChars="200"/>
        <w:rPr>
          <w:rFonts w:hint="eastAsia" w:ascii="仿宋" w:hAnsi="仿宋" w:eastAsia="仿宋" w:cs="仿宋"/>
          <w:sz w:val="24"/>
        </w:rPr>
      </w:pPr>
      <w:r>
        <w:rPr>
          <w:rFonts w:ascii="Wingdings 2" w:hAnsi="Wingdings 2" w:cs="Wingdings 2"/>
          <w:sz w:val="28"/>
          <w:szCs w:val="28"/>
        </w:rPr>
        <w:sym w:font="Wingdings 2" w:char="00A3"/>
      </w:r>
      <w:r>
        <w:rPr>
          <w:rFonts w:hint="eastAsia" w:ascii="仿宋" w:hAnsi="仿宋" w:eastAsia="仿宋" w:cs="仿宋"/>
          <w:sz w:val="24"/>
        </w:rPr>
        <w:t>0分</w:t>
      </w:r>
    </w:p>
    <w:p w14:paraId="7B67C63D">
      <w:pPr>
        <w:pStyle w:val="22"/>
        <w:numPr>
          <w:ilvl w:val="0"/>
          <w:numId w:val="2"/>
        </w:numPr>
        <w:spacing w:line="360" w:lineRule="auto"/>
        <w:rPr>
          <w:rFonts w:hint="eastAsia" w:ascii="仿宋" w:hAnsi="仿宋" w:eastAsia="仿宋" w:cs="仿宋"/>
          <w:sz w:val="24"/>
        </w:rPr>
      </w:pPr>
      <w:r>
        <w:rPr>
          <w:rFonts w:hint="eastAsia" w:ascii="仿宋" w:hAnsi="仿宋" w:eastAsia="仿宋" w:cs="仿宋"/>
          <w:sz w:val="24"/>
        </w:rPr>
        <w:t xml:space="preserve">您认为当前本村最急需解决的问题是什么，为了实现乡村振兴应做好哪方面的工作？ </w:t>
      </w:r>
    </w:p>
    <w:p w14:paraId="572D1775">
      <w:pPr>
        <w:spacing w:line="360" w:lineRule="auto"/>
        <w:ind w:left="210" w:leftChars="100"/>
        <w:rPr>
          <w:rFonts w:hint="eastAsia" w:ascii="仿宋" w:hAnsi="仿宋" w:eastAsia="仿宋" w:cs="仿宋"/>
          <w:sz w:val="24"/>
          <w:u w:val="single"/>
        </w:rPr>
      </w:pPr>
      <w:r>
        <w:rPr>
          <w:rFonts w:ascii="仿宋" w:hAnsi="仿宋" w:eastAsia="仿宋" w:cs="仿宋"/>
          <w:sz w:val="24"/>
          <w:u w:val="single"/>
        </w:rPr>
        <w:tab/>
      </w:r>
      <w:r>
        <w:rPr>
          <w:rFonts w:hint="eastAsia" w:ascii="仿宋" w:hAnsi="仿宋" w:eastAsia="仿宋" w:cs="仿宋"/>
          <w:sz w:val="24"/>
          <w:u w:val="single"/>
        </w:rPr>
        <w:t xml:space="preserve"> </w:t>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r>
        <w:rPr>
          <w:rFonts w:ascii="仿宋" w:hAnsi="仿宋" w:eastAsia="仿宋" w:cs="仿宋"/>
          <w:sz w:val="24"/>
          <w:u w:val="single"/>
        </w:rPr>
        <w:tab/>
      </w:r>
    </w:p>
    <w:p w14:paraId="77E9C2BC">
      <w:pPr>
        <w:spacing w:line="360" w:lineRule="auto"/>
        <w:rPr>
          <w:rFonts w:hint="eastAsia" w:ascii="仿宋" w:hAnsi="仿宋" w:eastAsia="仿宋" w:cs="仿宋"/>
          <w:sz w:val="24"/>
        </w:rPr>
      </w:pPr>
      <w:r>
        <w:rPr>
          <w:rFonts w:hint="eastAsia" w:ascii="仿宋" w:hAnsi="仿宋" w:eastAsia="仿宋" w:cs="仿宋"/>
          <w:sz w:val="24"/>
        </w:rPr>
        <w:t>（感谢您的填报，我们将认真考虑您的意见。谢谢您对我们工作的支持！）</w:t>
      </w:r>
    </w:p>
    <w:p w14:paraId="5DE0A154">
      <w:pPr>
        <w:rPr>
          <w:szCs w:val="21"/>
        </w:rPr>
      </w:pPr>
    </w:p>
    <w:p w14:paraId="0D99F740">
      <w:pPr>
        <w:rPr>
          <w:szCs w:val="21"/>
        </w:rPr>
      </w:pPr>
    </w:p>
    <w:sectPr>
      <w:headerReference r:id="rId7" w:type="default"/>
      <w:footerReference r:id="rId8" w:type="default"/>
      <w:pgSz w:w="11906" w:h="16838"/>
      <w:pgMar w:top="1417" w:right="1531" w:bottom="1531" w:left="1701" w:header="851" w:footer="992" w:gutter="0"/>
      <w:pgNumType w:start="1"/>
      <w:cols w:space="0" w:num="1"/>
      <w:docGrid w:type="line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FED0F">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F4EBB">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gwGItAgAAVwQAAA4AAABkcnMvZTJvRG9jLnhtbK1UzY7TMBC+I/EO&#10;lu80aRFL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JvXlGimUPHT92+n&#10;H79OP78SnEGg1voZ4jYWkaF7azq0zXDucRh5d5VT8QtGBH7Ie7zIK7pAeLw0nUynOVwcvmED/Ozh&#10;unU+vBNGkWgU1KF+SVZ2uPWhDx1CYjZt1o2UqYZSk7agVy9f5e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7gwGItAgAAVwQAAA4AAAAAAAAAAQAgAAAAHwEAAGRycy9lMm9Eb2MueG1sUEsFBgAAAAAG&#10;AAYAWQEAAL4FAAAAAA==&#10;">
              <v:fill on="f" focussize="0,0"/>
              <v:stroke on="f" weight="0.5pt"/>
              <v:imagedata o:title=""/>
              <o:lock v:ext="edit" aspectratio="f"/>
              <v:textbox inset="0mm,0mm,0mm,0mm" style="mso-fit-shape-to-text:t;">
                <w:txbxContent>
                  <w:p w14:paraId="65DF4EBB">
                    <w:pPr>
                      <w:pStyle w:val="9"/>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5F794">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6969414"/>
    </w:sdtPr>
    <w:sdtContent>
      <w:p w14:paraId="783EFB5E">
        <w:pPr>
          <w:pStyle w:val="9"/>
          <w:jc w:val="center"/>
        </w:pPr>
        <w:r>
          <w:fldChar w:fldCharType="begin"/>
        </w:r>
        <w:r>
          <w:instrText xml:space="preserve">PAGE   \* MERGEFORMAT</w:instrText>
        </w:r>
        <w:r>
          <w:fldChar w:fldCharType="separate"/>
        </w:r>
        <w:r>
          <w:rPr>
            <w:lang w:val="zh-CN"/>
          </w:rPr>
          <w:t>2</w:t>
        </w:r>
        <w:r>
          <w:fldChar w:fldCharType="end"/>
        </w:r>
      </w:p>
    </w:sdtContent>
  </w:sdt>
  <w:p w14:paraId="233E437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0DDDF">
    <w:r>
      <w:rPr>
        <w:rStyle w:val="17"/>
        <w:rFonts w:hint="eastAsia" w:ascii="Times New Roman" w:hAnsi="Times New Roman" w:eastAsia="仿宋_GB2312" w:cs="Times New Roman"/>
        <w:szCs w:val="32"/>
        <w:u w:val="thick"/>
      </w:rPr>
      <w:t xml:space="preserve">石狮市2024年省级示范创建专项资金绩效评价报告                                       </w:t>
    </w:r>
  </w:p>
  <w:p w14:paraId="1970A6AF">
    <w:pPr>
      <w:pStyle w:val="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D7AD8">
    <w:r>
      <w:rPr>
        <w:rStyle w:val="17"/>
        <w:rFonts w:hint="eastAsia" w:ascii="Times New Roman" w:hAnsi="Times New Roman" w:eastAsia="仿宋_GB2312" w:cs="Times New Roman"/>
        <w:szCs w:val="32"/>
        <w:u w:val="thick"/>
      </w:rPr>
      <w:t xml:space="preserve">石狮市2024年省级示范创建专项资金绩效评价报告                                       </w:t>
    </w:r>
  </w:p>
  <w:p w14:paraId="7011032E">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39FB">
    <w:pPr>
      <w:rPr>
        <w:rStyle w:val="17"/>
        <w:rFonts w:ascii="Times New Roman" w:hAnsi="Times New Roman" w:eastAsia="仿宋_GB2312" w:cs="Times New Roman"/>
        <w:szCs w:val="32"/>
        <w:u w:val="thick"/>
      </w:rPr>
    </w:pPr>
    <w:r>
      <w:rPr>
        <w:rStyle w:val="17"/>
        <w:rFonts w:hint="eastAsia" w:ascii="Times New Roman" w:hAnsi="Times New Roman" w:eastAsia="仿宋_GB2312" w:cs="Times New Roman"/>
        <w:szCs w:val="32"/>
        <w:u w:val="thick"/>
      </w:rPr>
      <w:t xml:space="preserve">石狮市2024年省级示范创建专项资金绩效评价报告                                       </w:t>
    </w:r>
  </w:p>
  <w:p w14:paraId="704B4233">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BE587"/>
    <w:multiLevelType w:val="singleLevel"/>
    <w:tmpl w:val="E30BE587"/>
    <w:lvl w:ilvl="0" w:tentative="0">
      <w:start w:val="1"/>
      <w:numFmt w:val="bullet"/>
      <w:pStyle w:val="7"/>
      <w:lvlText w:val=""/>
      <w:lvlJc w:val="left"/>
      <w:pPr>
        <w:tabs>
          <w:tab w:val="left" w:pos="2040"/>
        </w:tabs>
        <w:ind w:left="2040" w:hanging="360"/>
      </w:pPr>
      <w:rPr>
        <w:rFonts w:hint="default" w:ascii="Wingdings" w:hAnsi="Wingdings"/>
      </w:rPr>
    </w:lvl>
  </w:abstractNum>
  <w:abstractNum w:abstractNumId="1">
    <w:nsid w:val="3D411B3A"/>
    <w:multiLevelType w:val="multilevel"/>
    <w:tmpl w:val="3D411B3A"/>
    <w:lvl w:ilvl="0" w:tentative="0">
      <w:start w:val="1"/>
      <w:numFmt w:val="decimal"/>
      <w:lvlText w:val="%1."/>
      <w:lvlJc w:val="left"/>
      <w:pPr>
        <w:ind w:left="360" w:hanging="360"/>
      </w:pPr>
      <w:rPr>
        <w:rFonts w:hint="default"/>
        <w:u w:val="none"/>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210"/>
  <w:drawingGridVerticalSpacing w:val="21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7B9"/>
    <w:rsid w:val="00020256"/>
    <w:rsid w:val="000304ED"/>
    <w:rsid w:val="00066C1D"/>
    <w:rsid w:val="00076974"/>
    <w:rsid w:val="0007737F"/>
    <w:rsid w:val="000970EE"/>
    <w:rsid w:val="000B6961"/>
    <w:rsid w:val="000C3919"/>
    <w:rsid w:val="000D2D6B"/>
    <w:rsid w:val="000E14E2"/>
    <w:rsid w:val="000E49F3"/>
    <w:rsid w:val="000F0AE9"/>
    <w:rsid w:val="000F2EEE"/>
    <w:rsid w:val="00132181"/>
    <w:rsid w:val="00140F0F"/>
    <w:rsid w:val="0014578A"/>
    <w:rsid w:val="001A0AE3"/>
    <w:rsid w:val="001B22C0"/>
    <w:rsid w:val="001C7373"/>
    <w:rsid w:val="001E0672"/>
    <w:rsid w:val="001E6A33"/>
    <w:rsid w:val="001F1D23"/>
    <w:rsid w:val="001F61DB"/>
    <w:rsid w:val="001F6292"/>
    <w:rsid w:val="00214306"/>
    <w:rsid w:val="0022126B"/>
    <w:rsid w:val="00233164"/>
    <w:rsid w:val="00250F05"/>
    <w:rsid w:val="002551B2"/>
    <w:rsid w:val="00264B99"/>
    <w:rsid w:val="0026723F"/>
    <w:rsid w:val="0027517D"/>
    <w:rsid w:val="002843EB"/>
    <w:rsid w:val="002B794E"/>
    <w:rsid w:val="002D2051"/>
    <w:rsid w:val="002F0DB6"/>
    <w:rsid w:val="002F24EC"/>
    <w:rsid w:val="003426BA"/>
    <w:rsid w:val="00346FD6"/>
    <w:rsid w:val="0036155C"/>
    <w:rsid w:val="00366A35"/>
    <w:rsid w:val="003856FD"/>
    <w:rsid w:val="0039794B"/>
    <w:rsid w:val="003A0AAE"/>
    <w:rsid w:val="003B1EA1"/>
    <w:rsid w:val="003B1EB8"/>
    <w:rsid w:val="003C6CE6"/>
    <w:rsid w:val="003E4E91"/>
    <w:rsid w:val="003F5B9E"/>
    <w:rsid w:val="003F61C4"/>
    <w:rsid w:val="004023F3"/>
    <w:rsid w:val="00426456"/>
    <w:rsid w:val="00432025"/>
    <w:rsid w:val="00462766"/>
    <w:rsid w:val="0048276F"/>
    <w:rsid w:val="00485F36"/>
    <w:rsid w:val="00486C99"/>
    <w:rsid w:val="004A352C"/>
    <w:rsid w:val="004B3EA8"/>
    <w:rsid w:val="004C612D"/>
    <w:rsid w:val="004E1E28"/>
    <w:rsid w:val="004E5F91"/>
    <w:rsid w:val="004E7ED8"/>
    <w:rsid w:val="005013DB"/>
    <w:rsid w:val="00501D50"/>
    <w:rsid w:val="0051110A"/>
    <w:rsid w:val="00555C16"/>
    <w:rsid w:val="005616C3"/>
    <w:rsid w:val="0056469A"/>
    <w:rsid w:val="00592A0F"/>
    <w:rsid w:val="005A4E7F"/>
    <w:rsid w:val="005D13D9"/>
    <w:rsid w:val="00624AE8"/>
    <w:rsid w:val="00631D8B"/>
    <w:rsid w:val="00633038"/>
    <w:rsid w:val="006365B1"/>
    <w:rsid w:val="00641E35"/>
    <w:rsid w:val="00657283"/>
    <w:rsid w:val="006758FA"/>
    <w:rsid w:val="00694A92"/>
    <w:rsid w:val="006B3097"/>
    <w:rsid w:val="006B3815"/>
    <w:rsid w:val="006C549C"/>
    <w:rsid w:val="006C59CF"/>
    <w:rsid w:val="006D224C"/>
    <w:rsid w:val="006E52EA"/>
    <w:rsid w:val="0071264F"/>
    <w:rsid w:val="00775106"/>
    <w:rsid w:val="00776AD2"/>
    <w:rsid w:val="00780038"/>
    <w:rsid w:val="007834B0"/>
    <w:rsid w:val="00784C6F"/>
    <w:rsid w:val="007B5190"/>
    <w:rsid w:val="007C5076"/>
    <w:rsid w:val="007D1F64"/>
    <w:rsid w:val="007D4993"/>
    <w:rsid w:val="007F57B0"/>
    <w:rsid w:val="008157B9"/>
    <w:rsid w:val="00824C3F"/>
    <w:rsid w:val="008571C8"/>
    <w:rsid w:val="00870413"/>
    <w:rsid w:val="008A4985"/>
    <w:rsid w:val="008E42CC"/>
    <w:rsid w:val="00904B09"/>
    <w:rsid w:val="009277BD"/>
    <w:rsid w:val="00963EC8"/>
    <w:rsid w:val="009667BB"/>
    <w:rsid w:val="009749C1"/>
    <w:rsid w:val="009855D6"/>
    <w:rsid w:val="009C647B"/>
    <w:rsid w:val="009D3CD9"/>
    <w:rsid w:val="009E3344"/>
    <w:rsid w:val="009E5551"/>
    <w:rsid w:val="00A202F0"/>
    <w:rsid w:val="00A3482A"/>
    <w:rsid w:val="00A527E8"/>
    <w:rsid w:val="00AE06D8"/>
    <w:rsid w:val="00AE5460"/>
    <w:rsid w:val="00B05931"/>
    <w:rsid w:val="00B24995"/>
    <w:rsid w:val="00B427EF"/>
    <w:rsid w:val="00B53225"/>
    <w:rsid w:val="00B95E40"/>
    <w:rsid w:val="00BA5E8E"/>
    <w:rsid w:val="00BA7929"/>
    <w:rsid w:val="00BC54E2"/>
    <w:rsid w:val="00BC5E3A"/>
    <w:rsid w:val="00BC7188"/>
    <w:rsid w:val="00BF34F9"/>
    <w:rsid w:val="00BF6DA4"/>
    <w:rsid w:val="00C02C8E"/>
    <w:rsid w:val="00C36210"/>
    <w:rsid w:val="00C643D1"/>
    <w:rsid w:val="00C94C5A"/>
    <w:rsid w:val="00C977D8"/>
    <w:rsid w:val="00CA2F69"/>
    <w:rsid w:val="00CA686B"/>
    <w:rsid w:val="00CC2CCB"/>
    <w:rsid w:val="00CD06C1"/>
    <w:rsid w:val="00CE21A1"/>
    <w:rsid w:val="00D00785"/>
    <w:rsid w:val="00D17918"/>
    <w:rsid w:val="00D37FD1"/>
    <w:rsid w:val="00D9085A"/>
    <w:rsid w:val="00D90B24"/>
    <w:rsid w:val="00D92661"/>
    <w:rsid w:val="00D938F1"/>
    <w:rsid w:val="00DA4E3A"/>
    <w:rsid w:val="00DB57A0"/>
    <w:rsid w:val="00DF0C59"/>
    <w:rsid w:val="00DF1C0D"/>
    <w:rsid w:val="00DF3245"/>
    <w:rsid w:val="00E0244B"/>
    <w:rsid w:val="00E03F9D"/>
    <w:rsid w:val="00E06191"/>
    <w:rsid w:val="00E17015"/>
    <w:rsid w:val="00E27AF5"/>
    <w:rsid w:val="00E64FF9"/>
    <w:rsid w:val="00E6503E"/>
    <w:rsid w:val="00E85A74"/>
    <w:rsid w:val="00E872DE"/>
    <w:rsid w:val="00F16DEF"/>
    <w:rsid w:val="00F4102B"/>
    <w:rsid w:val="00F51788"/>
    <w:rsid w:val="00F62822"/>
    <w:rsid w:val="00F63A22"/>
    <w:rsid w:val="00F75BE4"/>
    <w:rsid w:val="00F93FB5"/>
    <w:rsid w:val="00FE4455"/>
    <w:rsid w:val="00FF7AEF"/>
    <w:rsid w:val="010831EA"/>
    <w:rsid w:val="012F2443"/>
    <w:rsid w:val="014672E9"/>
    <w:rsid w:val="016F664B"/>
    <w:rsid w:val="01761E20"/>
    <w:rsid w:val="01D54D19"/>
    <w:rsid w:val="01DE5E85"/>
    <w:rsid w:val="0205420E"/>
    <w:rsid w:val="027E4B5E"/>
    <w:rsid w:val="02957FB5"/>
    <w:rsid w:val="029B5C5B"/>
    <w:rsid w:val="02FE77A7"/>
    <w:rsid w:val="0343039A"/>
    <w:rsid w:val="03ED5076"/>
    <w:rsid w:val="040F20B8"/>
    <w:rsid w:val="042D3FC7"/>
    <w:rsid w:val="044C7E3E"/>
    <w:rsid w:val="04685A42"/>
    <w:rsid w:val="04A45C0C"/>
    <w:rsid w:val="04BA2805"/>
    <w:rsid w:val="04C22BA0"/>
    <w:rsid w:val="04C660B1"/>
    <w:rsid w:val="04CD6259"/>
    <w:rsid w:val="04DD27C9"/>
    <w:rsid w:val="04DD4BD1"/>
    <w:rsid w:val="04E85ACE"/>
    <w:rsid w:val="05075A65"/>
    <w:rsid w:val="051E125A"/>
    <w:rsid w:val="052B6A91"/>
    <w:rsid w:val="057A03B5"/>
    <w:rsid w:val="05822FA5"/>
    <w:rsid w:val="05CF6041"/>
    <w:rsid w:val="05D3027A"/>
    <w:rsid w:val="05EB6869"/>
    <w:rsid w:val="062E3CC9"/>
    <w:rsid w:val="06452ABE"/>
    <w:rsid w:val="06776232"/>
    <w:rsid w:val="069169F2"/>
    <w:rsid w:val="073403C8"/>
    <w:rsid w:val="073E0BE0"/>
    <w:rsid w:val="074E6421"/>
    <w:rsid w:val="07513F6A"/>
    <w:rsid w:val="077A4D9B"/>
    <w:rsid w:val="077C2986"/>
    <w:rsid w:val="07A51586"/>
    <w:rsid w:val="07CE7CCF"/>
    <w:rsid w:val="084538A0"/>
    <w:rsid w:val="089B7E57"/>
    <w:rsid w:val="08D67C0A"/>
    <w:rsid w:val="08E30939"/>
    <w:rsid w:val="08EA37BC"/>
    <w:rsid w:val="08EE2FF2"/>
    <w:rsid w:val="08F10228"/>
    <w:rsid w:val="08FC4B23"/>
    <w:rsid w:val="094253E9"/>
    <w:rsid w:val="09AF7F0C"/>
    <w:rsid w:val="09C63F0F"/>
    <w:rsid w:val="09D939B0"/>
    <w:rsid w:val="09DC6BBA"/>
    <w:rsid w:val="0A447AFA"/>
    <w:rsid w:val="0A457048"/>
    <w:rsid w:val="0A7C6BA4"/>
    <w:rsid w:val="0A8A1CC3"/>
    <w:rsid w:val="0A9D3533"/>
    <w:rsid w:val="0AC8676E"/>
    <w:rsid w:val="0AEE2528"/>
    <w:rsid w:val="0AF34C02"/>
    <w:rsid w:val="0B167D3A"/>
    <w:rsid w:val="0B5617D0"/>
    <w:rsid w:val="0B7E68E7"/>
    <w:rsid w:val="0BDF762F"/>
    <w:rsid w:val="0C8671BB"/>
    <w:rsid w:val="0CDA2C21"/>
    <w:rsid w:val="0CE8610E"/>
    <w:rsid w:val="0D1830A8"/>
    <w:rsid w:val="0D3669A7"/>
    <w:rsid w:val="0D416E24"/>
    <w:rsid w:val="0D4953CA"/>
    <w:rsid w:val="0D8A69D7"/>
    <w:rsid w:val="0E721018"/>
    <w:rsid w:val="0EA524FE"/>
    <w:rsid w:val="0F364B5D"/>
    <w:rsid w:val="0F415D32"/>
    <w:rsid w:val="0F4B242C"/>
    <w:rsid w:val="0F6C3837"/>
    <w:rsid w:val="0F792489"/>
    <w:rsid w:val="0F7D3E18"/>
    <w:rsid w:val="0F7D70D6"/>
    <w:rsid w:val="0FBA5004"/>
    <w:rsid w:val="0FD75009"/>
    <w:rsid w:val="0FFD5391"/>
    <w:rsid w:val="10262EF4"/>
    <w:rsid w:val="103768F2"/>
    <w:rsid w:val="10406467"/>
    <w:rsid w:val="10511FBA"/>
    <w:rsid w:val="10590B1D"/>
    <w:rsid w:val="106532FE"/>
    <w:rsid w:val="1092654A"/>
    <w:rsid w:val="10CE6264"/>
    <w:rsid w:val="11395C46"/>
    <w:rsid w:val="113D3857"/>
    <w:rsid w:val="116F34A7"/>
    <w:rsid w:val="11766E32"/>
    <w:rsid w:val="11AC26DD"/>
    <w:rsid w:val="11D323E9"/>
    <w:rsid w:val="12114C74"/>
    <w:rsid w:val="124B1422"/>
    <w:rsid w:val="12706133"/>
    <w:rsid w:val="12855476"/>
    <w:rsid w:val="128F2D41"/>
    <w:rsid w:val="12B66E2D"/>
    <w:rsid w:val="12E345CB"/>
    <w:rsid w:val="130E2DFF"/>
    <w:rsid w:val="13576102"/>
    <w:rsid w:val="137039BA"/>
    <w:rsid w:val="138274DC"/>
    <w:rsid w:val="13D41E43"/>
    <w:rsid w:val="141F1EA3"/>
    <w:rsid w:val="1421148C"/>
    <w:rsid w:val="142B4166"/>
    <w:rsid w:val="14320C94"/>
    <w:rsid w:val="146307BF"/>
    <w:rsid w:val="14844711"/>
    <w:rsid w:val="152369F7"/>
    <w:rsid w:val="15995C23"/>
    <w:rsid w:val="15C2549E"/>
    <w:rsid w:val="15FD4403"/>
    <w:rsid w:val="16123774"/>
    <w:rsid w:val="16173DC9"/>
    <w:rsid w:val="166B7621"/>
    <w:rsid w:val="169774E3"/>
    <w:rsid w:val="16A90C4B"/>
    <w:rsid w:val="16BC0093"/>
    <w:rsid w:val="16D56941"/>
    <w:rsid w:val="16E201DA"/>
    <w:rsid w:val="171B3EA1"/>
    <w:rsid w:val="1759391E"/>
    <w:rsid w:val="176C075D"/>
    <w:rsid w:val="179719DC"/>
    <w:rsid w:val="17A97232"/>
    <w:rsid w:val="17BD46DE"/>
    <w:rsid w:val="17C96584"/>
    <w:rsid w:val="17D80CE7"/>
    <w:rsid w:val="17E45C9F"/>
    <w:rsid w:val="17EE7125"/>
    <w:rsid w:val="182325E6"/>
    <w:rsid w:val="183D60C5"/>
    <w:rsid w:val="18452AD7"/>
    <w:rsid w:val="18742EFC"/>
    <w:rsid w:val="188031B7"/>
    <w:rsid w:val="18D6703E"/>
    <w:rsid w:val="18EF21B8"/>
    <w:rsid w:val="191631D4"/>
    <w:rsid w:val="194018F4"/>
    <w:rsid w:val="198D3D53"/>
    <w:rsid w:val="19B724AA"/>
    <w:rsid w:val="19C84D8B"/>
    <w:rsid w:val="1A396889"/>
    <w:rsid w:val="1A3B0A74"/>
    <w:rsid w:val="1A7F0E95"/>
    <w:rsid w:val="1AB551FD"/>
    <w:rsid w:val="1AC6177B"/>
    <w:rsid w:val="1AF234ED"/>
    <w:rsid w:val="1B4F3B4F"/>
    <w:rsid w:val="1B690270"/>
    <w:rsid w:val="1B6F67A3"/>
    <w:rsid w:val="1BFF5125"/>
    <w:rsid w:val="1C2A383A"/>
    <w:rsid w:val="1C300673"/>
    <w:rsid w:val="1CD847FB"/>
    <w:rsid w:val="1D0F5F3B"/>
    <w:rsid w:val="1D1A20B4"/>
    <w:rsid w:val="1D282714"/>
    <w:rsid w:val="1D2B7B0B"/>
    <w:rsid w:val="1D3E6A30"/>
    <w:rsid w:val="1D5A5F6B"/>
    <w:rsid w:val="1D864D41"/>
    <w:rsid w:val="1DC75E54"/>
    <w:rsid w:val="1E103B1C"/>
    <w:rsid w:val="1E3E300F"/>
    <w:rsid w:val="1E466001"/>
    <w:rsid w:val="1EA1491D"/>
    <w:rsid w:val="1EB105C3"/>
    <w:rsid w:val="1EB25D75"/>
    <w:rsid w:val="1F0F067F"/>
    <w:rsid w:val="1F297236"/>
    <w:rsid w:val="1F551B65"/>
    <w:rsid w:val="1F5B03BF"/>
    <w:rsid w:val="1F6F6411"/>
    <w:rsid w:val="1FA603CB"/>
    <w:rsid w:val="1FB77434"/>
    <w:rsid w:val="1FC11684"/>
    <w:rsid w:val="1FC87926"/>
    <w:rsid w:val="1FDA6A81"/>
    <w:rsid w:val="1FDE042E"/>
    <w:rsid w:val="20597E0A"/>
    <w:rsid w:val="206849C5"/>
    <w:rsid w:val="20A30DC9"/>
    <w:rsid w:val="20BB555C"/>
    <w:rsid w:val="20BE7F76"/>
    <w:rsid w:val="2122468B"/>
    <w:rsid w:val="217B01D6"/>
    <w:rsid w:val="217C26E3"/>
    <w:rsid w:val="21893DAF"/>
    <w:rsid w:val="21D56297"/>
    <w:rsid w:val="220B20C2"/>
    <w:rsid w:val="22212941"/>
    <w:rsid w:val="22653C80"/>
    <w:rsid w:val="226A69DF"/>
    <w:rsid w:val="232358AF"/>
    <w:rsid w:val="23E0576C"/>
    <w:rsid w:val="24013373"/>
    <w:rsid w:val="24286A5E"/>
    <w:rsid w:val="247904E6"/>
    <w:rsid w:val="24885842"/>
    <w:rsid w:val="24BE31DA"/>
    <w:rsid w:val="24E0480A"/>
    <w:rsid w:val="24E17D01"/>
    <w:rsid w:val="250A2706"/>
    <w:rsid w:val="257A495C"/>
    <w:rsid w:val="258424AE"/>
    <w:rsid w:val="25CA2549"/>
    <w:rsid w:val="2621587F"/>
    <w:rsid w:val="265214B3"/>
    <w:rsid w:val="267E15BC"/>
    <w:rsid w:val="26B12561"/>
    <w:rsid w:val="26C2177C"/>
    <w:rsid w:val="26F33261"/>
    <w:rsid w:val="27251886"/>
    <w:rsid w:val="273B790F"/>
    <w:rsid w:val="274D2F2A"/>
    <w:rsid w:val="27502CBF"/>
    <w:rsid w:val="27522065"/>
    <w:rsid w:val="275A2EB6"/>
    <w:rsid w:val="27DF5F6B"/>
    <w:rsid w:val="27E72481"/>
    <w:rsid w:val="281E6238"/>
    <w:rsid w:val="284321AC"/>
    <w:rsid w:val="28510CB4"/>
    <w:rsid w:val="288C3319"/>
    <w:rsid w:val="289C18BC"/>
    <w:rsid w:val="28FA08C6"/>
    <w:rsid w:val="291835CD"/>
    <w:rsid w:val="291A7BC6"/>
    <w:rsid w:val="29A30A29"/>
    <w:rsid w:val="29C75326"/>
    <w:rsid w:val="2A0D0444"/>
    <w:rsid w:val="2B9D21F9"/>
    <w:rsid w:val="2BD60345"/>
    <w:rsid w:val="2C0E2815"/>
    <w:rsid w:val="2C80693B"/>
    <w:rsid w:val="2C952E46"/>
    <w:rsid w:val="2CC53569"/>
    <w:rsid w:val="2CD814FF"/>
    <w:rsid w:val="2D545FC9"/>
    <w:rsid w:val="2D6606CE"/>
    <w:rsid w:val="2D7C5EAE"/>
    <w:rsid w:val="2D9C54A6"/>
    <w:rsid w:val="2DE62BAE"/>
    <w:rsid w:val="2E2C13E8"/>
    <w:rsid w:val="2E4945C5"/>
    <w:rsid w:val="2E6F36DB"/>
    <w:rsid w:val="2E922AA4"/>
    <w:rsid w:val="2E9810E1"/>
    <w:rsid w:val="2EA65243"/>
    <w:rsid w:val="2F0E794D"/>
    <w:rsid w:val="2F182F3D"/>
    <w:rsid w:val="2F1E1154"/>
    <w:rsid w:val="2F3D062F"/>
    <w:rsid w:val="2F442D2F"/>
    <w:rsid w:val="2F4B786F"/>
    <w:rsid w:val="2F5A11CD"/>
    <w:rsid w:val="2F7A0DCC"/>
    <w:rsid w:val="2F7B2778"/>
    <w:rsid w:val="2FA96A37"/>
    <w:rsid w:val="30075207"/>
    <w:rsid w:val="302B350C"/>
    <w:rsid w:val="307A466F"/>
    <w:rsid w:val="307E7C38"/>
    <w:rsid w:val="309B192A"/>
    <w:rsid w:val="30D8303F"/>
    <w:rsid w:val="30DB5F78"/>
    <w:rsid w:val="30E05083"/>
    <w:rsid w:val="310E62F0"/>
    <w:rsid w:val="31192C28"/>
    <w:rsid w:val="315242AB"/>
    <w:rsid w:val="31525108"/>
    <w:rsid w:val="31CC7E06"/>
    <w:rsid w:val="31DD7CC0"/>
    <w:rsid w:val="31FB643C"/>
    <w:rsid w:val="321305E4"/>
    <w:rsid w:val="325D57EE"/>
    <w:rsid w:val="326B7A56"/>
    <w:rsid w:val="32EA60C1"/>
    <w:rsid w:val="335A3568"/>
    <w:rsid w:val="3363711E"/>
    <w:rsid w:val="33904D46"/>
    <w:rsid w:val="33A249B8"/>
    <w:rsid w:val="33D2591C"/>
    <w:rsid w:val="33D55DEC"/>
    <w:rsid w:val="33DC0516"/>
    <w:rsid w:val="34142C4F"/>
    <w:rsid w:val="342B47ED"/>
    <w:rsid w:val="342C074E"/>
    <w:rsid w:val="345F2165"/>
    <w:rsid w:val="346C440C"/>
    <w:rsid w:val="349F3024"/>
    <w:rsid w:val="34BB28E6"/>
    <w:rsid w:val="34F012EF"/>
    <w:rsid w:val="35654980"/>
    <w:rsid w:val="358D34C6"/>
    <w:rsid w:val="3594661F"/>
    <w:rsid w:val="35B86320"/>
    <w:rsid w:val="36145188"/>
    <w:rsid w:val="364775F2"/>
    <w:rsid w:val="36A0632C"/>
    <w:rsid w:val="36BF0260"/>
    <w:rsid w:val="36D87907"/>
    <w:rsid w:val="37297561"/>
    <w:rsid w:val="373A3E20"/>
    <w:rsid w:val="37411FFE"/>
    <w:rsid w:val="377C06C1"/>
    <w:rsid w:val="377C4680"/>
    <w:rsid w:val="379420AA"/>
    <w:rsid w:val="38045282"/>
    <w:rsid w:val="381367FF"/>
    <w:rsid w:val="385D0FE0"/>
    <w:rsid w:val="38812183"/>
    <w:rsid w:val="389B7863"/>
    <w:rsid w:val="38AB3AC2"/>
    <w:rsid w:val="38D33E49"/>
    <w:rsid w:val="38E71C77"/>
    <w:rsid w:val="392859A6"/>
    <w:rsid w:val="395146E4"/>
    <w:rsid w:val="3994792C"/>
    <w:rsid w:val="39A15C9E"/>
    <w:rsid w:val="3A0C2C93"/>
    <w:rsid w:val="3A190C42"/>
    <w:rsid w:val="3A1A5B9A"/>
    <w:rsid w:val="3A481E82"/>
    <w:rsid w:val="3A545E38"/>
    <w:rsid w:val="3A6B43E2"/>
    <w:rsid w:val="3A8A19A2"/>
    <w:rsid w:val="3AB02FA5"/>
    <w:rsid w:val="3AB46091"/>
    <w:rsid w:val="3B207A16"/>
    <w:rsid w:val="3B44358E"/>
    <w:rsid w:val="3B4676F9"/>
    <w:rsid w:val="3B591190"/>
    <w:rsid w:val="3B7E3FEF"/>
    <w:rsid w:val="3B9331D3"/>
    <w:rsid w:val="3BEA6E19"/>
    <w:rsid w:val="3C192A1D"/>
    <w:rsid w:val="3C2E7CD9"/>
    <w:rsid w:val="3C432323"/>
    <w:rsid w:val="3C4C5B9D"/>
    <w:rsid w:val="3C5F18A9"/>
    <w:rsid w:val="3C6B7896"/>
    <w:rsid w:val="3C782FA9"/>
    <w:rsid w:val="3CA81F52"/>
    <w:rsid w:val="3CF47C7C"/>
    <w:rsid w:val="3D1261F8"/>
    <w:rsid w:val="3D1C301F"/>
    <w:rsid w:val="3D3D2135"/>
    <w:rsid w:val="3D65451B"/>
    <w:rsid w:val="3D766180"/>
    <w:rsid w:val="3D91026C"/>
    <w:rsid w:val="3D974BA2"/>
    <w:rsid w:val="3D992E06"/>
    <w:rsid w:val="3D9A279A"/>
    <w:rsid w:val="3DFF1990"/>
    <w:rsid w:val="3E2919ED"/>
    <w:rsid w:val="3E30444D"/>
    <w:rsid w:val="3E5B04C9"/>
    <w:rsid w:val="3EB57C42"/>
    <w:rsid w:val="3EDD0C49"/>
    <w:rsid w:val="3EE2018A"/>
    <w:rsid w:val="3EE554E2"/>
    <w:rsid w:val="3EFC4A0B"/>
    <w:rsid w:val="3F165785"/>
    <w:rsid w:val="3F2E4B3F"/>
    <w:rsid w:val="3F3C07A5"/>
    <w:rsid w:val="3F53483B"/>
    <w:rsid w:val="3FC02C41"/>
    <w:rsid w:val="3FD52A71"/>
    <w:rsid w:val="40490124"/>
    <w:rsid w:val="41240FFA"/>
    <w:rsid w:val="41372B4F"/>
    <w:rsid w:val="41B96849"/>
    <w:rsid w:val="41BB0996"/>
    <w:rsid w:val="423E3A75"/>
    <w:rsid w:val="4241384D"/>
    <w:rsid w:val="425F542B"/>
    <w:rsid w:val="42605154"/>
    <w:rsid w:val="429A0993"/>
    <w:rsid w:val="43533451"/>
    <w:rsid w:val="43732856"/>
    <w:rsid w:val="437E249E"/>
    <w:rsid w:val="441074AC"/>
    <w:rsid w:val="44163547"/>
    <w:rsid w:val="44361C78"/>
    <w:rsid w:val="444E4620"/>
    <w:rsid w:val="44C40F4E"/>
    <w:rsid w:val="454E3D3C"/>
    <w:rsid w:val="455D33B3"/>
    <w:rsid w:val="455D457F"/>
    <w:rsid w:val="456C0625"/>
    <w:rsid w:val="45E80174"/>
    <w:rsid w:val="45EA6720"/>
    <w:rsid w:val="45EF6BF6"/>
    <w:rsid w:val="46542D1D"/>
    <w:rsid w:val="46AE6F33"/>
    <w:rsid w:val="46CF1974"/>
    <w:rsid w:val="46EC35A2"/>
    <w:rsid w:val="471501D2"/>
    <w:rsid w:val="471D5476"/>
    <w:rsid w:val="47245DA7"/>
    <w:rsid w:val="4724658B"/>
    <w:rsid w:val="47625FEA"/>
    <w:rsid w:val="47796EAA"/>
    <w:rsid w:val="47813B4D"/>
    <w:rsid w:val="47917ADA"/>
    <w:rsid w:val="47B440D5"/>
    <w:rsid w:val="47B90D34"/>
    <w:rsid w:val="47C76018"/>
    <w:rsid w:val="481F316A"/>
    <w:rsid w:val="482F55E3"/>
    <w:rsid w:val="484B1829"/>
    <w:rsid w:val="4850733B"/>
    <w:rsid w:val="486C38FA"/>
    <w:rsid w:val="48A91760"/>
    <w:rsid w:val="48D873A1"/>
    <w:rsid w:val="48E60314"/>
    <w:rsid w:val="49163D54"/>
    <w:rsid w:val="4942369B"/>
    <w:rsid w:val="498D77CD"/>
    <w:rsid w:val="49A57DFF"/>
    <w:rsid w:val="49AC5F3E"/>
    <w:rsid w:val="49AE616E"/>
    <w:rsid w:val="49CC7F9C"/>
    <w:rsid w:val="49E61F67"/>
    <w:rsid w:val="4A142756"/>
    <w:rsid w:val="4A343A55"/>
    <w:rsid w:val="4A4170C0"/>
    <w:rsid w:val="4AC9433B"/>
    <w:rsid w:val="4B18264A"/>
    <w:rsid w:val="4B1D3901"/>
    <w:rsid w:val="4B6B0F4E"/>
    <w:rsid w:val="4B830BBB"/>
    <w:rsid w:val="4B9E690F"/>
    <w:rsid w:val="4BC4776A"/>
    <w:rsid w:val="4BF266DD"/>
    <w:rsid w:val="4C1A3292"/>
    <w:rsid w:val="4C7E2F03"/>
    <w:rsid w:val="4CDA7712"/>
    <w:rsid w:val="4CDB4816"/>
    <w:rsid w:val="4CE31F57"/>
    <w:rsid w:val="4CEF60BF"/>
    <w:rsid w:val="4D3637DE"/>
    <w:rsid w:val="4D645CE9"/>
    <w:rsid w:val="4D9329DF"/>
    <w:rsid w:val="4DBA5CD1"/>
    <w:rsid w:val="4DEA1F97"/>
    <w:rsid w:val="4DFD01D2"/>
    <w:rsid w:val="4E1267F7"/>
    <w:rsid w:val="4E772300"/>
    <w:rsid w:val="4E902369"/>
    <w:rsid w:val="4E9F6C3E"/>
    <w:rsid w:val="4ECB46E2"/>
    <w:rsid w:val="4EDD341E"/>
    <w:rsid w:val="4EEA689E"/>
    <w:rsid w:val="4F35117D"/>
    <w:rsid w:val="4F461418"/>
    <w:rsid w:val="4F8F3156"/>
    <w:rsid w:val="4F9547EC"/>
    <w:rsid w:val="4FE65037"/>
    <w:rsid w:val="4FEB4D54"/>
    <w:rsid w:val="4FF03836"/>
    <w:rsid w:val="50305D99"/>
    <w:rsid w:val="50621445"/>
    <w:rsid w:val="5074692F"/>
    <w:rsid w:val="5096669A"/>
    <w:rsid w:val="51107665"/>
    <w:rsid w:val="5142756E"/>
    <w:rsid w:val="5154503B"/>
    <w:rsid w:val="51DD5443"/>
    <w:rsid w:val="51E93949"/>
    <w:rsid w:val="51F04887"/>
    <w:rsid w:val="52321575"/>
    <w:rsid w:val="523A15F9"/>
    <w:rsid w:val="527B5817"/>
    <w:rsid w:val="52872BA3"/>
    <w:rsid w:val="52D47880"/>
    <w:rsid w:val="53583A8C"/>
    <w:rsid w:val="53B74837"/>
    <w:rsid w:val="541016B4"/>
    <w:rsid w:val="542E1C6B"/>
    <w:rsid w:val="543C08F8"/>
    <w:rsid w:val="544B6679"/>
    <w:rsid w:val="544D3AEE"/>
    <w:rsid w:val="5457181F"/>
    <w:rsid w:val="54646990"/>
    <w:rsid w:val="54951DE5"/>
    <w:rsid w:val="54B04062"/>
    <w:rsid w:val="54B8083C"/>
    <w:rsid w:val="54CC5154"/>
    <w:rsid w:val="54EA13E0"/>
    <w:rsid w:val="54FD17E6"/>
    <w:rsid w:val="55095260"/>
    <w:rsid w:val="55151345"/>
    <w:rsid w:val="554D6391"/>
    <w:rsid w:val="55674A17"/>
    <w:rsid w:val="558E489F"/>
    <w:rsid w:val="55924494"/>
    <w:rsid w:val="55A021AD"/>
    <w:rsid w:val="55AE6467"/>
    <w:rsid w:val="55C7060C"/>
    <w:rsid w:val="55ED3650"/>
    <w:rsid w:val="56242ECC"/>
    <w:rsid w:val="562936CA"/>
    <w:rsid w:val="562E50E1"/>
    <w:rsid w:val="56300B7B"/>
    <w:rsid w:val="565F3DA6"/>
    <w:rsid w:val="56A05D99"/>
    <w:rsid w:val="56C80DDE"/>
    <w:rsid w:val="56EA1451"/>
    <w:rsid w:val="56F46A10"/>
    <w:rsid w:val="57B44052"/>
    <w:rsid w:val="57D5294B"/>
    <w:rsid w:val="57ED328F"/>
    <w:rsid w:val="57F329F7"/>
    <w:rsid w:val="58104E1F"/>
    <w:rsid w:val="58286AE4"/>
    <w:rsid w:val="58616AC4"/>
    <w:rsid w:val="58E87911"/>
    <w:rsid w:val="59066829"/>
    <w:rsid w:val="591E5852"/>
    <w:rsid w:val="591F781C"/>
    <w:rsid w:val="592117E6"/>
    <w:rsid w:val="59277FB7"/>
    <w:rsid w:val="596C2D35"/>
    <w:rsid w:val="597A7267"/>
    <w:rsid w:val="59825CB5"/>
    <w:rsid w:val="59B53C70"/>
    <w:rsid w:val="59DA739B"/>
    <w:rsid w:val="59F43CA4"/>
    <w:rsid w:val="5A0C3E88"/>
    <w:rsid w:val="5A107A71"/>
    <w:rsid w:val="5A6A4B79"/>
    <w:rsid w:val="5A6E1D26"/>
    <w:rsid w:val="5A8E2E52"/>
    <w:rsid w:val="5AA634E0"/>
    <w:rsid w:val="5AD148BD"/>
    <w:rsid w:val="5AD82271"/>
    <w:rsid w:val="5AF26F96"/>
    <w:rsid w:val="5B0525A2"/>
    <w:rsid w:val="5B2C7914"/>
    <w:rsid w:val="5B3A6B8F"/>
    <w:rsid w:val="5BD05CD7"/>
    <w:rsid w:val="5BF1698B"/>
    <w:rsid w:val="5BFF6E82"/>
    <w:rsid w:val="5C302549"/>
    <w:rsid w:val="5C5C3993"/>
    <w:rsid w:val="5C753BF3"/>
    <w:rsid w:val="5CAF5E5A"/>
    <w:rsid w:val="5CC154D0"/>
    <w:rsid w:val="5CDC2451"/>
    <w:rsid w:val="5D462BDB"/>
    <w:rsid w:val="5D4B73C8"/>
    <w:rsid w:val="5D605E75"/>
    <w:rsid w:val="5D8067FD"/>
    <w:rsid w:val="5DAA05DA"/>
    <w:rsid w:val="5DB85B2B"/>
    <w:rsid w:val="5DC7614A"/>
    <w:rsid w:val="5DDE25BF"/>
    <w:rsid w:val="5E391966"/>
    <w:rsid w:val="5E721D9D"/>
    <w:rsid w:val="5E8E1297"/>
    <w:rsid w:val="5EE244C9"/>
    <w:rsid w:val="5F1539F4"/>
    <w:rsid w:val="5F28073E"/>
    <w:rsid w:val="5F3E232D"/>
    <w:rsid w:val="5F6C3BBF"/>
    <w:rsid w:val="5F882222"/>
    <w:rsid w:val="6014012B"/>
    <w:rsid w:val="60443DDE"/>
    <w:rsid w:val="606D0B7B"/>
    <w:rsid w:val="60775492"/>
    <w:rsid w:val="607B1408"/>
    <w:rsid w:val="60C82547"/>
    <w:rsid w:val="610C40F9"/>
    <w:rsid w:val="611300FD"/>
    <w:rsid w:val="614D247B"/>
    <w:rsid w:val="616C3134"/>
    <w:rsid w:val="619F093C"/>
    <w:rsid w:val="61A15272"/>
    <w:rsid w:val="61AF3E33"/>
    <w:rsid w:val="61DF5E7D"/>
    <w:rsid w:val="61EE1479"/>
    <w:rsid w:val="62956CCF"/>
    <w:rsid w:val="62DC0B72"/>
    <w:rsid w:val="62FC7813"/>
    <w:rsid w:val="6310572B"/>
    <w:rsid w:val="634A622D"/>
    <w:rsid w:val="6395618D"/>
    <w:rsid w:val="63C65464"/>
    <w:rsid w:val="646B7DB9"/>
    <w:rsid w:val="646D4B87"/>
    <w:rsid w:val="64B76A2E"/>
    <w:rsid w:val="64F539DA"/>
    <w:rsid w:val="64F9301E"/>
    <w:rsid w:val="654D5AD3"/>
    <w:rsid w:val="65E07078"/>
    <w:rsid w:val="6604404B"/>
    <w:rsid w:val="666844C0"/>
    <w:rsid w:val="66CC2174"/>
    <w:rsid w:val="66EE7FF0"/>
    <w:rsid w:val="67140FEE"/>
    <w:rsid w:val="671604B0"/>
    <w:rsid w:val="673C55D9"/>
    <w:rsid w:val="67402283"/>
    <w:rsid w:val="67C3469B"/>
    <w:rsid w:val="67C552AE"/>
    <w:rsid w:val="689F16A3"/>
    <w:rsid w:val="68A07B3D"/>
    <w:rsid w:val="68AA5473"/>
    <w:rsid w:val="690D501D"/>
    <w:rsid w:val="69252C2D"/>
    <w:rsid w:val="694E2BF2"/>
    <w:rsid w:val="696C3B9C"/>
    <w:rsid w:val="697719BE"/>
    <w:rsid w:val="69BB24B6"/>
    <w:rsid w:val="69E73623"/>
    <w:rsid w:val="69FF4821"/>
    <w:rsid w:val="6A307B61"/>
    <w:rsid w:val="6A6F39BA"/>
    <w:rsid w:val="6A764710"/>
    <w:rsid w:val="6A7C785B"/>
    <w:rsid w:val="6ACD3601"/>
    <w:rsid w:val="6B081284"/>
    <w:rsid w:val="6B0A5399"/>
    <w:rsid w:val="6B1F7DBD"/>
    <w:rsid w:val="6B4333E3"/>
    <w:rsid w:val="6B6A7A84"/>
    <w:rsid w:val="6BD75905"/>
    <w:rsid w:val="6BF3467A"/>
    <w:rsid w:val="6C1C33B2"/>
    <w:rsid w:val="6C2447A1"/>
    <w:rsid w:val="6C283FF3"/>
    <w:rsid w:val="6C2F0F7A"/>
    <w:rsid w:val="6C715E69"/>
    <w:rsid w:val="6C850B95"/>
    <w:rsid w:val="6CCB78AA"/>
    <w:rsid w:val="6CDF30F3"/>
    <w:rsid w:val="6D5556EE"/>
    <w:rsid w:val="6D6F4D1B"/>
    <w:rsid w:val="6DFF1C9E"/>
    <w:rsid w:val="6DFF521E"/>
    <w:rsid w:val="6E2B4DF8"/>
    <w:rsid w:val="6E5F44EB"/>
    <w:rsid w:val="6EBD318A"/>
    <w:rsid w:val="6EF57093"/>
    <w:rsid w:val="6EFF7858"/>
    <w:rsid w:val="6F72780A"/>
    <w:rsid w:val="6F840A2A"/>
    <w:rsid w:val="6F8820A1"/>
    <w:rsid w:val="70260C1E"/>
    <w:rsid w:val="7047792D"/>
    <w:rsid w:val="70682E98"/>
    <w:rsid w:val="70910BDF"/>
    <w:rsid w:val="70A3499D"/>
    <w:rsid w:val="70A540E4"/>
    <w:rsid w:val="715D1BDD"/>
    <w:rsid w:val="71B50421"/>
    <w:rsid w:val="71F72C8D"/>
    <w:rsid w:val="721B426A"/>
    <w:rsid w:val="72201ACF"/>
    <w:rsid w:val="72883058"/>
    <w:rsid w:val="72A02B65"/>
    <w:rsid w:val="72CD158A"/>
    <w:rsid w:val="73017015"/>
    <w:rsid w:val="737E72AF"/>
    <w:rsid w:val="738F0067"/>
    <w:rsid w:val="739D05F9"/>
    <w:rsid w:val="73CA5617"/>
    <w:rsid w:val="74532713"/>
    <w:rsid w:val="745443C6"/>
    <w:rsid w:val="746D6AFE"/>
    <w:rsid w:val="74721AEE"/>
    <w:rsid w:val="74B135C7"/>
    <w:rsid w:val="74C07CAE"/>
    <w:rsid w:val="74C57072"/>
    <w:rsid w:val="74D95226"/>
    <w:rsid w:val="74EF79AF"/>
    <w:rsid w:val="75130C42"/>
    <w:rsid w:val="75150AB7"/>
    <w:rsid w:val="75AA7DAF"/>
    <w:rsid w:val="75C17407"/>
    <w:rsid w:val="75C60334"/>
    <w:rsid w:val="75D4148C"/>
    <w:rsid w:val="75E33C54"/>
    <w:rsid w:val="760E7EDA"/>
    <w:rsid w:val="76486BF8"/>
    <w:rsid w:val="768216BE"/>
    <w:rsid w:val="770D696D"/>
    <w:rsid w:val="77715632"/>
    <w:rsid w:val="77763AB8"/>
    <w:rsid w:val="77A96E2C"/>
    <w:rsid w:val="77E95FA6"/>
    <w:rsid w:val="77FE452A"/>
    <w:rsid w:val="781F77E3"/>
    <w:rsid w:val="7899276D"/>
    <w:rsid w:val="78C10CD3"/>
    <w:rsid w:val="78E916BB"/>
    <w:rsid w:val="793479B2"/>
    <w:rsid w:val="794D4C08"/>
    <w:rsid w:val="7958478C"/>
    <w:rsid w:val="796A56C0"/>
    <w:rsid w:val="797F3457"/>
    <w:rsid w:val="79C0266A"/>
    <w:rsid w:val="79C81C6F"/>
    <w:rsid w:val="7A0C47FC"/>
    <w:rsid w:val="7A621180"/>
    <w:rsid w:val="7A6223EB"/>
    <w:rsid w:val="7B1D6E48"/>
    <w:rsid w:val="7B291CC5"/>
    <w:rsid w:val="7B374DE6"/>
    <w:rsid w:val="7B3D64D4"/>
    <w:rsid w:val="7B616180"/>
    <w:rsid w:val="7BD337FC"/>
    <w:rsid w:val="7BDC0FE5"/>
    <w:rsid w:val="7BDD35AD"/>
    <w:rsid w:val="7BF35FEA"/>
    <w:rsid w:val="7C3B3C0C"/>
    <w:rsid w:val="7C4D3D05"/>
    <w:rsid w:val="7C6F38C3"/>
    <w:rsid w:val="7D0254BA"/>
    <w:rsid w:val="7D7F65DC"/>
    <w:rsid w:val="7DA12AFE"/>
    <w:rsid w:val="7DA86AFB"/>
    <w:rsid w:val="7DBA1B16"/>
    <w:rsid w:val="7DE629F2"/>
    <w:rsid w:val="7DF90B70"/>
    <w:rsid w:val="7E490F93"/>
    <w:rsid w:val="7E8042F0"/>
    <w:rsid w:val="7E823947"/>
    <w:rsid w:val="7EC96B5B"/>
    <w:rsid w:val="7EEA417D"/>
    <w:rsid w:val="7F0666E9"/>
    <w:rsid w:val="7F1F18DB"/>
    <w:rsid w:val="7F271055"/>
    <w:rsid w:val="7F365594"/>
    <w:rsid w:val="7F3E4FF8"/>
    <w:rsid w:val="7F490A4D"/>
    <w:rsid w:val="7F815887"/>
    <w:rsid w:val="7F945811"/>
    <w:rsid w:val="7FB9535E"/>
    <w:rsid w:val="7FC20D7E"/>
    <w:rsid w:val="7FE47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60" w:after="80"/>
      <w:outlineLvl w:val="0"/>
    </w:pPr>
    <w:rPr>
      <w:rFonts w:ascii="Arial" w:hAnsi="Arial" w:eastAsia="仿宋" w:cs="Arial"/>
      <w:b/>
      <w:sz w:val="28"/>
      <w:szCs w:val="40"/>
    </w:rPr>
  </w:style>
  <w:style w:type="paragraph" w:styleId="3">
    <w:name w:val="heading 2"/>
    <w:basedOn w:val="1"/>
    <w:next w:val="1"/>
    <w:link w:val="19"/>
    <w:unhideWhenUsed/>
    <w:qFormat/>
    <w:uiPriority w:val="9"/>
    <w:pPr>
      <w:keepNext/>
      <w:keepLines/>
      <w:spacing w:before="160" w:after="80"/>
      <w:outlineLvl w:val="1"/>
    </w:pPr>
    <w:rPr>
      <w:rFonts w:ascii="Arial" w:hAnsi="Arial" w:eastAsia="仿宋" w:cs="Arial"/>
      <w:b/>
      <w:sz w:val="24"/>
      <w:szCs w:val="32"/>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99"/>
    <w:rPr>
      <w:rFonts w:cs="宋体"/>
      <w:szCs w:val="21"/>
    </w:rPr>
  </w:style>
  <w:style w:type="paragraph" w:styleId="7">
    <w:name w:val="List Bullet 5"/>
    <w:basedOn w:val="1"/>
    <w:qFormat/>
    <w:uiPriority w:val="0"/>
    <w:pPr>
      <w:numPr>
        <w:ilvl w:val="0"/>
        <w:numId w:val="1"/>
      </w:numPr>
    </w:pPr>
  </w:style>
  <w:style w:type="paragraph" w:styleId="8">
    <w:name w:val="Plain Text"/>
    <w:basedOn w:val="1"/>
    <w:qFormat/>
    <w:uiPriority w:val="0"/>
    <w:rPr>
      <w:rFonts w:ascii="宋体" w:hAnsi="Courier New" w:cs="Courier New"/>
      <w:szCs w:val="21"/>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style>
  <w:style w:type="paragraph" w:styleId="12">
    <w:name w:val="toc 2"/>
    <w:basedOn w:val="1"/>
    <w:next w:val="1"/>
    <w:qFormat/>
    <w:uiPriority w:val="39"/>
    <w:pPr>
      <w:ind w:left="420" w:leftChars="200"/>
    </w:pPr>
  </w:style>
  <w:style w:type="table" w:styleId="14">
    <w:name w:val="Table Grid"/>
    <w:basedOn w:val="1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rPr>
  </w:style>
  <w:style w:type="character" w:styleId="17">
    <w:name w:val="Emphasis"/>
    <w:basedOn w:val="15"/>
    <w:qFormat/>
    <w:uiPriority w:val="0"/>
    <w:rPr>
      <w:i/>
      <w:iCs/>
    </w:rPr>
  </w:style>
  <w:style w:type="character" w:styleId="18">
    <w:name w:val="Hyperlink"/>
    <w:basedOn w:val="15"/>
    <w:unhideWhenUsed/>
    <w:qFormat/>
    <w:uiPriority w:val="99"/>
    <w:rPr>
      <w:color w:val="0026E5" w:themeColor="hyperlink"/>
      <w:u w:val="single"/>
      <w14:textFill>
        <w14:solidFill>
          <w14:schemeClr w14:val="hlink"/>
        </w14:solidFill>
      </w14:textFill>
    </w:rPr>
  </w:style>
  <w:style w:type="character" w:customStyle="1" w:styleId="19">
    <w:name w:val="标题 2 字符"/>
    <w:basedOn w:val="15"/>
    <w:link w:val="3"/>
    <w:qFormat/>
    <w:uiPriority w:val="9"/>
    <w:rPr>
      <w:rFonts w:ascii="Arial" w:hAnsi="Arial" w:eastAsia="仿宋" w:cs="Arial"/>
      <w:b/>
      <w:sz w:val="24"/>
      <w:szCs w:val="32"/>
    </w:rPr>
  </w:style>
  <w:style w:type="paragraph" w:customStyle="1" w:styleId="20">
    <w:name w:val="列出段落1"/>
    <w:basedOn w:val="1"/>
    <w:qFormat/>
    <w:uiPriority w:val="34"/>
    <w:pPr>
      <w:ind w:firstLine="420"/>
    </w:pPr>
  </w:style>
  <w:style w:type="character" w:customStyle="1" w:styleId="21">
    <w:name w:val="页脚 字符"/>
    <w:basedOn w:val="15"/>
    <w:link w:val="9"/>
    <w:qFormat/>
    <w:uiPriority w:val="99"/>
    <w:rPr>
      <w:kern w:val="2"/>
      <w:sz w:val="18"/>
      <w:szCs w:val="24"/>
    </w:rPr>
  </w:style>
  <w:style w:type="paragraph" w:styleId="2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D73683-1BF5-4931-88C4-F9A71D78B3FD}">
  <ds:schemaRefs/>
</ds:datastoreItem>
</file>

<file path=docProps/app.xml><?xml version="1.0" encoding="utf-8"?>
<Properties xmlns="http://schemas.openxmlformats.org/officeDocument/2006/extended-properties" xmlns:vt="http://schemas.openxmlformats.org/officeDocument/2006/docPropsVTypes">
  <Template>Normal</Template>
  <Pages>37</Pages>
  <Words>9064</Words>
  <Characters>9535</Characters>
  <Lines>930</Lines>
  <Paragraphs>763</Paragraphs>
  <TotalTime>3</TotalTime>
  <ScaleCrop>false</ScaleCrop>
  <LinksUpToDate>false</LinksUpToDate>
  <CharactersWithSpaces>9721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2022-03-29T07:31:00Z</dcterms:created>
  <dc:creator>ychen</dc:creator>
  <cp:lastModifiedBy>Day丶17</cp:lastModifiedBy>
  <cp:lastPrinted>2025-06-11T08:04:00Z</cp:lastPrinted>
  <dcterms:modified xsi:type="dcterms:W3CDTF">2026-07-20T03:14:06Z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36B910F59B30428687367A1217F94E55</vt:lpwstr>
  </property>
  <property fmtid="{D5CDD505-2E9C-101B-9397-08002B2CF9AE}" pid="4" name="KSOTemplateDocerSaveRecord">
    <vt:lpwstr>eyJoZGlkIjoiZDI1YTc4ZGRlZTE4ZWFlMjI5YmQ4MzczOGY3NmZhOGMiLCJ1c2VySWQiOiI0Njc0NjIyMzcifQ==</vt:lpwstr>
  </property>
</Properties>
</file>