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8606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inorEastAsia"/>
          <w:highlight w:val="none"/>
          <w:lang w:val="en-US" w:eastAsia="zh-CN"/>
        </w:rPr>
      </w:pPr>
    </w:p>
    <w:p w14:paraId="35BD408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inorEastAsia"/>
          <w:highlight w:val="none"/>
          <w:lang w:val="en-US" w:eastAsia="zh-CN"/>
        </w:rPr>
      </w:pPr>
    </w:p>
    <w:p w14:paraId="37C4562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inorEastAsia"/>
          <w:highlight w:val="none"/>
          <w:lang w:val="en-US" w:eastAsia="zh-CN"/>
        </w:rPr>
      </w:pPr>
    </w:p>
    <w:p w14:paraId="3A8EDCE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inorEastAsia"/>
          <w:highlight w:val="none"/>
          <w:lang w:val="en-US" w:eastAsia="zh-CN"/>
        </w:rPr>
      </w:pPr>
    </w:p>
    <w:p w14:paraId="6467AFE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inorEastAsia"/>
          <w:highlight w:val="none"/>
          <w:lang w:val="en-US" w:eastAsia="zh-CN"/>
        </w:rPr>
      </w:pPr>
    </w:p>
    <w:p w14:paraId="171A1CBB">
      <w:pPr>
        <w:jc w:val="center"/>
        <w:rPr>
          <w:rFonts w:hint="default" w:ascii="Times New Roman" w:hAnsi="Times New Roman" w:eastAsia="华文行楷" w:cs="Times New Roman"/>
          <w:b w:val="0"/>
          <w:bCs/>
          <w:color w:val="auto"/>
          <w:sz w:val="192"/>
          <w:szCs w:val="22"/>
          <w:highlight w:val="none"/>
        </w:rPr>
      </w:pPr>
      <w:r>
        <w:rPr>
          <w:rFonts w:hint="default" w:ascii="Times New Roman" w:hAnsi="Times New Roman" w:eastAsia="华文行楷" w:cs="Times New Roman"/>
          <w:b w:val="0"/>
          <w:bCs/>
          <w:color w:val="auto"/>
          <w:sz w:val="200"/>
          <w:szCs w:val="24"/>
          <w:highlight w:val="none"/>
        </w:rPr>
        <w:t>报告书</w:t>
      </w:r>
    </w:p>
    <w:p w14:paraId="6B2DF1EB">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ascii="Times New Roman" w:hAnsi="Times New Roman" w:cs="Times New Roman" w:eastAsiaTheme="minorEastAsia"/>
          <w:highlight w:val="none"/>
          <w:lang w:val="en-US" w:eastAsia="zh-CN"/>
        </w:rPr>
      </w:pPr>
    </w:p>
    <w:p w14:paraId="659656A4">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ascii="Times New Roman" w:hAnsi="Times New Roman" w:cs="Times New Roman" w:eastAsiaTheme="minorEastAsia"/>
          <w:highlight w:val="none"/>
          <w:lang w:val="en-US" w:eastAsia="zh-CN"/>
        </w:rPr>
      </w:pPr>
    </w:p>
    <w:p w14:paraId="0BE8D4DA">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eastAsiaTheme="minorEastAsia"/>
          <w:highlight w:val="none"/>
          <w:lang w:val="en-US" w:eastAsia="zh-CN"/>
        </w:rPr>
      </w:pPr>
    </w:p>
    <w:p w14:paraId="5BF4DC26">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eastAsiaTheme="minorEastAsia"/>
          <w:highlight w:val="none"/>
          <w:lang w:val="en-US" w:eastAsia="zh-CN"/>
        </w:rPr>
      </w:pPr>
    </w:p>
    <w:p w14:paraId="73081021">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eastAsiaTheme="minorEastAsia"/>
          <w:highlight w:val="none"/>
          <w:lang w:val="en-US" w:eastAsia="zh-CN"/>
        </w:rPr>
      </w:pPr>
    </w:p>
    <w:p w14:paraId="38037F3C">
      <w:pPr>
        <w:keepNext w:val="0"/>
        <w:keepLines w:val="0"/>
        <w:pageBreakBefore w:val="0"/>
        <w:widowControl w:val="0"/>
        <w:kinsoku/>
        <w:wordWrap/>
        <w:overflowPunct/>
        <w:topLinePunct w:val="0"/>
        <w:autoSpaceDE/>
        <w:autoSpaceDN/>
        <w:bidi w:val="0"/>
        <w:adjustRightInd/>
        <w:snapToGrid/>
        <w:ind w:left="2209" w:leftChars="0" w:hanging="2209" w:hangingChars="500"/>
        <w:jc w:val="left"/>
        <w:textAlignment w:val="auto"/>
        <w:rPr>
          <w:rFonts w:hint="default" w:ascii="Times New Roman" w:hAnsi="Times New Roman" w:eastAsia="仿宋" w:cs="Times New Roman"/>
          <w:b/>
          <w:bCs/>
          <w:sz w:val="32"/>
          <w:szCs w:val="40"/>
          <w:highlight w:val="none"/>
          <w:u w:val="thick"/>
          <w:lang w:val="en-US" w:eastAsia="zh-CN"/>
        </w:rPr>
      </w:pPr>
      <w:r>
        <w:rPr>
          <w:rFonts w:hint="default" w:ascii="Times New Roman" w:hAnsi="Times New Roman" w:eastAsia="仿宋" w:cs="Times New Roman"/>
          <w:b/>
          <w:bCs/>
          <w:sz w:val="44"/>
          <w:szCs w:val="52"/>
          <w:highlight w:val="none"/>
          <w:lang w:val="en-US" w:eastAsia="zh-CN"/>
        </w:rPr>
        <w:t>项目名称：</w:t>
      </w:r>
      <w:r>
        <w:rPr>
          <w:rFonts w:hint="default" w:ascii="Times New Roman" w:hAnsi="Times New Roman" w:eastAsia="仿宋" w:cs="Times New Roman"/>
          <w:b/>
          <w:bCs/>
          <w:sz w:val="32"/>
          <w:szCs w:val="40"/>
          <w:highlight w:val="none"/>
          <w:u w:val="single"/>
          <w:lang w:val="en-US" w:eastAsia="zh-CN"/>
        </w:rPr>
        <w:t xml:space="preserve">石狮市2024年自然灾害应急能力提升工程   </w:t>
      </w:r>
    </w:p>
    <w:p w14:paraId="08EDD729">
      <w:pPr>
        <w:keepNext w:val="0"/>
        <w:keepLines w:val="0"/>
        <w:pageBreakBefore w:val="0"/>
        <w:widowControl w:val="0"/>
        <w:kinsoku/>
        <w:wordWrap/>
        <w:overflowPunct/>
        <w:topLinePunct w:val="0"/>
        <w:autoSpaceDE/>
        <w:autoSpaceDN/>
        <w:bidi w:val="0"/>
        <w:adjustRightInd/>
        <w:snapToGrid/>
        <w:ind w:left="1600" w:leftChars="762" w:firstLine="643" w:firstLineChars="200"/>
        <w:jc w:val="left"/>
        <w:textAlignment w:val="auto"/>
        <w:rPr>
          <w:rFonts w:hint="default" w:ascii="Times New Roman" w:hAnsi="Times New Roman" w:eastAsia="仿宋" w:cs="Times New Roman"/>
          <w:b/>
          <w:bCs/>
          <w:sz w:val="32"/>
          <w:szCs w:val="40"/>
          <w:highlight w:val="none"/>
          <w:u w:val="thick"/>
          <w:lang w:val="en-US" w:eastAsia="zh-CN"/>
        </w:rPr>
      </w:pPr>
      <w:r>
        <w:rPr>
          <w:rFonts w:hint="default" w:ascii="Times New Roman" w:hAnsi="Times New Roman" w:eastAsia="仿宋" w:cs="Times New Roman"/>
          <w:b/>
          <w:bCs/>
          <w:sz w:val="32"/>
          <w:szCs w:val="40"/>
          <w:highlight w:val="none"/>
          <w:u w:val="single"/>
          <w:lang w:val="en-US" w:eastAsia="zh-CN"/>
        </w:rPr>
        <w:t xml:space="preserve">经费财政支出绩效评价                     </w:t>
      </w:r>
      <w:r>
        <w:rPr>
          <w:rFonts w:hint="default" w:ascii="Times New Roman" w:hAnsi="Times New Roman" w:eastAsia="仿宋" w:cs="Times New Roman"/>
          <w:b/>
          <w:bCs/>
          <w:sz w:val="32"/>
          <w:szCs w:val="40"/>
          <w:highlight w:val="none"/>
          <w:u w:val="thick"/>
          <w:lang w:val="en-US" w:eastAsia="zh-CN"/>
        </w:rPr>
        <w:t xml:space="preserve">   </w:t>
      </w:r>
    </w:p>
    <w:p w14:paraId="1B147A81">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default" w:ascii="Times New Roman" w:hAnsi="Times New Roman" w:eastAsia="仿宋" w:cs="Times New Roman"/>
          <w:b/>
          <w:bCs/>
          <w:sz w:val="44"/>
          <w:szCs w:val="52"/>
          <w:highlight w:val="none"/>
          <w:lang w:val="en-US" w:eastAsia="zh-CN"/>
        </w:rPr>
      </w:pPr>
      <w:r>
        <w:rPr>
          <w:rFonts w:hint="default" w:ascii="Times New Roman" w:hAnsi="Times New Roman" w:eastAsia="仿宋" w:cs="Times New Roman"/>
          <w:b/>
          <w:bCs/>
          <w:sz w:val="44"/>
          <w:szCs w:val="52"/>
          <w:highlight w:val="none"/>
          <w:lang w:val="en-US" w:eastAsia="zh-CN"/>
        </w:rPr>
        <w:t>委 托 方：</w:t>
      </w:r>
      <w:r>
        <w:rPr>
          <w:rFonts w:hint="default" w:ascii="Times New Roman" w:hAnsi="Times New Roman" w:eastAsia="仿宋" w:cs="Times New Roman"/>
          <w:b/>
          <w:bCs/>
          <w:sz w:val="32"/>
          <w:szCs w:val="40"/>
          <w:highlight w:val="none"/>
          <w:u w:val="single"/>
          <w:lang w:val="en-US" w:eastAsia="zh-CN"/>
        </w:rPr>
        <w:t xml:space="preserve">石狮市财政局    </w:t>
      </w:r>
      <w:r>
        <w:rPr>
          <w:rFonts w:hint="default" w:ascii="Times New Roman" w:hAnsi="Times New Roman" w:eastAsia="仿宋" w:cs="Times New Roman"/>
          <w:b/>
          <w:bCs/>
          <w:sz w:val="28"/>
          <w:szCs w:val="36"/>
          <w:highlight w:val="none"/>
          <w:u w:val="single"/>
          <w:lang w:val="en-US" w:eastAsia="zh-CN"/>
        </w:rPr>
        <w:t xml:space="preserve">                             </w:t>
      </w:r>
      <w:r>
        <w:rPr>
          <w:rFonts w:hint="default" w:ascii="Times New Roman" w:hAnsi="Times New Roman" w:eastAsia="仿宋" w:cs="Times New Roman"/>
          <w:b/>
          <w:bCs/>
          <w:sz w:val="28"/>
          <w:szCs w:val="36"/>
          <w:highlight w:val="none"/>
          <w:u w:val="thick"/>
          <w:lang w:val="en-US" w:eastAsia="zh-CN"/>
        </w:rPr>
        <w:t xml:space="preserve">  </w:t>
      </w:r>
    </w:p>
    <w:p w14:paraId="0FE57935">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default" w:ascii="Times New Roman" w:hAnsi="Times New Roman" w:eastAsia="仿宋" w:cs="Times New Roman"/>
          <w:b/>
          <w:bCs/>
          <w:sz w:val="44"/>
          <w:szCs w:val="52"/>
          <w:highlight w:val="none"/>
          <w:u w:val="thick"/>
          <w:lang w:val="en-US" w:eastAsia="zh-CN"/>
        </w:rPr>
      </w:pPr>
      <w:r>
        <w:rPr>
          <w:rFonts w:hint="default" w:ascii="Times New Roman" w:hAnsi="Times New Roman" w:eastAsia="仿宋" w:cs="Times New Roman"/>
          <w:b/>
          <w:bCs/>
          <w:sz w:val="44"/>
          <w:szCs w:val="52"/>
          <w:highlight w:val="none"/>
          <w:lang w:val="en-US" w:eastAsia="zh-CN"/>
        </w:rPr>
        <w:t>项目单位：</w:t>
      </w:r>
      <w:r>
        <w:rPr>
          <w:rFonts w:hint="default" w:ascii="Times New Roman" w:hAnsi="Times New Roman" w:eastAsia="仿宋" w:cs="Times New Roman"/>
          <w:b/>
          <w:bCs/>
          <w:sz w:val="32"/>
          <w:szCs w:val="32"/>
          <w:highlight w:val="none"/>
          <w:u w:val="single"/>
          <w:lang w:val="en-US" w:eastAsia="zh-CN"/>
        </w:rPr>
        <w:t xml:space="preserve">石狮市应急管理局 </w:t>
      </w:r>
      <w:r>
        <w:rPr>
          <w:rFonts w:hint="default" w:ascii="Times New Roman" w:hAnsi="Times New Roman" w:eastAsia="仿宋" w:cs="Times New Roman"/>
          <w:b/>
          <w:bCs/>
          <w:sz w:val="32"/>
          <w:szCs w:val="40"/>
          <w:highlight w:val="none"/>
          <w:u w:val="single"/>
          <w:lang w:val="en-US" w:eastAsia="zh-CN"/>
        </w:rPr>
        <w:t xml:space="preserve">            </w:t>
      </w:r>
      <w:r>
        <w:rPr>
          <w:rFonts w:hint="default" w:ascii="Times New Roman" w:hAnsi="Times New Roman" w:eastAsia="仿宋" w:cs="Times New Roman"/>
          <w:b/>
          <w:bCs/>
          <w:sz w:val="28"/>
          <w:szCs w:val="36"/>
          <w:highlight w:val="none"/>
          <w:u w:val="single"/>
          <w:lang w:val="en-US" w:eastAsia="zh-CN"/>
        </w:rPr>
        <w:t xml:space="preserve">             </w:t>
      </w:r>
      <w:r>
        <w:rPr>
          <w:rFonts w:hint="default" w:ascii="Times New Roman" w:hAnsi="Times New Roman" w:eastAsia="仿宋" w:cs="Times New Roman"/>
          <w:b/>
          <w:bCs/>
          <w:sz w:val="28"/>
          <w:szCs w:val="36"/>
          <w:highlight w:val="none"/>
          <w:u w:val="thick"/>
          <w:lang w:val="en-US" w:eastAsia="zh-CN"/>
        </w:rPr>
        <w:t xml:space="preserve">        </w:t>
      </w:r>
    </w:p>
    <w:p w14:paraId="13A0BB77">
      <w:pPr>
        <w:keepNext w:val="0"/>
        <w:keepLines w:val="0"/>
        <w:pageBreakBefore w:val="0"/>
        <w:widowControl w:val="0"/>
        <w:kinsoku/>
        <w:wordWrap/>
        <w:overflowPunct/>
        <w:topLinePunct w:val="0"/>
        <w:autoSpaceDE/>
        <w:autoSpaceDN/>
        <w:bidi w:val="0"/>
        <w:adjustRightInd/>
        <w:snapToGrid/>
        <w:ind w:left="0" w:leftChars="0"/>
        <w:jc w:val="left"/>
        <w:textAlignment w:val="auto"/>
        <w:rPr>
          <w:rFonts w:hint="default" w:ascii="Times New Roman" w:hAnsi="Times New Roman" w:cs="Times New Roman" w:eastAsiaTheme="minorEastAsia"/>
          <w:highlight w:val="none"/>
          <w:lang w:val="en-US" w:eastAsia="zh-CN"/>
        </w:rPr>
      </w:pPr>
      <w:r>
        <w:rPr>
          <w:rFonts w:hint="default" w:ascii="Times New Roman" w:hAnsi="Times New Roman" w:eastAsia="仿宋" w:cs="Times New Roman"/>
          <w:b/>
          <w:bCs/>
          <w:sz w:val="44"/>
          <w:szCs w:val="52"/>
          <w:highlight w:val="none"/>
          <w:lang w:val="en-US" w:eastAsia="zh-CN"/>
        </w:rPr>
        <w:t>评价机构：</w:t>
      </w:r>
      <w:r>
        <w:rPr>
          <w:rFonts w:hint="default" w:ascii="Times New Roman" w:hAnsi="Times New Roman" w:eastAsia="仿宋" w:cs="Times New Roman"/>
          <w:b/>
          <w:bCs/>
          <w:sz w:val="32"/>
          <w:szCs w:val="32"/>
          <w:highlight w:val="none"/>
          <w:u w:val="single"/>
          <w:lang w:val="en-US" w:eastAsia="zh-CN"/>
        </w:rPr>
        <w:t xml:space="preserve">集大财经咨询（福州）有限公司             </w:t>
      </w:r>
      <w:r>
        <w:rPr>
          <w:rFonts w:hint="default" w:ascii="Times New Roman" w:hAnsi="Times New Roman" w:eastAsia="仿宋" w:cs="Times New Roman"/>
          <w:b/>
          <w:bCs/>
          <w:sz w:val="32"/>
          <w:szCs w:val="32"/>
          <w:highlight w:val="none"/>
          <w:u w:val="thick"/>
          <w:lang w:val="en-US" w:eastAsia="zh-CN"/>
        </w:rPr>
        <w:t xml:space="preserve">       </w:t>
      </w:r>
      <w:r>
        <w:rPr>
          <w:rFonts w:hint="default" w:ascii="Times New Roman" w:hAnsi="Times New Roman" w:cs="Times New Roman"/>
          <w:b/>
          <w:bCs/>
          <w:sz w:val="28"/>
          <w:szCs w:val="36"/>
          <w:highlight w:val="none"/>
          <w:u w:val="thick"/>
          <w:lang w:val="en-US" w:eastAsia="zh-CN"/>
        </w:rPr>
        <w:t xml:space="preserve">           </w:t>
      </w:r>
    </w:p>
    <w:p w14:paraId="28DA4D2F">
      <w:pPr>
        <w:keepNext w:val="0"/>
        <w:keepLines w:val="0"/>
        <w:pageBreakBefore w:val="0"/>
        <w:widowControl w:val="0"/>
        <w:kinsoku/>
        <w:wordWrap/>
        <w:overflowPunct/>
        <w:topLinePunct w:val="0"/>
        <w:autoSpaceDE/>
        <w:autoSpaceDN/>
        <w:bidi w:val="0"/>
        <w:adjustRightInd/>
        <w:snapToGrid/>
        <w:ind w:leftChars="400"/>
        <w:jc w:val="left"/>
        <w:textAlignment w:val="auto"/>
        <w:rPr>
          <w:rFonts w:hint="default" w:ascii="Times New Roman" w:hAnsi="Times New Roman" w:cs="Times New Roman" w:eastAsiaTheme="minorEastAsia"/>
          <w:highlight w:val="none"/>
          <w:lang w:val="en-US" w:eastAsia="zh-CN"/>
        </w:rPr>
      </w:pPr>
    </w:p>
    <w:p w14:paraId="5DC19324">
      <w:pPr>
        <w:jc w:val="left"/>
        <w:rPr>
          <w:rFonts w:hint="default" w:ascii="Times New Roman" w:hAnsi="Times New Roman" w:cs="Times New Roman" w:eastAsiaTheme="minorEastAsia"/>
          <w:highlight w:val="none"/>
          <w:lang w:val="en-US" w:eastAsia="zh-CN"/>
        </w:rPr>
      </w:pPr>
    </w:p>
    <w:p w14:paraId="36063BC8">
      <w:pPr>
        <w:jc w:val="left"/>
        <w:rPr>
          <w:rFonts w:hint="default" w:ascii="Times New Roman" w:hAnsi="Times New Roman" w:cs="Times New Roman" w:eastAsiaTheme="minorEastAsia"/>
          <w:highlight w:val="none"/>
          <w:lang w:val="en-US" w:eastAsia="zh-CN"/>
        </w:rPr>
      </w:pPr>
    </w:p>
    <w:p w14:paraId="585D96AF">
      <w:pPr>
        <w:jc w:val="left"/>
        <w:rPr>
          <w:rFonts w:hint="default" w:ascii="Times New Roman" w:hAnsi="Times New Roman" w:cs="Times New Roman"/>
          <w:sz w:val="30"/>
          <w:szCs w:val="30"/>
          <w:highlight w:val="none"/>
        </w:rPr>
        <w:sectPr>
          <w:pgSz w:w="11906" w:h="16838"/>
          <w:pgMar w:top="1417" w:right="1531" w:bottom="1531" w:left="1701" w:header="851" w:footer="992" w:gutter="0"/>
          <w:pgBorders>
            <w:top w:val="none" w:sz="0" w:space="0"/>
            <w:left w:val="none" w:sz="0" w:space="0"/>
            <w:bottom w:val="none" w:sz="0" w:space="0"/>
            <w:right w:val="none" w:sz="0" w:space="0"/>
          </w:pgBorders>
          <w:pgNumType w:fmt="decimal" w:start="1"/>
          <w:cols w:space="0" w:num="1"/>
          <w:rtlGutter w:val="0"/>
          <w:docGrid w:type="lines" w:linePitch="420" w:charSpace="0"/>
        </w:sectPr>
      </w:pPr>
      <w:r>
        <w:rPr>
          <w:rFonts w:hint="default" w:ascii="Times New Roman" w:hAnsi="Times New Roman" w:cs="Times New Roman"/>
          <w:sz w:val="21"/>
          <w:highlight w:val="none"/>
        </w:rPr>
        <mc:AlternateContent>
          <mc:Choice Requires="wps">
            <w:drawing>
              <wp:anchor distT="0" distB="0" distL="114300" distR="114300" simplePos="0" relativeHeight="251659264" behindDoc="0" locked="0" layoutInCell="1" allowOverlap="1">
                <wp:simplePos x="0" y="0"/>
                <wp:positionH relativeFrom="column">
                  <wp:posOffset>831215</wp:posOffset>
                </wp:positionH>
                <wp:positionV relativeFrom="paragraph">
                  <wp:posOffset>172720</wp:posOffset>
                </wp:positionV>
                <wp:extent cx="5279390" cy="620395"/>
                <wp:effectExtent l="4445" t="4445" r="19685" b="15240"/>
                <wp:wrapNone/>
                <wp:docPr id="101" name="文本框 101"/>
                <wp:cNvGraphicFramePr/>
                <a:graphic xmlns:a="http://schemas.openxmlformats.org/drawingml/2006/main">
                  <a:graphicData uri="http://schemas.microsoft.com/office/word/2010/wordprocessingShape">
                    <wps:wsp>
                      <wps:cNvSpPr txBox="1"/>
                      <wps:spPr>
                        <a:xfrm>
                          <a:off x="1303655" y="6525895"/>
                          <a:ext cx="5279390" cy="620395"/>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B4CF76E">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Theme="minorEastAsia" w:hAnsiTheme="minorEastAsia" w:eastAsiaTheme="minorEastAsia" w:cstheme="minorEastAsia"/>
                                <w:b/>
                                <w:sz w:val="40"/>
                                <w:szCs w:val="40"/>
                              </w:rPr>
                            </w:pPr>
                            <w:r>
                              <w:rPr>
                                <w:rFonts w:hint="eastAsia" w:asciiTheme="minorEastAsia" w:hAnsiTheme="minorEastAsia" w:eastAsiaTheme="minorEastAsia" w:cstheme="minorEastAsia"/>
                                <w:b/>
                                <w:sz w:val="40"/>
                                <w:szCs w:val="40"/>
                              </w:rPr>
                              <w:t xml:space="preserve"> 集 大 财 经 咨 询（福 州）有 限 公 司 </w:t>
                            </w:r>
                          </w:p>
                          <w:p w14:paraId="0489AD7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b/>
                                <w:sz w:val="36"/>
                                <w:szCs w:val="36"/>
                              </w:rPr>
                              <w:t xml:space="preserve">Jida Financial Consulting </w:t>
                            </w:r>
                            <w:r>
                              <w:rPr>
                                <w:rFonts w:hint="eastAsia" w:asciiTheme="minorEastAsia" w:hAnsiTheme="minorEastAsia" w:cstheme="minorEastAsia"/>
                                <w:b/>
                                <w:sz w:val="36"/>
                                <w:szCs w:val="36"/>
                                <w:lang w:eastAsia="zh-CN"/>
                              </w:rPr>
                              <w:t>（</w:t>
                            </w:r>
                            <w:r>
                              <w:rPr>
                                <w:rFonts w:hint="eastAsia" w:asciiTheme="minorEastAsia" w:hAnsiTheme="minorEastAsia" w:eastAsiaTheme="minorEastAsia" w:cstheme="minorEastAsia"/>
                                <w:b/>
                                <w:sz w:val="36"/>
                                <w:szCs w:val="36"/>
                              </w:rPr>
                              <w:t>Fuzhou</w:t>
                            </w:r>
                            <w:r>
                              <w:rPr>
                                <w:rFonts w:hint="eastAsia" w:asciiTheme="minorEastAsia" w:hAnsiTheme="minorEastAsia" w:cstheme="minorEastAsia"/>
                                <w:b/>
                                <w:sz w:val="36"/>
                                <w:szCs w:val="36"/>
                                <w:lang w:eastAsia="zh-CN"/>
                              </w:rPr>
                              <w:t>）</w:t>
                            </w:r>
                            <w:r>
                              <w:rPr>
                                <w:rFonts w:hint="eastAsia" w:asciiTheme="minorEastAsia" w:hAnsiTheme="minorEastAsia" w:eastAsiaTheme="minorEastAsia" w:cstheme="minorEastAsia"/>
                                <w:b/>
                                <w:sz w:val="36"/>
                                <w:szCs w:val="36"/>
                              </w:rPr>
                              <w:t xml:space="preserve"> Co., Ltd.</w:t>
                            </w:r>
                          </w:p>
                          <w:p w14:paraId="774D592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5.45pt;margin-top:13.6pt;height:48.85pt;width:415.7pt;z-index:251659264;mso-width-relative:page;mso-height-relative:page;" fillcolor="#FFFFFF [3212]" filled="t" stroked="t" coordsize="21600,21600" o:gfxdata="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pZtQLYAAAACgEAAA8AAAAAAAAAAQAgAAAAIgAAAGRycy9kb3ducmV2LnhtbFBLAQIUABQAAAAI&#10;AIdO4kAnGVkvXwIAAMgEAAAOAAAAAAAAAAEAIAAAACcBAABkcnMvZTJvRG9jLnhtbFBLBQYAAAAA&#10;BgAGAFkBAAD4BQAAAAA=&#10;">
                <v:fill on="t" focussize="0,0"/>
                <v:stroke weight="0.5pt" color="#FFFFFF [3212]" joinstyle="round"/>
                <v:imagedata o:title=""/>
                <o:lock v:ext="edit" aspectratio="f"/>
                <v:textbox>
                  <w:txbxContent>
                    <w:p w14:paraId="3B4CF76E">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Theme="minorEastAsia" w:hAnsiTheme="minorEastAsia" w:eastAsiaTheme="minorEastAsia" w:cstheme="minorEastAsia"/>
                          <w:b/>
                          <w:sz w:val="40"/>
                          <w:szCs w:val="40"/>
                        </w:rPr>
                      </w:pPr>
                      <w:r>
                        <w:rPr>
                          <w:rFonts w:hint="eastAsia" w:asciiTheme="minorEastAsia" w:hAnsiTheme="minorEastAsia" w:eastAsiaTheme="minorEastAsia" w:cstheme="minorEastAsia"/>
                          <w:b/>
                          <w:sz w:val="40"/>
                          <w:szCs w:val="40"/>
                        </w:rPr>
                        <w:t xml:space="preserve"> 集 大 财 经 咨 询（福 州）有 限 公 司 </w:t>
                      </w:r>
                    </w:p>
                    <w:p w14:paraId="0489AD7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b/>
                          <w:sz w:val="36"/>
                          <w:szCs w:val="36"/>
                        </w:rPr>
                        <w:t xml:space="preserve">Jida Financial Consulting </w:t>
                      </w:r>
                      <w:r>
                        <w:rPr>
                          <w:rFonts w:hint="eastAsia" w:asciiTheme="minorEastAsia" w:hAnsiTheme="minorEastAsia" w:cstheme="minorEastAsia"/>
                          <w:b/>
                          <w:sz w:val="36"/>
                          <w:szCs w:val="36"/>
                          <w:lang w:eastAsia="zh-CN"/>
                        </w:rPr>
                        <w:t>（</w:t>
                      </w:r>
                      <w:r>
                        <w:rPr>
                          <w:rFonts w:hint="eastAsia" w:asciiTheme="minorEastAsia" w:hAnsiTheme="minorEastAsia" w:eastAsiaTheme="minorEastAsia" w:cstheme="minorEastAsia"/>
                          <w:b/>
                          <w:sz w:val="36"/>
                          <w:szCs w:val="36"/>
                        </w:rPr>
                        <w:t>Fuzhou</w:t>
                      </w:r>
                      <w:r>
                        <w:rPr>
                          <w:rFonts w:hint="eastAsia" w:asciiTheme="minorEastAsia" w:hAnsiTheme="minorEastAsia" w:cstheme="minorEastAsia"/>
                          <w:b/>
                          <w:sz w:val="36"/>
                          <w:szCs w:val="36"/>
                          <w:lang w:eastAsia="zh-CN"/>
                        </w:rPr>
                        <w:t>）</w:t>
                      </w:r>
                      <w:r>
                        <w:rPr>
                          <w:rFonts w:hint="eastAsia" w:asciiTheme="minorEastAsia" w:hAnsiTheme="minorEastAsia" w:eastAsiaTheme="minorEastAsia" w:cstheme="minorEastAsia"/>
                          <w:b/>
                          <w:sz w:val="36"/>
                          <w:szCs w:val="36"/>
                        </w:rPr>
                        <w:t xml:space="preserve"> Co., Ltd.</w:t>
                      </w:r>
                    </w:p>
                    <w:p w14:paraId="774D592A"/>
                  </w:txbxContent>
                </v:textbox>
              </v:shape>
            </w:pict>
          </mc:Fallback>
        </mc:AlternateContent>
      </w:r>
      <w:r>
        <w:rPr>
          <w:rFonts w:hint="default" w:ascii="Times New Roman" w:hAnsi="Times New Roman" w:cs="Times New Roman" w:eastAsiaTheme="minorEastAsia"/>
          <w:highlight w:val="none"/>
          <w:lang w:val="en-US" w:eastAsia="zh-CN"/>
        </w:rPr>
        <w:drawing>
          <wp:inline distT="0" distB="0" distL="114300" distR="114300">
            <wp:extent cx="850900" cy="854710"/>
            <wp:effectExtent l="0" t="0" r="2540" b="13970"/>
            <wp:docPr id="102" name="图片 102" descr="集大财经咨询logo-定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集大财经咨询logo-定稿"/>
                    <pic:cNvPicPr>
                      <a:picLocks noChangeAspect="1"/>
                    </pic:cNvPicPr>
                  </pic:nvPicPr>
                  <pic:blipFill>
                    <a:blip r:embed="rId9"/>
                    <a:srcRect l="22038" t="24205" r="23109" b="20785"/>
                    <a:stretch>
                      <a:fillRect/>
                    </a:stretch>
                  </pic:blipFill>
                  <pic:spPr>
                    <a:xfrm>
                      <a:off x="0" y="0"/>
                      <a:ext cx="850900" cy="854710"/>
                    </a:xfrm>
                    <a:prstGeom prst="rect">
                      <a:avLst/>
                    </a:prstGeom>
                  </pic:spPr>
                </pic:pic>
              </a:graphicData>
            </a:graphic>
          </wp:inline>
        </w:drawing>
      </w:r>
    </w:p>
    <w:p w14:paraId="3B2DBEDA">
      <w:pPr>
        <w:jc w:val="center"/>
        <w:rPr>
          <w:rFonts w:hint="default" w:ascii="Times New Roman" w:hAnsi="Times New Roman" w:eastAsia="仿宋" w:cs="Times New Roman"/>
          <w:b/>
          <w:bCs/>
          <w:sz w:val="32"/>
          <w:szCs w:val="32"/>
          <w:highlight w:val="none"/>
          <w:lang w:val="en-US" w:eastAsia="zh-CN"/>
        </w:rPr>
      </w:pPr>
    </w:p>
    <w:p w14:paraId="4EDE9102">
      <w:pPr>
        <w:jc w:val="center"/>
        <w:rPr>
          <w:rFonts w:hint="default" w:ascii="Times New Roman" w:hAnsi="Times New Roman" w:eastAsia="仿宋" w:cs="Times New Roman"/>
          <w:b/>
          <w:bCs/>
          <w:sz w:val="32"/>
          <w:szCs w:val="32"/>
          <w:highlight w:val="none"/>
          <w:lang w:val="en-US" w:eastAsia="zh-CN"/>
        </w:rPr>
      </w:pPr>
      <w:r>
        <w:rPr>
          <w:rFonts w:hint="default" w:ascii="Times New Roman" w:hAnsi="Times New Roman" w:eastAsia="仿宋" w:cs="Times New Roman"/>
          <w:b/>
          <w:bCs/>
          <w:sz w:val="32"/>
          <w:szCs w:val="32"/>
          <w:highlight w:val="none"/>
          <w:lang w:val="en-US" w:eastAsia="zh-CN"/>
        </w:rPr>
        <w:t>摘  要</w:t>
      </w:r>
    </w:p>
    <w:p w14:paraId="2AEE6E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highlight w:val="none"/>
        </w:rPr>
      </w:pPr>
      <w:bookmarkStart w:id="0" w:name="_Toc16366"/>
      <w:bookmarkStart w:id="1" w:name="_Toc31011"/>
      <w:bookmarkStart w:id="2" w:name="_Toc25315"/>
      <w:bookmarkStart w:id="3" w:name="_Toc13067"/>
      <w:bookmarkStart w:id="4" w:name="_Toc6333"/>
      <w:bookmarkStart w:id="5" w:name="_Toc12263"/>
      <w:bookmarkStart w:id="6" w:name="_Toc6003"/>
      <w:bookmarkStart w:id="7" w:name="_Toc25230"/>
      <w:bookmarkStart w:id="8" w:name="_Toc16999"/>
      <w:bookmarkStart w:id="9" w:name="_Toc18804"/>
      <w:bookmarkStart w:id="10" w:name="_Toc16804"/>
      <w:r>
        <w:rPr>
          <w:rFonts w:hint="eastAsia" w:ascii="仿宋" w:hAnsi="仿宋" w:eastAsia="仿宋" w:cs="仿宋"/>
          <w:b/>
          <w:bCs/>
          <w:sz w:val="28"/>
          <w:szCs w:val="28"/>
          <w:highlight w:val="none"/>
        </w:rPr>
        <w:t>一、基本情况</w:t>
      </w:r>
      <w:bookmarkEnd w:id="0"/>
      <w:bookmarkEnd w:id="1"/>
      <w:bookmarkEnd w:id="2"/>
      <w:bookmarkEnd w:id="3"/>
      <w:bookmarkEnd w:id="4"/>
      <w:bookmarkEnd w:id="5"/>
      <w:bookmarkEnd w:id="6"/>
      <w:bookmarkEnd w:id="7"/>
      <w:bookmarkEnd w:id="8"/>
      <w:bookmarkEnd w:id="9"/>
      <w:bookmarkEnd w:id="10"/>
    </w:p>
    <w:p w14:paraId="034C06F7">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highlight w:val="none"/>
          <w:lang w:val="en-US" w:eastAsia="zh-CN"/>
        </w:rPr>
      </w:pPr>
      <w:bookmarkStart w:id="11" w:name="_Toc17987"/>
      <w:bookmarkStart w:id="12" w:name="_Toc30876"/>
      <w:bookmarkStart w:id="13" w:name="_Toc1369"/>
      <w:bookmarkStart w:id="14" w:name="_Toc23757"/>
      <w:bookmarkStart w:id="15" w:name="_Toc12170"/>
      <w:bookmarkStart w:id="16" w:name="_Toc18815"/>
      <w:bookmarkStart w:id="17" w:name="_Toc31739"/>
      <w:bookmarkStart w:id="18" w:name="_Toc28324"/>
      <w:bookmarkStart w:id="19" w:name="_Toc8212"/>
      <w:r>
        <w:rPr>
          <w:rFonts w:hint="eastAsia" w:ascii="仿宋" w:hAnsi="仿宋" w:eastAsia="仿宋" w:cs="仿宋"/>
          <w:b/>
          <w:bCs/>
          <w:sz w:val="24"/>
          <w:szCs w:val="24"/>
          <w:highlight w:val="none"/>
          <w:lang w:val="en-US" w:eastAsia="zh-CN"/>
        </w:rPr>
        <w:t>（一）项目主要内容及实施情况</w:t>
      </w:r>
      <w:bookmarkEnd w:id="11"/>
      <w:bookmarkEnd w:id="12"/>
      <w:bookmarkEnd w:id="13"/>
      <w:bookmarkEnd w:id="14"/>
      <w:bookmarkEnd w:id="15"/>
      <w:bookmarkEnd w:id="16"/>
      <w:bookmarkEnd w:id="17"/>
      <w:bookmarkEnd w:id="18"/>
      <w:bookmarkEnd w:id="19"/>
    </w:p>
    <w:p w14:paraId="5DD00963">
      <w:pPr>
        <w:spacing w:line="360"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为认真贯彻落实党中央、国务院，省委、省政府，市委、市政府决策部署，加强和规范基层应急救援队伍建设，提升基层防灾与预警指挥能力，保障人民群众生命财产安全，根据国家和省、市关于应急管理体系建设的总体部署，启动本项目。</w:t>
      </w:r>
    </w:p>
    <w:p w14:paraId="6244FA5A">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项目建设内容为：为1支市级综合应急救援队伍、9支镇级综合应急救援队伍配备森林草原火灾扑救、水域救援、综合保障类装备共计271台（套）。截至2025年3月，应急救援装备（已核减2辆中小型水罐消防车）均已采购到位并经专家验收通过，部分常用装备已发放至个人（街道/乡镇应急救援队队员）。</w:t>
      </w:r>
    </w:p>
    <w:p w14:paraId="79C99CD8">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highlight w:val="none"/>
          <w:lang w:val="en-US" w:eastAsia="zh-CN"/>
        </w:rPr>
      </w:pPr>
      <w:bookmarkStart w:id="20" w:name="_Toc13805"/>
      <w:bookmarkStart w:id="21" w:name="_Toc24559"/>
      <w:bookmarkStart w:id="22" w:name="_Toc2725"/>
      <w:bookmarkStart w:id="23" w:name="_Toc22153"/>
      <w:bookmarkStart w:id="24" w:name="_Toc31843"/>
      <w:bookmarkStart w:id="25" w:name="_Toc14036"/>
      <w:bookmarkStart w:id="26" w:name="_Toc9917"/>
      <w:r>
        <w:rPr>
          <w:rFonts w:hint="eastAsia" w:ascii="仿宋" w:hAnsi="仿宋" w:eastAsia="仿宋" w:cs="仿宋"/>
          <w:b/>
          <w:bCs/>
          <w:sz w:val="24"/>
          <w:szCs w:val="24"/>
          <w:highlight w:val="none"/>
          <w:lang w:val="en-US" w:eastAsia="zh-CN"/>
        </w:rPr>
        <w:t>（二）资金收支情况</w:t>
      </w:r>
      <w:bookmarkEnd w:id="20"/>
      <w:bookmarkEnd w:id="21"/>
      <w:bookmarkEnd w:id="22"/>
      <w:bookmarkEnd w:id="23"/>
      <w:bookmarkEnd w:id="24"/>
      <w:bookmarkEnd w:id="25"/>
      <w:bookmarkEnd w:id="26"/>
    </w:p>
    <w:p w14:paraId="1803D88F">
      <w:pPr>
        <w:spacing w:line="360"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项目总投资金额为1003.568万元，国债资金及县级财政配套资金按7：3比例支出，其中国债资金702.277万元，石狮市财政资金301.291万元。 截至目前，资金已支付使用747.2998万元，预警指挥项目预算资金剩余252.9759万元尚未支付。</w:t>
      </w:r>
    </w:p>
    <w:p w14:paraId="29F70D83">
      <w:pPr>
        <w:spacing w:line="360" w:lineRule="auto"/>
        <w:ind w:firstLine="480" w:firstLineChars="200"/>
        <w:jc w:val="both"/>
        <w:rPr>
          <w:rFonts w:hint="eastAsia" w:ascii="仿宋" w:hAnsi="仿宋" w:eastAsia="仿宋" w:cs="仿宋"/>
          <w:kern w:val="2"/>
          <w:sz w:val="24"/>
          <w:szCs w:val="24"/>
          <w:highlight w:val="none"/>
          <w:lang w:val="en-US" w:eastAsia="zh-CN" w:bidi="ar-SA"/>
        </w:rPr>
      </w:pPr>
    </w:p>
    <w:p w14:paraId="68AEF60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28"/>
          <w:highlight w:val="none"/>
        </w:rPr>
      </w:pPr>
      <w:bookmarkStart w:id="27" w:name="_Toc21117"/>
      <w:bookmarkStart w:id="28" w:name="_Toc11981"/>
      <w:bookmarkStart w:id="29" w:name="_Toc11827"/>
      <w:bookmarkStart w:id="30" w:name="_Toc1377"/>
      <w:bookmarkStart w:id="31" w:name="_Toc896"/>
      <w:bookmarkStart w:id="32" w:name="_Toc20496"/>
      <w:bookmarkStart w:id="33" w:name="_Toc18846"/>
      <w:bookmarkStart w:id="34" w:name="_Toc31618"/>
      <w:bookmarkStart w:id="35" w:name="_Toc24103"/>
      <w:bookmarkStart w:id="36" w:name="_Toc648"/>
      <w:bookmarkStart w:id="37" w:name="_Toc4168"/>
      <w:r>
        <w:rPr>
          <w:rFonts w:hint="eastAsia" w:ascii="仿宋" w:hAnsi="仿宋" w:eastAsia="仿宋" w:cs="仿宋"/>
          <w:b/>
          <w:bCs/>
          <w:sz w:val="28"/>
          <w:szCs w:val="28"/>
          <w:highlight w:val="none"/>
        </w:rPr>
        <w:t>综合评价情况及评价结论</w:t>
      </w:r>
      <w:bookmarkEnd w:id="27"/>
      <w:bookmarkEnd w:id="28"/>
      <w:bookmarkEnd w:id="29"/>
      <w:bookmarkEnd w:id="30"/>
      <w:bookmarkEnd w:id="31"/>
      <w:bookmarkEnd w:id="32"/>
      <w:bookmarkEnd w:id="33"/>
      <w:bookmarkEnd w:id="34"/>
      <w:bookmarkEnd w:id="35"/>
      <w:bookmarkEnd w:id="36"/>
      <w:bookmarkEnd w:id="37"/>
    </w:p>
    <w:p w14:paraId="3E74F488">
      <w:pPr>
        <w:spacing w:line="360" w:lineRule="auto"/>
        <w:ind w:firstLine="480" w:firstLineChars="20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本项目总体实施情况</w:t>
      </w:r>
      <w:r>
        <w:rPr>
          <w:rFonts w:hint="eastAsia" w:ascii="仿宋" w:hAnsi="仿宋" w:eastAsia="仿宋" w:cs="仿宋"/>
          <w:kern w:val="2"/>
          <w:sz w:val="24"/>
          <w:szCs w:val="24"/>
          <w:highlight w:val="none"/>
          <w:lang w:val="en-US" w:eastAsia="zh-CN" w:bidi="ar-SA"/>
        </w:rPr>
        <w:t>较</w:t>
      </w:r>
      <w:r>
        <w:rPr>
          <w:rFonts w:hint="eastAsia" w:ascii="仿宋" w:hAnsi="仿宋" w:eastAsia="仿宋" w:cs="仿宋"/>
          <w:kern w:val="2"/>
          <w:sz w:val="24"/>
          <w:szCs w:val="24"/>
          <w:highlight w:val="none"/>
          <w:lang w:val="zh-CN" w:eastAsia="zh-CN" w:bidi="ar-SA"/>
        </w:rPr>
        <w:t>好，基本完成了既定的任务，基层应急力量及相应处置能力得到了</w:t>
      </w:r>
      <w:r>
        <w:rPr>
          <w:rFonts w:hint="eastAsia" w:ascii="仿宋" w:hAnsi="仿宋" w:eastAsia="仿宋" w:cs="仿宋"/>
          <w:kern w:val="2"/>
          <w:sz w:val="24"/>
          <w:szCs w:val="24"/>
          <w:highlight w:val="none"/>
          <w:lang w:val="en-US" w:eastAsia="zh-CN" w:bidi="ar-SA"/>
        </w:rPr>
        <w:t>一定程度的</w:t>
      </w:r>
      <w:r>
        <w:rPr>
          <w:rFonts w:hint="eastAsia" w:ascii="仿宋" w:hAnsi="仿宋" w:eastAsia="仿宋" w:cs="仿宋"/>
          <w:kern w:val="2"/>
          <w:sz w:val="24"/>
          <w:szCs w:val="24"/>
          <w:highlight w:val="none"/>
          <w:lang w:val="zh-CN" w:eastAsia="zh-CN" w:bidi="ar-SA"/>
        </w:rPr>
        <w:t>提升。但在项目推进过程中仍存在一些问题，需进一步优化。经过工作组的审慎和科学评估，该项目</w:t>
      </w:r>
      <w:r>
        <w:rPr>
          <w:rFonts w:hint="eastAsia" w:ascii="仿宋" w:hAnsi="仿宋" w:eastAsia="仿宋" w:cs="仿宋"/>
          <w:kern w:val="2"/>
          <w:sz w:val="24"/>
          <w:szCs w:val="24"/>
          <w:highlight w:val="none"/>
          <w:lang w:val="en-US" w:eastAsia="zh-CN" w:bidi="ar-SA"/>
        </w:rPr>
        <w:t>支出</w:t>
      </w:r>
      <w:r>
        <w:rPr>
          <w:rFonts w:hint="eastAsia" w:ascii="仿宋" w:hAnsi="仿宋" w:eastAsia="仿宋" w:cs="仿宋"/>
          <w:kern w:val="2"/>
          <w:sz w:val="24"/>
          <w:szCs w:val="24"/>
          <w:highlight w:val="none"/>
          <w:lang w:val="zh-CN" w:eastAsia="zh-CN" w:bidi="ar-SA"/>
        </w:rPr>
        <w:t>绩效总得分</w:t>
      </w:r>
      <w:r>
        <w:rPr>
          <w:rFonts w:hint="eastAsia" w:ascii="仿宋" w:hAnsi="仿宋" w:eastAsia="仿宋" w:cs="仿宋"/>
          <w:kern w:val="2"/>
          <w:sz w:val="24"/>
          <w:szCs w:val="24"/>
          <w:highlight w:val="none"/>
          <w:lang w:val="en-US" w:eastAsia="zh-CN" w:bidi="ar-SA"/>
        </w:rPr>
        <w:t>85.37</w:t>
      </w:r>
      <w:r>
        <w:rPr>
          <w:rFonts w:hint="eastAsia" w:ascii="仿宋" w:hAnsi="仿宋" w:eastAsia="仿宋" w:cs="仿宋"/>
          <w:kern w:val="2"/>
          <w:sz w:val="24"/>
          <w:szCs w:val="24"/>
          <w:highlight w:val="none"/>
          <w:lang w:val="zh-CN" w:eastAsia="zh-CN" w:bidi="ar-SA"/>
        </w:rPr>
        <w:t>分，评价等级结果为</w:t>
      </w:r>
      <w:r>
        <w:rPr>
          <w:rFonts w:hint="eastAsia" w:ascii="仿宋" w:hAnsi="仿宋" w:eastAsia="仿宋" w:cs="仿宋"/>
          <w:kern w:val="2"/>
          <w:sz w:val="24"/>
          <w:szCs w:val="24"/>
          <w:highlight w:val="none"/>
          <w:lang w:val="en-US" w:eastAsia="zh-CN" w:bidi="ar-SA"/>
        </w:rPr>
        <w:t>良好</w:t>
      </w:r>
      <w:r>
        <w:rPr>
          <w:rFonts w:hint="eastAsia" w:ascii="仿宋" w:hAnsi="仿宋" w:eastAsia="仿宋" w:cs="仿宋"/>
          <w:kern w:val="2"/>
          <w:sz w:val="24"/>
          <w:szCs w:val="24"/>
          <w:highlight w:val="none"/>
          <w:lang w:val="zh-CN" w:eastAsia="zh-CN" w:bidi="ar-SA"/>
        </w:rPr>
        <w:t>，分指标分析详见</w:t>
      </w:r>
      <w:r>
        <w:rPr>
          <w:rFonts w:hint="eastAsia" w:ascii="仿宋" w:hAnsi="仿宋" w:eastAsia="仿宋" w:cs="仿宋"/>
          <w:kern w:val="2"/>
          <w:sz w:val="24"/>
          <w:szCs w:val="24"/>
          <w:highlight w:val="none"/>
          <w:lang w:val="en-US" w:eastAsia="zh-CN" w:bidi="ar-SA"/>
        </w:rPr>
        <w:t>下文</w:t>
      </w:r>
      <w:r>
        <w:rPr>
          <w:rFonts w:hint="eastAsia" w:ascii="仿宋" w:hAnsi="仿宋" w:eastAsia="仿宋" w:cs="仿宋"/>
          <w:kern w:val="2"/>
          <w:sz w:val="24"/>
          <w:szCs w:val="24"/>
          <w:highlight w:val="none"/>
          <w:lang w:val="zh-CN" w:eastAsia="zh-CN" w:bidi="ar-SA"/>
        </w:rPr>
        <w:t>第四点“绩效评价指标分析”。</w:t>
      </w:r>
    </w:p>
    <w:p w14:paraId="45D7EBB2">
      <w:pPr>
        <w:spacing w:line="360" w:lineRule="auto"/>
        <w:ind w:firstLine="480" w:firstLineChars="200"/>
        <w:jc w:val="both"/>
        <w:rPr>
          <w:rFonts w:hint="eastAsia" w:ascii="仿宋" w:hAnsi="仿宋" w:eastAsia="仿宋" w:cs="仿宋"/>
          <w:kern w:val="2"/>
          <w:sz w:val="24"/>
          <w:szCs w:val="24"/>
          <w:highlight w:val="none"/>
          <w:lang w:val="zh-CN" w:eastAsia="zh-CN" w:bidi="ar-SA"/>
        </w:rPr>
      </w:pPr>
    </w:p>
    <w:p w14:paraId="4C5E986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562" w:firstLineChars="200"/>
        <w:textAlignment w:val="auto"/>
        <w:outlineLvl w:val="9"/>
        <w:rPr>
          <w:rFonts w:hint="eastAsia" w:ascii="仿宋" w:hAnsi="仿宋" w:eastAsia="仿宋" w:cs="仿宋"/>
          <w:b/>
          <w:bCs/>
          <w:sz w:val="28"/>
          <w:szCs w:val="28"/>
          <w:highlight w:val="none"/>
          <w:lang w:val="en-US" w:eastAsia="zh-CN"/>
        </w:rPr>
      </w:pPr>
      <w:bookmarkStart w:id="38" w:name="_Toc18513"/>
      <w:bookmarkStart w:id="39" w:name="_Toc15822"/>
      <w:bookmarkStart w:id="40" w:name="_Toc28114"/>
      <w:bookmarkStart w:id="41" w:name="_Toc16486"/>
      <w:bookmarkStart w:id="42" w:name="_Toc18574"/>
      <w:bookmarkStart w:id="43" w:name="_Toc3407"/>
      <w:bookmarkStart w:id="44" w:name="_Toc17"/>
      <w:bookmarkStart w:id="45" w:name="_Toc17153"/>
      <w:bookmarkStart w:id="46" w:name="_Toc15583"/>
      <w:bookmarkStart w:id="47" w:name="_Toc11799"/>
      <w:bookmarkStart w:id="48" w:name="_Toc8263"/>
      <w:r>
        <w:rPr>
          <w:rFonts w:hint="eastAsia" w:ascii="仿宋" w:hAnsi="仿宋" w:eastAsia="仿宋" w:cs="仿宋"/>
          <w:b/>
          <w:bCs/>
          <w:sz w:val="28"/>
          <w:szCs w:val="28"/>
          <w:highlight w:val="none"/>
          <w:lang w:val="en-US" w:eastAsia="zh-CN"/>
        </w:rPr>
        <w:t>存在的问题及原因分析</w:t>
      </w:r>
      <w:bookmarkEnd w:id="38"/>
      <w:bookmarkEnd w:id="39"/>
      <w:bookmarkEnd w:id="40"/>
      <w:bookmarkEnd w:id="41"/>
      <w:bookmarkEnd w:id="42"/>
      <w:bookmarkEnd w:id="43"/>
      <w:bookmarkEnd w:id="44"/>
      <w:bookmarkEnd w:id="45"/>
      <w:bookmarkEnd w:id="46"/>
      <w:bookmarkEnd w:id="47"/>
      <w:bookmarkEnd w:id="48"/>
    </w:p>
    <w:p w14:paraId="28F6B528">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lang w:val="zh-CN" w:eastAsia="zh-CN"/>
        </w:rPr>
      </w:pPr>
      <w:bookmarkStart w:id="49" w:name="_Toc31723"/>
      <w:bookmarkStart w:id="50" w:name="_Toc13240"/>
      <w:bookmarkStart w:id="51" w:name="_Toc10083"/>
      <w:bookmarkStart w:id="52" w:name="_Toc8367"/>
      <w:bookmarkStart w:id="53" w:name="_Toc7549"/>
      <w:bookmarkStart w:id="54" w:name="_Toc21230"/>
      <w:bookmarkStart w:id="55" w:name="_Toc27768"/>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lang w:val="zh-CN" w:eastAsia="zh-CN"/>
        </w:rPr>
        <w:t>装备闲置与分配不合理</w:t>
      </w:r>
      <w:bookmarkEnd w:id="49"/>
      <w:bookmarkEnd w:id="50"/>
      <w:bookmarkEnd w:id="51"/>
      <w:bookmarkEnd w:id="52"/>
      <w:bookmarkEnd w:id="53"/>
      <w:bookmarkEnd w:id="54"/>
      <w:bookmarkEnd w:id="55"/>
    </w:p>
    <w:p w14:paraId="58B5CED6">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kern w:val="2"/>
          <w:sz w:val="24"/>
          <w:szCs w:val="24"/>
          <w:highlight w:val="none"/>
          <w:lang w:val="en-US" w:eastAsia="zh-CN" w:bidi="ar-SA"/>
        </w:rPr>
      </w:pPr>
      <w:bookmarkStart w:id="56" w:name="_Toc27217"/>
      <w:bookmarkStart w:id="57" w:name="_Toc992"/>
      <w:bookmarkStart w:id="58" w:name="_Toc17725"/>
      <w:r>
        <w:rPr>
          <w:rFonts w:hint="eastAsia" w:ascii="仿宋" w:hAnsi="仿宋" w:eastAsia="仿宋" w:cs="仿宋"/>
          <w:kern w:val="2"/>
          <w:sz w:val="24"/>
          <w:szCs w:val="24"/>
          <w:highlight w:val="none"/>
          <w:lang w:val="en-US" w:eastAsia="zh-CN" w:bidi="ar-SA"/>
        </w:rPr>
        <w:t>本次采购基本实现了街道、乡镇应急救援队装备的全覆盖，但经工作组现场走访发现，存在救援队伍未及时分配采购装备（如个人护具等）至救援队员及新装备采购验收后长期封装储藏于仓库中，导致部分资源闲置的问题。以上问题原因在于前期需求论证不足，装备分配后缺乏使用效果跟踪评估，未充分考虑实际使用场景和分配机制。</w:t>
      </w:r>
    </w:p>
    <w:p w14:paraId="113EA943">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lang w:val="zh-CN" w:eastAsia="zh-CN"/>
        </w:rPr>
      </w:pPr>
      <w:bookmarkStart w:id="59" w:name="_Toc32185"/>
      <w:bookmarkStart w:id="60" w:name="_Toc26119"/>
      <w:bookmarkStart w:id="61" w:name="_Toc13057"/>
      <w:bookmarkStart w:id="62" w:name="_Toc23197"/>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lang w:val="zh-CN" w:eastAsia="zh-CN"/>
        </w:rPr>
        <w:t>预算</w:t>
      </w:r>
      <w:r>
        <w:rPr>
          <w:rFonts w:hint="eastAsia" w:ascii="仿宋" w:hAnsi="仿宋" w:eastAsia="仿宋" w:cs="仿宋"/>
          <w:b/>
          <w:bCs/>
          <w:sz w:val="24"/>
          <w:szCs w:val="24"/>
          <w:highlight w:val="none"/>
          <w:lang w:val="en-US" w:eastAsia="zh-CN"/>
        </w:rPr>
        <w:t>执行</w:t>
      </w:r>
      <w:r>
        <w:rPr>
          <w:rFonts w:hint="eastAsia" w:ascii="仿宋" w:hAnsi="仿宋" w:eastAsia="仿宋" w:cs="仿宋"/>
          <w:b/>
          <w:bCs/>
          <w:sz w:val="24"/>
          <w:szCs w:val="24"/>
          <w:highlight w:val="none"/>
          <w:lang w:val="zh-CN" w:eastAsia="zh-CN"/>
        </w:rPr>
        <w:t>问题</w:t>
      </w:r>
      <w:bookmarkEnd w:id="56"/>
      <w:bookmarkEnd w:id="57"/>
      <w:bookmarkEnd w:id="58"/>
      <w:bookmarkEnd w:id="59"/>
      <w:bookmarkEnd w:id="60"/>
      <w:bookmarkEnd w:id="61"/>
      <w:bookmarkEnd w:id="62"/>
    </w:p>
    <w:p w14:paraId="0AC48309">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kern w:val="2"/>
          <w:sz w:val="24"/>
          <w:szCs w:val="24"/>
          <w:highlight w:val="none"/>
          <w:lang w:val="zh-CN" w:eastAsia="zh-CN" w:bidi="ar-SA"/>
        </w:rPr>
      </w:pPr>
      <w:bookmarkStart w:id="63" w:name="_Toc27861"/>
      <w:bookmarkStart w:id="64" w:name="_Toc10306"/>
      <w:bookmarkStart w:id="65" w:name="_Toc32740"/>
      <w:r>
        <w:rPr>
          <w:rFonts w:hint="eastAsia" w:ascii="仿宋" w:hAnsi="仿宋" w:eastAsia="仿宋" w:cs="仿宋"/>
          <w:kern w:val="2"/>
          <w:sz w:val="24"/>
          <w:szCs w:val="24"/>
          <w:highlight w:val="none"/>
          <w:lang w:val="zh-CN" w:eastAsia="zh-CN" w:bidi="ar-SA"/>
        </w:rPr>
        <w:t>截至评价时点，该项目资金支付率为74.46%，剩余25.54%的预算资金未及时使用。主要原因在于：一是合同付款节点设置较为粗放，仅按“设备到货”、“项目验收”等大阶段划分，未针对预警指挥设备的安装调试、系统联调等关键环节细化支付条件，导致资金</w:t>
      </w:r>
      <w:r>
        <w:rPr>
          <w:rFonts w:hint="eastAsia" w:ascii="仿宋" w:hAnsi="仿宋" w:eastAsia="仿宋" w:cs="仿宋"/>
          <w:kern w:val="2"/>
          <w:sz w:val="24"/>
          <w:szCs w:val="24"/>
          <w:highlight w:val="none"/>
          <w:lang w:val="en-US" w:eastAsia="zh-CN" w:bidi="ar-SA"/>
        </w:rPr>
        <w:t>支</w:t>
      </w:r>
      <w:r>
        <w:rPr>
          <w:rFonts w:hint="eastAsia" w:ascii="仿宋" w:hAnsi="仿宋" w:eastAsia="仿宋" w:cs="仿宋"/>
          <w:kern w:val="2"/>
          <w:sz w:val="24"/>
          <w:szCs w:val="24"/>
          <w:highlight w:val="none"/>
          <w:lang w:val="zh-CN" w:eastAsia="zh-CN" w:bidi="ar-SA"/>
        </w:rPr>
        <w:t>付与实际进度脱节；二是部分预警指挥设备因技术复杂、调试周期长，致使验收进度滞后，影响后续款项支付。</w:t>
      </w:r>
    </w:p>
    <w:p w14:paraId="501267DF">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lang w:val="en-US" w:eastAsia="zh-CN"/>
        </w:rPr>
      </w:pPr>
      <w:bookmarkStart w:id="66" w:name="_Toc19521"/>
      <w:bookmarkStart w:id="67" w:name="_Toc5094"/>
      <w:bookmarkStart w:id="68" w:name="_Toc7912"/>
      <w:bookmarkStart w:id="69" w:name="_Toc16153"/>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lang w:val="zh-CN" w:eastAsia="zh-CN"/>
        </w:rPr>
        <w:t>绩效目标设计不完善</w:t>
      </w:r>
      <w:bookmarkEnd w:id="63"/>
      <w:bookmarkEnd w:id="64"/>
      <w:bookmarkEnd w:id="65"/>
      <w:bookmarkEnd w:id="66"/>
      <w:bookmarkEnd w:id="67"/>
      <w:bookmarkEnd w:id="68"/>
      <w:bookmarkEnd w:id="69"/>
    </w:p>
    <w:p w14:paraId="1AEC1B88">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kern w:val="2"/>
          <w:sz w:val="24"/>
          <w:szCs w:val="24"/>
          <w:highlight w:val="none"/>
          <w:lang w:val="en-US" w:eastAsia="zh-CN" w:bidi="ar-SA"/>
        </w:rPr>
      </w:pPr>
      <w:bookmarkStart w:id="70" w:name="_Toc25221"/>
      <w:bookmarkStart w:id="71" w:name="_Toc29904"/>
      <w:bookmarkStart w:id="72" w:name="_Toc31766"/>
      <w:r>
        <w:rPr>
          <w:rFonts w:hint="eastAsia" w:ascii="仿宋" w:hAnsi="仿宋" w:eastAsia="仿宋" w:cs="仿宋"/>
          <w:kern w:val="2"/>
          <w:sz w:val="24"/>
          <w:szCs w:val="24"/>
          <w:highlight w:val="none"/>
          <w:lang w:val="en-US" w:eastAsia="zh-CN" w:bidi="ar-SA"/>
        </w:rPr>
        <w:t>项目绩效目标表中存在指标分类错误（如将“成本指标”列为一级指标）、缺少“经济效益”和“可持续影响”二级指标、部分指标（如：社会效益与生态效益）指标解释均偏定性，标准无法具体衡量及权重总分设置错误的问题。原因是绩效目标编制人员对《项目支出绩效评价管理办法》理解存在偏差，存在例如：混淆“成本指标”与“产出指标”层级关系等方面的情况，对绩效评价管理办法的理解不够深入。</w:t>
      </w:r>
    </w:p>
    <w:bookmarkEnd w:id="70"/>
    <w:bookmarkEnd w:id="71"/>
    <w:bookmarkEnd w:id="72"/>
    <w:p w14:paraId="60528EE5">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lang w:val="en-US" w:eastAsia="zh-CN"/>
        </w:rPr>
      </w:pPr>
      <w:bookmarkStart w:id="73" w:name="_Toc15954"/>
      <w:bookmarkStart w:id="74" w:name="_Toc6649"/>
      <w:bookmarkStart w:id="75" w:name="_Toc23473"/>
      <w:bookmarkStart w:id="76" w:name="_Toc32032"/>
      <w:bookmarkStart w:id="77" w:name="_Toc18951"/>
      <w:bookmarkStart w:id="78" w:name="_Toc21667"/>
      <w:bookmarkStart w:id="79" w:name="_Toc28902"/>
      <w:r>
        <w:rPr>
          <w:rFonts w:hint="eastAsia" w:ascii="仿宋" w:hAnsi="仿宋" w:eastAsia="仿宋" w:cs="仿宋"/>
          <w:b/>
          <w:bCs/>
          <w:sz w:val="24"/>
          <w:szCs w:val="24"/>
          <w:highlight w:val="none"/>
          <w:lang w:val="en-US" w:eastAsia="zh-CN"/>
        </w:rPr>
        <w:t>（四）应急响应效率有待进一步提升</w:t>
      </w:r>
      <w:bookmarkEnd w:id="73"/>
      <w:bookmarkEnd w:id="74"/>
      <w:bookmarkEnd w:id="75"/>
      <w:bookmarkEnd w:id="76"/>
      <w:bookmarkEnd w:id="77"/>
      <w:bookmarkEnd w:id="78"/>
      <w:bookmarkEnd w:id="79"/>
    </w:p>
    <w:p w14:paraId="265E78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当前灾情信息传递采用“市—镇—村”三级联动的纵向传递机制，应急信息的实际传递效率无法达到《石狮市森林火灾应急预案》设定的30分钟目标值，平均响应时间仍有提升空间。原因是基层终端设备配备不足，在未配备专业设备的村居，信息传递仍依赖传统的人工电话通知或村干部逐户传达方式，这种人工接力模式在紧急情况下容易出现信息延误或失真。尤其在夜间或恶劣天气条件下，人工传递方式的时效性更难以保证，直接影响了整体应急响应效能。</w:t>
      </w:r>
    </w:p>
    <w:p w14:paraId="4D80B8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en-US" w:eastAsia="zh-CN" w:bidi="ar-SA"/>
        </w:rPr>
      </w:pPr>
    </w:p>
    <w:p w14:paraId="28AACEC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562" w:firstLineChars="200"/>
        <w:textAlignment w:val="auto"/>
        <w:outlineLvl w:val="9"/>
        <w:rPr>
          <w:rFonts w:hint="eastAsia" w:ascii="仿宋" w:hAnsi="仿宋" w:eastAsia="仿宋" w:cs="仿宋"/>
          <w:b/>
          <w:bCs/>
          <w:sz w:val="28"/>
          <w:szCs w:val="28"/>
          <w:highlight w:val="none"/>
          <w:lang w:val="en-US" w:eastAsia="zh-CN"/>
        </w:rPr>
      </w:pPr>
      <w:bookmarkStart w:id="80" w:name="_Toc27393"/>
      <w:bookmarkStart w:id="81" w:name="_Toc22605"/>
      <w:bookmarkStart w:id="82" w:name="_Toc16369"/>
      <w:bookmarkStart w:id="83" w:name="_Toc7834"/>
      <w:bookmarkStart w:id="84" w:name="_Toc21950"/>
      <w:bookmarkStart w:id="85" w:name="_Toc28703"/>
      <w:bookmarkStart w:id="86" w:name="_Toc18891"/>
      <w:bookmarkStart w:id="87" w:name="_Toc27358"/>
      <w:bookmarkStart w:id="88" w:name="_Toc11226"/>
      <w:bookmarkStart w:id="89" w:name="_Toc31620"/>
      <w:bookmarkStart w:id="90" w:name="_Toc27220"/>
      <w:r>
        <w:rPr>
          <w:rFonts w:hint="eastAsia" w:ascii="仿宋" w:hAnsi="仿宋" w:eastAsia="仿宋" w:cs="仿宋"/>
          <w:b/>
          <w:bCs/>
          <w:sz w:val="28"/>
          <w:szCs w:val="28"/>
          <w:highlight w:val="none"/>
        </w:rPr>
        <w:t>有关建议</w:t>
      </w:r>
      <w:bookmarkEnd w:id="80"/>
      <w:bookmarkEnd w:id="81"/>
      <w:bookmarkEnd w:id="82"/>
      <w:bookmarkEnd w:id="83"/>
      <w:bookmarkEnd w:id="84"/>
      <w:bookmarkEnd w:id="85"/>
      <w:bookmarkEnd w:id="86"/>
      <w:bookmarkEnd w:id="87"/>
      <w:bookmarkEnd w:id="88"/>
      <w:bookmarkEnd w:id="89"/>
      <w:bookmarkEnd w:id="90"/>
    </w:p>
    <w:p w14:paraId="0FFF16C9">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rPr>
      </w:pPr>
      <w:bookmarkStart w:id="91" w:name="_Toc21080"/>
      <w:bookmarkStart w:id="92" w:name="_Toc21962"/>
      <w:bookmarkStart w:id="93" w:name="_Toc32430"/>
      <w:bookmarkStart w:id="94" w:name="_Toc14313"/>
      <w:bookmarkStart w:id="95" w:name="_Toc31703"/>
      <w:bookmarkStart w:id="96" w:name="_Toc17169"/>
      <w:bookmarkStart w:id="97" w:name="_Toc32550"/>
      <w:bookmarkStart w:id="98" w:name="_Toc12421"/>
      <w:bookmarkStart w:id="99" w:name="_Toc30138"/>
      <w:bookmarkStart w:id="100" w:name="_Toc26108"/>
      <w:bookmarkStart w:id="101" w:name="_Toc23490"/>
      <w:r>
        <w:rPr>
          <w:rFonts w:hint="eastAsia" w:ascii="仿宋" w:hAnsi="仿宋" w:eastAsia="仿宋" w:cs="仿宋"/>
          <w:b/>
          <w:bCs/>
          <w:sz w:val="24"/>
          <w:szCs w:val="24"/>
          <w:highlight w:val="none"/>
        </w:rPr>
        <w:t>（一）优化装备配置管理</w:t>
      </w:r>
      <w:bookmarkEnd w:id="91"/>
      <w:bookmarkEnd w:id="92"/>
      <w:bookmarkEnd w:id="93"/>
      <w:bookmarkEnd w:id="94"/>
      <w:bookmarkEnd w:id="95"/>
      <w:bookmarkEnd w:id="96"/>
      <w:bookmarkEnd w:id="97"/>
      <w:bookmarkEnd w:id="98"/>
      <w:bookmarkEnd w:id="99"/>
      <w:bookmarkEnd w:id="100"/>
      <w:bookmarkEnd w:id="101"/>
    </w:p>
    <w:p w14:paraId="095064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建议建立更加科学的装备需求调研机制，采用“自下而上”与“自上而下”相结合的方式，通过问卷调查、实地走访等形式，充分听取基层救援队伍的实际需求；完善装备分配使用机制：可通过制定分级分类的装备分配标准，区分日常训练装备和应急储备装备；对高价值装备实行“专人负责、定期维护”的管理制度。</w:t>
      </w:r>
    </w:p>
    <w:p w14:paraId="765ED174">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rPr>
      </w:pPr>
      <w:bookmarkStart w:id="102" w:name="_Toc14051"/>
      <w:bookmarkStart w:id="103" w:name="_Toc21307"/>
      <w:bookmarkStart w:id="104" w:name="_Toc29870"/>
      <w:bookmarkStart w:id="105" w:name="_Toc30921"/>
      <w:bookmarkStart w:id="106" w:name="_Toc26166"/>
      <w:bookmarkStart w:id="107" w:name="_Toc32745"/>
      <w:bookmarkStart w:id="108" w:name="_Toc6609"/>
      <w:bookmarkStart w:id="109" w:name="_Toc901"/>
      <w:bookmarkStart w:id="110" w:name="_Toc20616"/>
      <w:bookmarkStart w:id="111" w:name="_Toc6319"/>
      <w:bookmarkStart w:id="112" w:name="_Toc5197"/>
      <w:r>
        <w:rPr>
          <w:rFonts w:hint="eastAsia" w:ascii="仿宋" w:hAnsi="仿宋" w:eastAsia="仿宋" w:cs="仿宋"/>
          <w:b/>
          <w:bCs/>
          <w:sz w:val="24"/>
          <w:szCs w:val="24"/>
          <w:highlight w:val="none"/>
        </w:rPr>
        <w:t>（二）加强预算执行管理</w:t>
      </w:r>
      <w:bookmarkEnd w:id="102"/>
      <w:bookmarkEnd w:id="103"/>
      <w:bookmarkEnd w:id="104"/>
      <w:bookmarkEnd w:id="105"/>
      <w:bookmarkEnd w:id="106"/>
      <w:bookmarkEnd w:id="107"/>
      <w:bookmarkEnd w:id="108"/>
      <w:bookmarkEnd w:id="109"/>
      <w:bookmarkEnd w:id="110"/>
      <w:bookmarkEnd w:id="111"/>
      <w:bookmarkEnd w:id="112"/>
    </w:p>
    <w:p w14:paraId="138C2681">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在预算执行管理中，建议事前科学设置预付款、进度款、验收款等支付节点并建立预警机制；事中动态监控支付进度，对滞后项目及时协调解决；事后通过绩效评价考核支付时效与效益，针对问题优化流程。通过"计划—执行—评价—改进"闭环管理，确保应急救援装备采购资金支付与项目进度匹配，提升执行效率与资金效益。</w:t>
      </w:r>
    </w:p>
    <w:p w14:paraId="5EACC117">
      <w:pPr>
        <w:keepNext w:val="0"/>
        <w:keepLines w:val="0"/>
        <w:pageBreakBefore w:val="0"/>
        <w:widowControl w:val="0"/>
        <w:numPr>
          <w:ilvl w:val="0"/>
          <w:numId w:val="3"/>
        </w:numPr>
        <w:tabs>
          <w:tab w:val="left" w:pos="1778"/>
        </w:tabs>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lang w:eastAsia="zh-CN"/>
        </w:rPr>
      </w:pPr>
      <w:bookmarkStart w:id="113" w:name="_Toc22202"/>
      <w:bookmarkStart w:id="114" w:name="_Toc24332"/>
      <w:bookmarkStart w:id="115" w:name="_Toc17477"/>
      <w:bookmarkStart w:id="116" w:name="_Toc22869"/>
      <w:bookmarkStart w:id="117" w:name="_Toc22265"/>
      <w:bookmarkStart w:id="118" w:name="_Toc1975"/>
      <w:bookmarkStart w:id="119" w:name="_Toc22015"/>
      <w:bookmarkStart w:id="120" w:name="_Toc23645"/>
      <w:bookmarkStart w:id="121" w:name="_Toc21060"/>
      <w:bookmarkStart w:id="122" w:name="_Toc32335"/>
      <w:bookmarkStart w:id="123" w:name="_Toc22231"/>
      <w:r>
        <w:rPr>
          <w:rFonts w:hint="eastAsia" w:ascii="仿宋" w:hAnsi="仿宋" w:eastAsia="仿宋" w:cs="仿宋"/>
          <w:b/>
          <w:bCs/>
          <w:sz w:val="24"/>
          <w:szCs w:val="24"/>
          <w:highlight w:val="none"/>
        </w:rPr>
        <w:t>规范绩效目标管理</w:t>
      </w:r>
      <w:bookmarkEnd w:id="113"/>
      <w:bookmarkEnd w:id="114"/>
      <w:bookmarkEnd w:id="115"/>
      <w:bookmarkEnd w:id="116"/>
      <w:bookmarkEnd w:id="117"/>
      <w:bookmarkEnd w:id="118"/>
      <w:bookmarkEnd w:id="119"/>
      <w:bookmarkEnd w:id="120"/>
      <w:bookmarkEnd w:id="121"/>
      <w:bookmarkEnd w:id="122"/>
      <w:bookmarkEnd w:id="123"/>
      <w:r>
        <w:rPr>
          <w:rFonts w:hint="eastAsia" w:ascii="仿宋" w:hAnsi="仿宋" w:eastAsia="仿宋" w:cs="仿宋"/>
          <w:b/>
          <w:bCs/>
          <w:sz w:val="24"/>
          <w:szCs w:val="24"/>
          <w:highlight w:val="none"/>
          <w:lang w:eastAsia="zh-CN"/>
        </w:rPr>
        <w:tab/>
      </w:r>
    </w:p>
    <w:p w14:paraId="6C7ED5B8">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sz w:val="24"/>
          <w:szCs w:val="24"/>
          <w:highlight w:val="none"/>
          <w:lang w:eastAsia="zh-CN"/>
        </w:rPr>
      </w:pPr>
      <w:r>
        <w:rPr>
          <w:rFonts w:hint="eastAsia" w:ascii="仿宋" w:hAnsi="仿宋" w:eastAsia="仿宋" w:cs="仿宋"/>
          <w:kern w:val="2"/>
          <w:sz w:val="24"/>
          <w:szCs w:val="24"/>
          <w:highlight w:val="none"/>
          <w:lang w:val="zh-CN" w:eastAsia="zh-CN" w:bidi="ar-SA"/>
        </w:rPr>
        <w:t>针对项目绩效目标表中存在的指标分类错误、二级指标缺失、定性化描述</w:t>
      </w:r>
      <w:r>
        <w:rPr>
          <w:rFonts w:hint="eastAsia" w:ascii="仿宋" w:hAnsi="仿宋" w:eastAsia="仿宋" w:cs="仿宋"/>
          <w:kern w:val="2"/>
          <w:sz w:val="24"/>
          <w:szCs w:val="24"/>
          <w:highlight w:val="none"/>
          <w:lang w:val="en-US" w:eastAsia="zh-CN" w:bidi="ar-SA"/>
        </w:rPr>
        <w:t>较</w:t>
      </w:r>
      <w:r>
        <w:rPr>
          <w:rFonts w:hint="eastAsia" w:ascii="仿宋" w:hAnsi="仿宋" w:eastAsia="仿宋" w:cs="仿宋"/>
          <w:kern w:val="2"/>
          <w:sz w:val="24"/>
          <w:szCs w:val="24"/>
          <w:highlight w:val="none"/>
          <w:lang w:val="zh-CN" w:eastAsia="zh-CN" w:bidi="ar-SA"/>
        </w:rPr>
        <w:t>多及权重分配不合理等问题，建议首先严格按照《项目支出绩效评价管理办法》调整指标层级结构，将“成本指标”归为“产出指标”下的二级指标，并补充“经济效益”和“可持续影响”作为“效益指标”的二级指标；其次，对定性指标（如社会效益、生态效益）进行量化改造，明确具体衡量标准、数据来源及目标值；同时，按项目重要性重新分配权重，确保一级指标（产出、效益、满意度）权重之和为100</w:t>
      </w:r>
      <w:r>
        <w:rPr>
          <w:rFonts w:hint="eastAsia" w:ascii="仿宋" w:hAnsi="仿宋" w:eastAsia="仿宋" w:cs="仿宋"/>
          <w:kern w:val="2"/>
          <w:sz w:val="24"/>
          <w:szCs w:val="24"/>
          <w:highlight w:val="none"/>
          <w:lang w:val="en-US" w:eastAsia="zh-CN" w:bidi="ar-SA"/>
        </w:rPr>
        <w:t>分</w:t>
      </w:r>
      <w:r>
        <w:rPr>
          <w:rFonts w:hint="eastAsia" w:ascii="仿宋" w:hAnsi="仿宋" w:eastAsia="仿宋" w:cs="仿宋"/>
          <w:kern w:val="2"/>
          <w:sz w:val="24"/>
          <w:szCs w:val="24"/>
          <w:highlight w:val="none"/>
          <w:lang w:val="zh-CN" w:eastAsia="zh-CN" w:bidi="ar-SA"/>
        </w:rPr>
        <w:t>，二级指标权重与一级指标匹配；最后，加强对编制人员的培训，重点解读《办法》中的指标设计规范，并引入第三方审核或参考同类优秀案例，确保绩效目标可衡量、可评价且符合政策要求。</w:t>
      </w:r>
    </w:p>
    <w:p w14:paraId="76FFF19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rPr>
      </w:pPr>
      <w:bookmarkStart w:id="124" w:name="_Toc7211"/>
      <w:bookmarkStart w:id="125" w:name="_Toc8920"/>
      <w:bookmarkStart w:id="126" w:name="_Toc11840"/>
      <w:bookmarkStart w:id="127" w:name="_Toc13637"/>
      <w:bookmarkStart w:id="128" w:name="_Toc3995"/>
      <w:bookmarkStart w:id="129" w:name="_Toc16428"/>
      <w:bookmarkStart w:id="130" w:name="_Toc5032"/>
      <w:bookmarkStart w:id="131" w:name="_Toc1870"/>
      <w:bookmarkStart w:id="132" w:name="_Toc28939"/>
      <w:bookmarkStart w:id="133" w:name="_Toc27557"/>
      <w:bookmarkStart w:id="134" w:name="_Toc26916"/>
      <w:r>
        <w:rPr>
          <w:rFonts w:hint="eastAsia" w:ascii="仿宋" w:hAnsi="仿宋" w:eastAsia="仿宋" w:cs="仿宋"/>
          <w:b/>
          <w:bCs/>
          <w:sz w:val="24"/>
          <w:szCs w:val="24"/>
          <w:highlight w:val="none"/>
        </w:rPr>
        <w:t>关于应急响应效能提升的建议</w:t>
      </w:r>
      <w:bookmarkEnd w:id="124"/>
      <w:bookmarkEnd w:id="125"/>
      <w:bookmarkEnd w:id="126"/>
      <w:bookmarkEnd w:id="127"/>
      <w:bookmarkEnd w:id="128"/>
      <w:bookmarkEnd w:id="129"/>
      <w:bookmarkEnd w:id="130"/>
      <w:bookmarkEnd w:id="131"/>
      <w:bookmarkEnd w:id="132"/>
      <w:bookmarkEnd w:id="133"/>
      <w:bookmarkEnd w:id="134"/>
    </w:p>
    <w:p w14:paraId="5735CE57">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为确保应急救援中信息传递的“最后一步”畅通无阻，建议在基层配备便携式卫星电话、数字对讲机等通信终端，确保在断网、断电等极端情况下仍能保障关键信息传输。在应急能力建设方面，建立标准化信息报送流程，定期组织跨区域联合演练，重点测试异构设备互联与协同处置效率，同时加强基层人员设备操作培训，确保“配得上、用得好”，最终构建起覆盖预警、响应、处置全环节的高效应急体系。</w:t>
      </w:r>
    </w:p>
    <w:p w14:paraId="7158FEC2">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进一步</w:t>
      </w:r>
      <w:r>
        <w:rPr>
          <w:rFonts w:hint="eastAsia" w:ascii="仿宋" w:hAnsi="仿宋" w:eastAsia="仿宋" w:cs="仿宋"/>
          <w:b/>
          <w:bCs/>
          <w:sz w:val="24"/>
          <w:szCs w:val="24"/>
          <w:highlight w:val="none"/>
        </w:rPr>
        <w:t>优化采购流程</w:t>
      </w:r>
    </w:p>
    <w:p w14:paraId="1C54299F">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在本次应急救援装备采购项目绩效评价工作中，评价工作组本着客观审慎的原则，对本项目相关招标文件、投标响应文件及评标记录进行查阅，从程序合规性角度看，该项目招投标流程在程序上基本符合《中华人民共和国政府采购法》《中华人民共和国招标投标法》的文件要求，采购公告发布、开标评标等环节均按规定执行。但在深入分析技术参数设置与评标结果的对应关系时，工作组发现若干值得留意并关注的情况，具体需关注的情况如下：项目单位在招标文件中将部分装备（如：高压接力消防水泵、移动蓄水池、油锯等）的技术参数在国家级行业标准基础上进行了局部调整，该部分的调整虽幅度不大，但涉及流量、扬程等关键性能指标。</w:t>
      </w:r>
    </w:p>
    <w:p w14:paraId="7FD372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lang w:val="zh-CN" w:eastAsia="zh-CN" w:bidi="ar-SA"/>
        </w:rPr>
        <w:t>经工作组实地走访中标企业发现，该企业所供应的应急救援装备均为外部采购产品，并非自主生产，且通过核查部分购销合同发现，部分装备的采购价与中标价存在较大差异。为优化财政资金使用效率，建议在后续类似采购项目中，主管部门可优先考虑直接向</w:t>
      </w:r>
      <w:r>
        <w:rPr>
          <w:rFonts w:hint="eastAsia" w:ascii="仿宋" w:hAnsi="仿宋" w:eastAsia="仿宋" w:cs="仿宋"/>
          <w:kern w:val="2"/>
          <w:sz w:val="24"/>
          <w:szCs w:val="24"/>
          <w:highlight w:val="none"/>
          <w:lang w:val="en-US" w:eastAsia="zh-CN" w:bidi="ar-SA"/>
        </w:rPr>
        <w:t>完全自主生产或</w:t>
      </w:r>
      <w:r>
        <w:rPr>
          <w:rFonts w:hint="eastAsia" w:ascii="仿宋" w:hAnsi="仿宋" w:eastAsia="仿宋" w:cs="仿宋"/>
          <w:kern w:val="2"/>
          <w:sz w:val="24"/>
          <w:szCs w:val="24"/>
          <w:highlight w:val="none"/>
          <w:lang w:val="zh-CN" w:eastAsia="zh-CN" w:bidi="ar-SA"/>
        </w:rPr>
        <w:t>具备</w:t>
      </w:r>
      <w:r>
        <w:rPr>
          <w:rFonts w:hint="eastAsia" w:ascii="仿宋" w:hAnsi="仿宋" w:eastAsia="仿宋" w:cs="仿宋"/>
          <w:kern w:val="2"/>
          <w:sz w:val="24"/>
          <w:szCs w:val="24"/>
          <w:highlight w:val="none"/>
          <w:lang w:val="en-US" w:eastAsia="zh-CN" w:bidi="ar-SA"/>
        </w:rPr>
        <w:t>一定装备生产</w:t>
      </w:r>
      <w:r>
        <w:rPr>
          <w:rFonts w:hint="eastAsia" w:ascii="仿宋" w:hAnsi="仿宋" w:eastAsia="仿宋" w:cs="仿宋"/>
          <w:kern w:val="2"/>
          <w:sz w:val="24"/>
          <w:szCs w:val="24"/>
          <w:highlight w:val="none"/>
          <w:lang w:val="zh-CN" w:eastAsia="zh-CN" w:bidi="ar-SA"/>
        </w:rPr>
        <w:t>能力的供应商采购，减少中间环节，从而合理控制采购成本，确保财政资金发挥更大效益。</w:t>
      </w:r>
      <w:r>
        <w:rPr>
          <w:rFonts w:hint="eastAsia" w:ascii="仿宋" w:hAnsi="仿宋" w:eastAsia="仿宋" w:cs="仿宋"/>
          <w:kern w:val="2"/>
          <w:sz w:val="24"/>
          <w:szCs w:val="24"/>
          <w:highlight w:val="none"/>
          <w:lang w:val="en-US" w:eastAsia="zh-CN" w:bidi="ar-SA"/>
        </w:rPr>
        <w:t>同时，也可借鉴其他城市招标采购文件预公示的做法，进一步保障招标投标活动便利化、规范化、透明化开展。</w:t>
      </w:r>
    </w:p>
    <w:p w14:paraId="1B5F7A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sz w:val="24"/>
          <w:szCs w:val="24"/>
          <w:highlight w:val="none"/>
        </w:rPr>
      </w:pPr>
    </w:p>
    <w:p w14:paraId="6507AA9A">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0716B0A6">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2B0AC692">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348D9CFA">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19EC24B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38AA998C">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456189E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7F11D67D">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3A7E823B">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33C171D6">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56702F00">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eastAsia="仿宋_GB2312" w:cs="Times New Roman"/>
          <w:kern w:val="2"/>
          <w:sz w:val="24"/>
          <w:szCs w:val="24"/>
          <w:highlight w:val="none"/>
          <w:lang w:val="zh-CN" w:eastAsia="zh-CN" w:bidi="ar-SA"/>
        </w:rPr>
      </w:pPr>
    </w:p>
    <w:p w14:paraId="204B12A5">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default" w:ascii="Times New Roman" w:hAnsi="Times New Roman" w:eastAsia="仿宋_GB2312" w:cs="Times New Roman"/>
          <w:kern w:val="2"/>
          <w:sz w:val="24"/>
          <w:szCs w:val="24"/>
          <w:highlight w:val="none"/>
          <w:lang w:val="zh-CN" w:eastAsia="zh-CN" w:bidi="ar-SA"/>
        </w:rPr>
      </w:pPr>
    </w:p>
    <w:p w14:paraId="263E0CA7">
      <w:pPr>
        <w:spacing w:before="0" w:beforeLines="0" w:after="0" w:afterLines="0" w:line="240" w:lineRule="auto"/>
        <w:ind w:left="0" w:leftChars="0" w:right="0" w:rightChars="0" w:firstLine="0" w:firstLineChars="0"/>
        <w:jc w:val="center"/>
        <w:rPr>
          <w:rFonts w:hint="default" w:ascii="Times New Roman" w:hAnsi="Times New Roman" w:eastAsia="仿宋" w:cs="Times New Roman"/>
          <w:b/>
          <w:bCs/>
          <w:sz w:val="32"/>
          <w:szCs w:val="32"/>
          <w:highlight w:val="none"/>
          <w:lang w:val="en-US" w:eastAsia="zh-CN"/>
        </w:rPr>
        <w:sectPr>
          <w:headerReference r:id="rId3" w:type="default"/>
          <w:footerReference r:id="rId4" w:type="default"/>
          <w:pgSz w:w="11906" w:h="16838"/>
          <w:pgMar w:top="1417" w:right="1531" w:bottom="1531" w:left="1701" w:header="851" w:footer="992" w:gutter="0"/>
          <w:pgBorders>
            <w:top w:val="none" w:sz="0" w:space="0"/>
            <w:left w:val="none" w:sz="0" w:space="0"/>
            <w:bottom w:val="none" w:sz="0" w:space="0"/>
            <w:right w:val="none" w:sz="0" w:space="0"/>
          </w:pgBorders>
          <w:pgNumType w:fmt="decimal" w:start="1"/>
          <w:cols w:space="0" w:num="1"/>
          <w:rtlGutter w:val="0"/>
          <w:docGrid w:type="lines" w:linePitch="420" w:charSpace="0"/>
        </w:sectPr>
      </w:pPr>
    </w:p>
    <w:sdt>
      <w:sdtPr>
        <w:rPr>
          <w:rFonts w:hint="default" w:ascii="Times New Roman" w:hAnsi="Times New Roman" w:eastAsia="仿宋" w:cs="Times New Roman"/>
          <w:b/>
          <w:bCs/>
          <w:sz w:val="32"/>
          <w:szCs w:val="32"/>
          <w:highlight w:val="none"/>
          <w:lang w:val="en-US" w:eastAsia="zh-CN"/>
        </w:rPr>
        <w:id w:val="147481586"/>
        <w15:color w:val="DBDBDB"/>
        <w:docPartObj>
          <w:docPartGallery w:val="Table of Contents"/>
          <w:docPartUnique/>
        </w:docPartObj>
      </w:sdtPr>
      <w:sdtEndPr>
        <w:rPr>
          <w:rFonts w:hint="default" w:ascii="Times New Roman" w:hAnsi="Times New Roman" w:eastAsia="仿宋_GB2312" w:cs="Times New Roman"/>
          <w:b/>
          <w:bCs/>
          <w:kern w:val="2"/>
          <w:sz w:val="24"/>
          <w:szCs w:val="24"/>
          <w:highlight w:val="none"/>
          <w:lang w:val="zh-CN" w:eastAsia="zh-CN" w:bidi="ar-SA"/>
        </w:rPr>
      </w:sdtEndPr>
      <w:sdtContent>
        <w:p w14:paraId="619A3BE7">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0" w:firstLineChars="0"/>
            <w:jc w:val="center"/>
            <w:textAlignment w:val="auto"/>
            <w:rPr>
              <w:rFonts w:hint="default" w:ascii="Times New Roman" w:hAnsi="Times New Roman" w:eastAsia="仿宋" w:cs="Times New Roman"/>
              <w:b/>
              <w:bCs/>
              <w:sz w:val="32"/>
              <w:szCs w:val="32"/>
              <w:highlight w:val="none"/>
            </w:rPr>
          </w:pPr>
          <w:r>
            <w:rPr>
              <w:rFonts w:hint="default" w:ascii="Times New Roman" w:hAnsi="Times New Roman" w:eastAsia="仿宋" w:cs="Times New Roman"/>
              <w:b/>
              <w:bCs/>
              <w:sz w:val="32"/>
              <w:szCs w:val="32"/>
              <w:highlight w:val="none"/>
            </w:rPr>
            <w:t>目</w:t>
          </w:r>
          <w:r>
            <w:rPr>
              <w:rFonts w:hint="default" w:ascii="Times New Roman" w:hAnsi="Times New Roman" w:eastAsia="仿宋" w:cs="Times New Roman"/>
              <w:b/>
              <w:bCs/>
              <w:sz w:val="32"/>
              <w:szCs w:val="32"/>
              <w:highlight w:val="none"/>
              <w:lang w:val="en-US" w:eastAsia="zh-CN"/>
            </w:rPr>
            <w:t xml:space="preserve"> </w:t>
          </w:r>
          <w:r>
            <w:rPr>
              <w:rFonts w:hint="default" w:ascii="Times New Roman" w:hAnsi="Times New Roman" w:eastAsia="仿宋" w:cs="Times New Roman"/>
              <w:b/>
              <w:bCs/>
              <w:sz w:val="32"/>
              <w:szCs w:val="32"/>
              <w:highlight w:val="none"/>
            </w:rPr>
            <w:t>录</w:t>
          </w:r>
        </w:p>
        <w:p w14:paraId="0D4174C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0" w:firstLineChars="0"/>
            <w:jc w:val="center"/>
            <w:textAlignment w:val="auto"/>
            <w:rPr>
              <w:rFonts w:hint="default" w:ascii="Times New Roman" w:hAnsi="Times New Roman" w:eastAsia="仿宋" w:cs="Times New Roman"/>
              <w:b/>
              <w:bCs/>
              <w:sz w:val="32"/>
              <w:szCs w:val="32"/>
              <w:highlight w:val="none"/>
            </w:rPr>
          </w:pPr>
        </w:p>
        <w:p w14:paraId="5252BF25">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default" w:ascii="Times New Roman" w:hAnsi="Times New Roman" w:eastAsia="仿宋_GB2312" w:cs="Times New Roman"/>
              <w:kern w:val="2"/>
              <w:sz w:val="24"/>
              <w:szCs w:val="24"/>
              <w:highlight w:val="none"/>
              <w:lang w:val="zh-CN" w:eastAsia="zh-CN" w:bidi="ar-SA"/>
            </w:rPr>
            <w:fldChar w:fldCharType="begin"/>
          </w:r>
          <w:r>
            <w:rPr>
              <w:rFonts w:hint="default" w:ascii="Times New Roman" w:hAnsi="Times New Roman" w:eastAsia="仿宋_GB2312" w:cs="Times New Roman"/>
              <w:kern w:val="2"/>
              <w:sz w:val="24"/>
              <w:szCs w:val="24"/>
              <w:highlight w:val="none"/>
              <w:lang w:val="zh-CN" w:eastAsia="zh-CN" w:bidi="ar-SA"/>
            </w:rPr>
            <w:instrText xml:space="preserve">TOC \o "1-2" \h \u </w:instrText>
          </w:r>
          <w:r>
            <w:rPr>
              <w:rFonts w:hint="default" w:ascii="Times New Roman" w:hAnsi="Times New Roman" w:eastAsia="仿宋_GB2312" w:cs="Times New Roman"/>
              <w:kern w:val="2"/>
              <w:sz w:val="24"/>
              <w:szCs w:val="24"/>
              <w:highlight w:val="none"/>
              <w:lang w:val="zh-CN" w:eastAsia="zh-CN" w:bidi="ar-SA"/>
            </w:rPr>
            <w:fldChar w:fldCharType="separate"/>
          </w: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_Toc30072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一、基本情况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_Toc30072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0FD85CA8">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_Toc7030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（一）项目概况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_Toc7030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150FBB8">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_Toc588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（二）项目绩效目标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_Toc588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2E105B19">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_Toc2188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二、绩效评价工作开展情况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_Toc2188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8804ED0">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_Toc13815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（一）绩效评价目的、对象和范围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_Toc13815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5EAF6BBF">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_Toc23523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（二）绩效评价原则、评价指标体系、评价方法、评价标准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_Toc23523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C2E30EC">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_Toc21386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（三）绩效评价工作过程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_Toc21386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76131B0C">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_Toc5250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三、综合评价情况及评价结论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_Toc5250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0D5DB9AF">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_Toc27969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四、绩效评价指标分析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_Toc27969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C9869DA">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_Toc5570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（一）项目决策情况（分值1</w:t>
          </w: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rPr>
            <w:t>分，</w:t>
          </w:r>
          <w:r>
            <w:rPr>
              <w:rFonts w:hint="eastAsia" w:ascii="仿宋" w:hAnsi="仿宋" w:eastAsia="仿宋" w:cs="仿宋"/>
              <w:bCs/>
              <w:sz w:val="24"/>
              <w:szCs w:val="24"/>
              <w:highlight w:val="none"/>
              <w:lang w:eastAsia="zh-CN"/>
            </w:rPr>
            <w:t>得</w:t>
          </w: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1.5</w:t>
          </w:r>
          <w:r>
            <w:rPr>
              <w:rFonts w:hint="eastAsia" w:ascii="仿宋" w:hAnsi="仿宋" w:eastAsia="仿宋" w:cs="仿宋"/>
              <w:bCs/>
              <w:sz w:val="24"/>
              <w:szCs w:val="24"/>
              <w:highlight w:val="none"/>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_Toc5570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44BA7DF0">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_Toc13042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（二）项目过程情况</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分值</w:t>
          </w:r>
          <w:r>
            <w:rPr>
              <w:rFonts w:hint="eastAsia" w:ascii="仿宋" w:hAnsi="仿宋" w:eastAsia="仿宋" w:cs="仿宋"/>
              <w:bCs/>
              <w:sz w:val="24"/>
              <w:szCs w:val="24"/>
              <w:highlight w:val="none"/>
              <w:lang w:val="zh-CN" w:eastAsia="zh-CN"/>
            </w:rPr>
            <w:t>1</w:t>
          </w: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lang w:val="zh-CN" w:eastAsia="zh-CN"/>
            </w:rPr>
            <w:t>分，得</w:t>
          </w:r>
          <w:r>
            <w:rPr>
              <w:rFonts w:hint="eastAsia" w:ascii="仿宋" w:hAnsi="仿宋" w:eastAsia="仿宋" w:cs="仿宋"/>
              <w:bCs/>
              <w:sz w:val="24"/>
              <w:szCs w:val="24"/>
              <w:highlight w:val="none"/>
              <w:lang w:val="en-US" w:eastAsia="zh-CN"/>
            </w:rPr>
            <w:t>17.23</w:t>
          </w:r>
          <w:r>
            <w:rPr>
              <w:rFonts w:hint="eastAsia" w:ascii="仿宋" w:hAnsi="仿宋" w:eastAsia="仿宋" w:cs="仿宋"/>
              <w:bCs/>
              <w:sz w:val="24"/>
              <w:szCs w:val="24"/>
              <w:highlight w:val="none"/>
              <w:lang w:val="zh-CN" w:eastAsia="zh-CN"/>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_Toc13042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BB6AC3D">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_Toc19065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（三）项目产出情况（</w:t>
          </w:r>
          <w:r>
            <w:rPr>
              <w:rFonts w:hint="eastAsia" w:ascii="仿宋" w:hAnsi="仿宋" w:eastAsia="仿宋" w:cs="仿宋"/>
              <w:bCs/>
              <w:sz w:val="24"/>
              <w:szCs w:val="24"/>
              <w:highlight w:val="none"/>
              <w:lang w:val="en-US" w:eastAsia="zh-CN"/>
            </w:rPr>
            <w:t>分值</w:t>
          </w: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分，得2</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9D4C2CD">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_Toc23822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（四）项目效益情况（</w:t>
          </w:r>
          <w:r>
            <w:rPr>
              <w:rFonts w:hint="eastAsia" w:ascii="仿宋" w:hAnsi="仿宋" w:eastAsia="仿宋" w:cs="仿宋"/>
              <w:bCs/>
              <w:sz w:val="24"/>
              <w:szCs w:val="24"/>
              <w:highlight w:val="none"/>
              <w:lang w:val="en-US" w:eastAsia="zh-CN"/>
            </w:rPr>
            <w:t>分值</w:t>
          </w: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分，得32.64分）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_Toc23822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0E5198B4">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_Toc26238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五、主要经验及做法、存在的问题及原因分析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_Toc26238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5A6CCD69">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_Toc24725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（一）主要经验及做法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_Toc24725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35EAE81B">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_Toc24908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（二）存在的问题及原因分析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_Toc24908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57062656">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_Toc15269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六、有关建议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_Toc15269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2D43F56F">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_Toc23250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（一）优化装备配置管理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_Toc23250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43EBF3D">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_Toc26511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rPr>
            <w:t>（二）加强预算执行管理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_Toc26511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64A382B7">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_Toc25525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三</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规范绩效目标管理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_Toc25525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55BD9AFA">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_Toc9374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四</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关于应急响应效能提升的建议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_Toc9374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52366944">
          <w:pPr>
            <w:pStyle w:val="11"/>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_Toc11394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en-US" w:eastAsia="zh-CN"/>
            </w:rPr>
            <w:t>（五）进一步</w:t>
          </w:r>
          <w:r>
            <w:rPr>
              <w:rFonts w:hint="eastAsia" w:ascii="仿宋" w:hAnsi="仿宋" w:eastAsia="仿宋" w:cs="仿宋"/>
              <w:bCs/>
              <w:sz w:val="24"/>
              <w:szCs w:val="24"/>
              <w:highlight w:val="none"/>
            </w:rPr>
            <w:t>优化采购流程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_Toc11394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69637ED5">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_Toc13546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eastAsia="zh-CN"/>
            </w:rPr>
            <w:t>、其他需要说明的问题</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_Toc13546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5C9CF928">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rPr>
              <w:rFonts w:hint="eastAsia" w:ascii="仿宋" w:hAnsi="仿宋" w:eastAsia="仿宋" w:cs="仿宋"/>
              <w:sz w:val="24"/>
              <w:szCs w:val="24"/>
            </w:rPr>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_Toc31659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附表</w:t>
          </w:r>
          <w:r>
            <w:rPr>
              <w:rFonts w:hint="eastAsia" w:ascii="仿宋" w:hAnsi="仿宋" w:eastAsia="仿宋" w:cs="仿宋"/>
              <w:bCs/>
              <w:sz w:val="24"/>
              <w:szCs w:val="24"/>
              <w:highlight w:val="none"/>
              <w:lang w:val="en-US" w:eastAsia="zh-CN"/>
            </w:rPr>
            <w:t xml:space="preserve">  石狮</w:t>
          </w:r>
          <w:r>
            <w:rPr>
              <w:rFonts w:hint="eastAsia" w:ascii="仿宋" w:hAnsi="仿宋" w:eastAsia="仿宋" w:cs="仿宋"/>
              <w:bCs/>
              <w:sz w:val="24"/>
              <w:szCs w:val="24"/>
              <w:highlight w:val="none"/>
              <w:lang w:val="zh-CN" w:eastAsia="zh-CN"/>
            </w:rPr>
            <w:t>市202</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lang w:val="zh-CN" w:eastAsia="zh-CN"/>
            </w:rPr>
            <w:t>年自然灾害应急能力提升工程项目经费支出评价指标表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_Toc31659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7FDE0667">
          <w:pPr>
            <w:pStyle w:val="10"/>
            <w:keepNext w:val="0"/>
            <w:keepLines w:val="0"/>
            <w:pageBreakBefore w:val="0"/>
            <w:widowControl w:val="0"/>
            <w:tabs>
              <w:tab w:val="right" w:leader="dot" w:pos="8674"/>
            </w:tabs>
            <w:kinsoku/>
            <w:wordWrap/>
            <w:overflowPunct/>
            <w:topLinePunct w:val="0"/>
            <w:autoSpaceDE/>
            <w:autoSpaceDN/>
            <w:bidi w:val="0"/>
            <w:adjustRightInd/>
            <w:snapToGrid/>
            <w:textAlignment w:val="auto"/>
          </w:pPr>
          <w:r>
            <w:rPr>
              <w:rFonts w:hint="eastAsia" w:ascii="仿宋" w:hAnsi="仿宋" w:eastAsia="仿宋" w:cs="仿宋"/>
              <w:kern w:val="2"/>
              <w:sz w:val="24"/>
              <w:szCs w:val="24"/>
              <w:highlight w:val="none"/>
              <w:lang w:val="zh-CN" w:eastAsia="zh-CN" w:bidi="ar-SA"/>
            </w:rPr>
            <w:fldChar w:fldCharType="begin"/>
          </w:r>
          <w:r>
            <w:rPr>
              <w:rFonts w:hint="eastAsia" w:ascii="仿宋" w:hAnsi="仿宋" w:eastAsia="仿宋" w:cs="仿宋"/>
              <w:kern w:val="2"/>
              <w:sz w:val="24"/>
              <w:szCs w:val="24"/>
              <w:highlight w:val="none"/>
              <w:lang w:val="zh-CN" w:eastAsia="zh-CN" w:bidi="ar-SA"/>
            </w:rPr>
            <w:instrText xml:space="preserve"> HYPERLINK \l _Toc1773 </w:instrText>
          </w:r>
          <w:r>
            <w:rPr>
              <w:rFonts w:hint="eastAsia" w:ascii="仿宋" w:hAnsi="仿宋" w:eastAsia="仿宋" w:cs="仿宋"/>
              <w:kern w:val="2"/>
              <w:sz w:val="24"/>
              <w:szCs w:val="24"/>
              <w:highlight w:val="none"/>
              <w:lang w:val="zh-CN" w:eastAsia="zh-CN" w:bidi="ar-SA"/>
            </w:rPr>
            <w:fldChar w:fldCharType="separate"/>
          </w:r>
          <w:r>
            <w:rPr>
              <w:rFonts w:hint="eastAsia" w:ascii="仿宋" w:hAnsi="仿宋" w:eastAsia="仿宋" w:cs="仿宋"/>
              <w:bCs/>
              <w:sz w:val="24"/>
              <w:szCs w:val="24"/>
              <w:highlight w:val="none"/>
              <w:lang w:val="zh-CN" w:eastAsia="zh-CN"/>
            </w:rPr>
            <w:t>附录</w:t>
          </w:r>
          <w:r>
            <w:rPr>
              <w:rFonts w:hint="eastAsia" w:ascii="仿宋" w:hAnsi="仿宋" w:eastAsia="仿宋" w:cs="仿宋"/>
              <w:bCs/>
              <w:sz w:val="24"/>
              <w:szCs w:val="24"/>
              <w:highlight w:val="none"/>
              <w:lang w:val="en-US" w:eastAsia="zh-CN"/>
            </w:rPr>
            <w:t xml:space="preserve">  石狮</w:t>
          </w:r>
          <w:r>
            <w:rPr>
              <w:rFonts w:hint="eastAsia" w:ascii="仿宋" w:hAnsi="仿宋" w:eastAsia="仿宋" w:cs="仿宋"/>
              <w:bCs/>
              <w:sz w:val="24"/>
              <w:szCs w:val="24"/>
              <w:highlight w:val="none"/>
              <w:lang w:val="zh-CN" w:eastAsia="zh-CN"/>
            </w:rPr>
            <w:t>市202</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lang w:val="zh-CN" w:eastAsia="zh-CN"/>
            </w:rPr>
            <w:t>年自然灾害应急能力提升工程项目应急救援队伍满意度调查问卷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_Toc1773 \h </w:instrText>
          </w:r>
          <w:r>
            <w:rPr>
              <w:rFonts w:hint="eastAsia" w:ascii="仿宋" w:hAnsi="仿宋" w:eastAsia="仿宋" w:cs="仿宋"/>
              <w:sz w:val="24"/>
              <w:szCs w:val="24"/>
            </w:rPr>
            <w:fldChar w:fldCharType="separate"/>
          </w:r>
          <w:r>
            <w:rPr>
              <w:rFonts w:hint="eastAsia" w:ascii="仿宋" w:hAnsi="仿宋" w:eastAsia="仿宋" w:cs="仿宋"/>
              <w:sz w:val="24"/>
              <w:szCs w:val="24"/>
            </w:rPr>
            <w:t>29</w:t>
          </w:r>
          <w:r>
            <w:rPr>
              <w:rFonts w:hint="eastAsia" w:ascii="仿宋" w:hAnsi="仿宋" w:eastAsia="仿宋" w:cs="仿宋"/>
              <w:sz w:val="24"/>
              <w:szCs w:val="24"/>
            </w:rPr>
            <w:fldChar w:fldCharType="end"/>
          </w:r>
          <w:r>
            <w:rPr>
              <w:rFonts w:hint="eastAsia" w:ascii="仿宋" w:hAnsi="仿宋" w:eastAsia="仿宋" w:cs="仿宋"/>
              <w:kern w:val="2"/>
              <w:sz w:val="24"/>
              <w:szCs w:val="24"/>
              <w:highlight w:val="none"/>
              <w:lang w:val="zh-CN" w:eastAsia="zh-CN" w:bidi="ar-SA"/>
            </w:rPr>
            <w:fldChar w:fldCharType="end"/>
          </w:r>
        </w:p>
        <w:p w14:paraId="1B8EF3AF">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center"/>
            <w:textAlignment w:val="auto"/>
            <w:rPr>
              <w:rFonts w:hint="default" w:ascii="Times New Roman" w:hAnsi="Times New Roman" w:eastAsia="仿宋_GB2312" w:cs="Times New Roman"/>
              <w:kern w:val="2"/>
              <w:sz w:val="24"/>
              <w:szCs w:val="24"/>
              <w:highlight w:val="none"/>
              <w:lang w:val="zh-CN" w:eastAsia="zh-CN" w:bidi="ar-SA"/>
            </w:rPr>
            <w:sectPr>
              <w:footerReference r:id="rId5" w:type="default"/>
              <w:pgSz w:w="11906" w:h="16838"/>
              <w:pgMar w:top="1417" w:right="1531" w:bottom="1531" w:left="1701" w:header="851" w:footer="992" w:gutter="0"/>
              <w:pgBorders>
                <w:top w:val="none" w:sz="0" w:space="0"/>
                <w:left w:val="none" w:sz="0" w:space="0"/>
                <w:bottom w:val="none" w:sz="0" w:space="0"/>
                <w:right w:val="none" w:sz="0" w:space="0"/>
              </w:pgBorders>
              <w:pgNumType w:fmt="decimal" w:start="1"/>
              <w:cols w:space="0" w:num="1"/>
              <w:rtlGutter w:val="0"/>
              <w:docGrid w:type="lines" w:linePitch="420" w:charSpace="0"/>
            </w:sectPr>
          </w:pPr>
          <w:r>
            <w:rPr>
              <w:rFonts w:hint="default" w:ascii="Times New Roman" w:hAnsi="Times New Roman" w:eastAsia="仿宋_GB2312" w:cs="Times New Roman"/>
              <w:kern w:val="2"/>
              <w:szCs w:val="24"/>
              <w:highlight w:val="none"/>
              <w:lang w:val="zh-CN" w:eastAsia="zh-CN" w:bidi="ar-SA"/>
            </w:rPr>
            <w:fldChar w:fldCharType="end"/>
          </w:r>
        </w:p>
      </w:sdtContent>
    </w:sdt>
    <w:p w14:paraId="105F21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bookmarkStart w:id="135" w:name="_Toc11103"/>
      <w:bookmarkStart w:id="136" w:name="_Toc184981055"/>
      <w:bookmarkStart w:id="137" w:name="_Toc184981296"/>
      <w:bookmarkStart w:id="138" w:name="_Toc24407"/>
      <w:r>
        <w:rPr>
          <w:rFonts w:hint="eastAsia" w:ascii="仿宋" w:hAnsi="仿宋" w:eastAsia="仿宋" w:cs="仿宋"/>
          <w:sz w:val="24"/>
          <w:szCs w:val="24"/>
          <w:highlight w:val="none"/>
          <w:lang w:val="en-US" w:eastAsia="zh-CN"/>
        </w:rPr>
        <w:t>为加强财政资金管理，强化支出责任，提高财政资金的使用效益，建立科学、合理的财政支出绩效评价管理体系，集大财经咨询（福州）有限公司接受石狮市财政局委托，组织专业人员成立评价工作组，根据中共中央、国务院《关于全面实施预算绩效管理的意见》（中发〔2018〕34号）、福建省委、省政府《关于全面实施预算绩效管理的实施意见》（闽委发〔2019〕5号）、福建省财政厅《关于全面实施预算绩效管理若干措施的通知》（闽财绩〔2019〕2号）、财政部《项目支出绩效评价管理办法》（财预〔2020〕10号）、《财政部关于委托第三方机构参与预算绩效管理的指导意见》（财预〔2021〕6号）等文件精神和要求，对石狮市2024年自然灾害应急能力提升工程基层防灾与预警指挥项目经费支出开展绩效评价，以第三方身份出具报告。评价报告主要是供石狮市财政局了解该项目经费支出的绩效情况。</w:t>
      </w:r>
    </w:p>
    <w:p w14:paraId="0D91E33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default" w:ascii="Times New Roman" w:hAnsi="Times New Roman" w:eastAsia="仿宋" w:cs="Times New Roman"/>
          <w:b/>
          <w:bCs/>
          <w:sz w:val="28"/>
          <w:szCs w:val="28"/>
          <w:highlight w:val="none"/>
        </w:rPr>
      </w:pPr>
    </w:p>
    <w:p w14:paraId="2390B6F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default" w:ascii="Times New Roman" w:hAnsi="Times New Roman" w:eastAsia="仿宋" w:cs="Times New Roman"/>
          <w:b/>
          <w:bCs/>
          <w:sz w:val="28"/>
          <w:szCs w:val="28"/>
          <w:highlight w:val="none"/>
        </w:rPr>
      </w:pPr>
      <w:bookmarkStart w:id="139" w:name="_Toc30072"/>
      <w:r>
        <w:rPr>
          <w:rFonts w:hint="default" w:ascii="Times New Roman" w:hAnsi="Times New Roman" w:eastAsia="仿宋" w:cs="Times New Roman"/>
          <w:b/>
          <w:bCs/>
          <w:sz w:val="28"/>
          <w:szCs w:val="28"/>
          <w:highlight w:val="none"/>
        </w:rPr>
        <w:t>一、基本情况</w:t>
      </w:r>
      <w:bookmarkEnd w:id="135"/>
      <w:bookmarkEnd w:id="136"/>
      <w:bookmarkEnd w:id="137"/>
      <w:bookmarkEnd w:id="138"/>
      <w:bookmarkEnd w:id="139"/>
    </w:p>
    <w:p w14:paraId="3665B2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Times New Roman" w:hAnsi="Times New Roman" w:eastAsia="仿宋_GB2312" w:cs="Times New Roman"/>
          <w:b/>
          <w:bCs/>
          <w:sz w:val="24"/>
          <w:szCs w:val="24"/>
          <w:highlight w:val="none"/>
        </w:rPr>
      </w:pPr>
      <w:bookmarkStart w:id="140" w:name="_Toc27083"/>
      <w:bookmarkStart w:id="141" w:name="_Toc184981056"/>
      <w:bookmarkStart w:id="142" w:name="_Toc7030"/>
      <w:bookmarkStart w:id="143" w:name="_Toc15682"/>
      <w:bookmarkStart w:id="144" w:name="_Toc184981297"/>
      <w:r>
        <w:rPr>
          <w:rFonts w:hint="default" w:ascii="Times New Roman" w:hAnsi="Times New Roman" w:eastAsia="仿宋_GB2312" w:cs="Times New Roman"/>
          <w:b/>
          <w:bCs/>
          <w:sz w:val="24"/>
          <w:szCs w:val="24"/>
          <w:highlight w:val="none"/>
        </w:rPr>
        <w:t>（一）项目概况</w:t>
      </w:r>
      <w:bookmarkEnd w:id="140"/>
      <w:bookmarkEnd w:id="141"/>
      <w:bookmarkEnd w:id="142"/>
      <w:bookmarkEnd w:id="143"/>
      <w:bookmarkEnd w:id="144"/>
    </w:p>
    <w:p w14:paraId="4AA965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bookmarkStart w:id="145" w:name="_Toc184981057"/>
      <w:r>
        <w:rPr>
          <w:rFonts w:hint="eastAsia" w:ascii="仿宋" w:hAnsi="仿宋" w:eastAsia="仿宋" w:cs="仿宋"/>
          <w:sz w:val="24"/>
          <w:szCs w:val="24"/>
          <w:highlight w:val="none"/>
          <w:lang w:val="en-US" w:eastAsia="zh-CN"/>
        </w:rPr>
        <w:t>1.项目背景</w:t>
      </w:r>
      <w:bookmarkEnd w:id="145"/>
    </w:p>
    <w:p w14:paraId="7F4B1E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为认真贯彻落实党中央、国务院，省委、省政府，市委、市政府决策部署，加强和规范基层应急救援队伍建设，提升基层防灾与预警指挥能力，保障人民群众生命财产安全，根据国家和省、市关于应急管理体系建设的总体部署，启动本项目。石狮市应急管理局根据</w:t>
      </w:r>
      <w:bookmarkStart w:id="248" w:name="_GoBack"/>
      <w:r>
        <w:rPr>
          <w:rFonts w:hint="eastAsia" w:ascii="仿宋" w:hAnsi="仿宋" w:eastAsia="仿宋" w:cs="仿宋"/>
          <w:sz w:val="24"/>
          <w:szCs w:val="24"/>
          <w:highlight w:val="none"/>
          <w:lang w:val="en-US" w:eastAsia="zh-CN"/>
        </w:rPr>
        <w:t>国家发展改革委</w:t>
      </w:r>
      <w:bookmarkEnd w:id="248"/>
      <w:r>
        <w:rPr>
          <w:rFonts w:hint="eastAsia" w:ascii="仿宋" w:hAnsi="仿宋" w:eastAsia="仿宋" w:cs="仿宋"/>
          <w:sz w:val="24"/>
          <w:szCs w:val="24"/>
          <w:highlight w:val="none"/>
          <w:lang w:val="en-US" w:eastAsia="zh-CN"/>
        </w:rPr>
        <w:t>印发的《2023年增发国债项目管理办法》，应急管理部印发的《自然灾害应急能力提升工程基层防灾项目实施方案》《自然灾害应急能力提升工程然灾害应急能力提升工程基层防灾项目实施工作方案》及《福建省泉州市自然灾害应急能力提升工程基层防灾项目实施工作方案》等有关文件要求，制定《石狮市自然灾害应急能力提升工程基层防灾项目实施工作方案》。</w:t>
      </w:r>
    </w:p>
    <w:p w14:paraId="166BB5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年4月</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日，泉州市应急管理局</w:t>
      </w:r>
      <w:r>
        <w:rPr>
          <w:rFonts w:hint="eastAsia" w:ascii="仿宋" w:hAnsi="仿宋" w:eastAsia="仿宋" w:cs="仿宋"/>
          <w:sz w:val="24"/>
          <w:szCs w:val="24"/>
          <w:highlight w:val="none"/>
          <w:lang w:val="en-US" w:eastAsia="zh-CN"/>
        </w:rPr>
        <w:t>召开</w:t>
      </w:r>
      <w:r>
        <w:rPr>
          <w:rFonts w:hint="eastAsia" w:ascii="仿宋" w:hAnsi="仿宋" w:eastAsia="仿宋" w:cs="仿宋"/>
          <w:sz w:val="24"/>
          <w:szCs w:val="24"/>
          <w:highlight w:val="none"/>
          <w:lang w:val="zh-CN" w:eastAsia="zh-CN"/>
        </w:rPr>
        <w:t>应急领域国债项目实施推进会议，4月</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lang w:val="zh-CN" w:eastAsia="zh-CN"/>
        </w:rPr>
        <w:t>日，泉州市应急管理局</w:t>
      </w:r>
      <w:r>
        <w:rPr>
          <w:rFonts w:hint="eastAsia" w:ascii="仿宋" w:hAnsi="仿宋" w:eastAsia="仿宋" w:cs="仿宋"/>
          <w:sz w:val="24"/>
          <w:szCs w:val="24"/>
          <w:highlight w:val="none"/>
          <w:lang w:val="en-US" w:eastAsia="zh-CN"/>
        </w:rPr>
        <w:t>下达关于《</w:t>
      </w:r>
      <w:r>
        <w:rPr>
          <w:rFonts w:hint="eastAsia" w:ascii="仿宋" w:hAnsi="仿宋" w:eastAsia="仿宋" w:cs="仿宋"/>
          <w:sz w:val="24"/>
          <w:szCs w:val="24"/>
          <w:highlight w:val="none"/>
          <w:lang w:val="zh-CN" w:eastAsia="zh-CN"/>
        </w:rPr>
        <w:t>泉州市石狮市自然灾害应急能力提升工程基层防灾项目实施工作方案》的复函等相关文件，</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val="zh-CN" w:eastAsia="zh-CN"/>
        </w:rPr>
        <w:t>月1日，项目根据石狮市应急管理局党委会议精神，启动项目招投标工作。</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lang w:val="zh-CN" w:eastAsia="zh-CN"/>
        </w:rPr>
        <w:t>项目按照规定的程序申请和批复，事前经过必要可行性研究、风险评估、集体决策。</w:t>
      </w:r>
    </w:p>
    <w:p w14:paraId="1FD05F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bookmarkStart w:id="146" w:name="_Toc184981058"/>
      <w:r>
        <w:rPr>
          <w:rFonts w:hint="eastAsia" w:ascii="仿宋" w:hAnsi="仿宋" w:eastAsia="仿宋" w:cs="仿宋"/>
          <w:sz w:val="24"/>
          <w:szCs w:val="24"/>
          <w:highlight w:val="none"/>
          <w:lang w:val="en-US" w:eastAsia="zh-CN"/>
        </w:rPr>
        <w:t>2.主要内容及实施情况</w:t>
      </w:r>
      <w:bookmarkEnd w:id="146"/>
    </w:p>
    <w:p w14:paraId="63F142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本项目建设内容为：为1支市级综合应急救援队伍、9支镇级综合应急救援队伍配备森林草原火灾扑救、水域救援、综合保障类装备共计271台（套），各街道、乡镇装备（含二次采购）分配情况如表1、表2所示。</w:t>
      </w:r>
    </w:p>
    <w:p w14:paraId="642803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p>
    <w:p w14:paraId="5E3D6BE7">
      <w:pPr>
        <w:pStyle w:val="6"/>
        <w:numPr>
          <w:ilvl w:val="0"/>
          <w:numId w:val="0"/>
        </w:numPr>
        <w:tabs>
          <w:tab w:val="clear" w:pos="2040"/>
        </w:tabs>
        <w:ind w:left="0" w:leftChars="0"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表1  自然灾害应急能力提升工程基层防灾项目物资分配表</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1347"/>
        <w:gridCol w:w="436"/>
        <w:gridCol w:w="436"/>
        <w:gridCol w:w="436"/>
        <w:gridCol w:w="436"/>
        <w:gridCol w:w="436"/>
        <w:gridCol w:w="436"/>
        <w:gridCol w:w="436"/>
        <w:gridCol w:w="436"/>
        <w:gridCol w:w="489"/>
        <w:gridCol w:w="688"/>
        <w:gridCol w:w="706"/>
        <w:gridCol w:w="746"/>
        <w:gridCol w:w="886"/>
      </w:tblGrid>
      <w:tr w14:paraId="5CE2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91C5">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p>
          <w:p w14:paraId="028ACC1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序号</w:t>
            </w:r>
          </w:p>
          <w:p w14:paraId="1305855C">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1072">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装备名称</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1498A">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凤里街道</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3CC88">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湖滨街道</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0A853">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灵秀镇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8D297">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宝盖镇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938E0">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蚶江镇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1B36D">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永宁镇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E178">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祥芝镇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234B2">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鸿山镇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CE14B">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锦尚镇</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77135">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市园林环卫中心</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E45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市消防救援大队</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10974">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市应急局</w:t>
            </w: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DD684">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总计（台、套）</w:t>
            </w:r>
          </w:p>
        </w:tc>
      </w:tr>
      <w:tr w14:paraId="634B5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BFC4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324C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隔离带开辟机器人</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1D8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7900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B4B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988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42B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1CD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EE3A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BB05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6DD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5CBA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7D9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3197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748B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15ADB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960C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BFF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救援无人机（灭火无人机）</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5DF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D9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485B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B9FB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6A2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F5A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ECB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CD94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58D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1A80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A9BD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D07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79FB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r>
      <w:tr w14:paraId="45824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4076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1839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高扬程水泵</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5322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32E3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67F2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69A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2CB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1B60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A5A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61F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C1F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036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E2CF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16F4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7434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w:t>
            </w:r>
          </w:p>
        </w:tc>
      </w:tr>
      <w:tr w14:paraId="276AF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AC1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8C1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汽（柴）油机泵</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90D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E3E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7A3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CA2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3536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FB39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53C2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7292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924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6C8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3C37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B00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721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3A1A2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0A77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0751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应急照明系统</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E17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B4EC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296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33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1A33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BB2A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4C4D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791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7D1D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2B8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11E0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5181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0587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22</w:t>
            </w:r>
          </w:p>
        </w:tc>
      </w:tr>
      <w:tr w14:paraId="34239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8395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FDDF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高压接力消防水泵</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86AD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0FB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EB2A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475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687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729C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4689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C9C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2F09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FF55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EB44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7AB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F33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24</w:t>
            </w:r>
          </w:p>
        </w:tc>
      </w:tr>
      <w:tr w14:paraId="5CE20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CC36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F63D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绳索救援套装</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DC77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2BB2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EF67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8CB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237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E306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6FA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E0FC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D72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193C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0513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9BA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9D86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11</w:t>
            </w:r>
          </w:p>
        </w:tc>
      </w:tr>
      <w:tr w14:paraId="435A6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624F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8</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287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个人护具</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247C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7D75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4E1F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3997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6E6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BF7B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F9DB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65E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780B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AE1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A47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978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8EE3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42</w:t>
            </w:r>
          </w:p>
        </w:tc>
      </w:tr>
      <w:tr w14:paraId="611A5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1548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9</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DA0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救生拉杆</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6630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42ED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AF2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14B1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76C8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BE0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9AE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F16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6FE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4F2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F7F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A03D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4C6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r>
      <w:tr w14:paraId="7D076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3A0E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10</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61D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风力灭火机</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BF66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BF21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DC5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AA5B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712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863F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899E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96EA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AB1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0CBC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5A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4CDF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ED6B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26</w:t>
            </w:r>
          </w:p>
        </w:tc>
      </w:tr>
      <w:tr w14:paraId="3CD26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59F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11</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2E84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油锯</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F0A9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E84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BE2E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C6D1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24D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8820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D18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98F6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4B4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B4C6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3E7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82D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E27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30</w:t>
            </w:r>
          </w:p>
        </w:tc>
      </w:tr>
      <w:tr w14:paraId="55D01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C062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12</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803D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应急电源</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C59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84FB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4937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65E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5EF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212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BBBB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C4DD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EBD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BFE5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D405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209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4CF3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26</w:t>
            </w:r>
          </w:p>
        </w:tc>
      </w:tr>
      <w:tr w14:paraId="1274E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FC51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13</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0FE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移动蓄水池</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A0F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E46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5893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88F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EB80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2B51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B039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5AF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CD6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A548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E61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F9E3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EFE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46</w:t>
            </w:r>
          </w:p>
        </w:tc>
      </w:tr>
      <w:tr w14:paraId="378D8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7170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14</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DF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割灌机</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BAA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790B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C409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F03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0BB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C9D6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1DE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7821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9A0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1E58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AE2F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5535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910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26</w:t>
            </w:r>
          </w:p>
        </w:tc>
      </w:tr>
      <w:tr w14:paraId="4DF31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061" w:type="pct"/>
            <w:gridSpan w:val="2"/>
            <w:tcBorders>
              <w:top w:val="single" w:color="000000" w:sz="4" w:space="0"/>
              <w:left w:val="single" w:color="000000" w:sz="4" w:space="0"/>
              <w:bottom w:val="single" w:color="000000" w:sz="4" w:space="0"/>
              <w:right w:val="nil"/>
            </w:tcBorders>
            <w:shd w:val="clear" w:color="auto" w:fill="auto"/>
            <w:noWrap/>
            <w:vAlign w:val="center"/>
          </w:tcPr>
          <w:p w14:paraId="22CFA65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合计</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1CA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794E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087D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28</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130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27</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13B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28</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2E59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C51D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26</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648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27</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099D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26</w:t>
            </w: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29AE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37</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4DD6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3178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1EF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269</w:t>
            </w:r>
          </w:p>
        </w:tc>
      </w:tr>
    </w:tbl>
    <w:p w14:paraId="31867F4E">
      <w:pPr>
        <w:pStyle w:val="6"/>
        <w:numPr>
          <w:ilvl w:val="0"/>
          <w:numId w:val="0"/>
        </w:numPr>
        <w:tabs>
          <w:tab w:val="clear" w:pos="2040"/>
        </w:tabs>
        <w:ind w:left="0" w:leftChars="0" w:firstLine="0" w:firstLineChars="0"/>
        <w:jc w:val="both"/>
        <w:rPr>
          <w:rFonts w:hint="eastAsia" w:ascii="仿宋" w:hAnsi="仿宋" w:eastAsia="仿宋" w:cs="仿宋"/>
          <w:b/>
          <w:bCs/>
          <w:kern w:val="2"/>
          <w:sz w:val="24"/>
          <w:szCs w:val="24"/>
          <w:highlight w:val="none"/>
          <w:lang w:val="en-US" w:eastAsia="zh-CN" w:bidi="ar-SA"/>
        </w:rPr>
      </w:pPr>
    </w:p>
    <w:p w14:paraId="4806519B">
      <w:pPr>
        <w:pStyle w:val="6"/>
        <w:numPr>
          <w:ilvl w:val="0"/>
          <w:numId w:val="0"/>
        </w:numPr>
        <w:tabs>
          <w:tab w:val="clear" w:pos="2040"/>
        </w:tabs>
        <w:ind w:left="0" w:leftChars="0"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表2  二次国债基层防灾项目采购装备分配表</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9"/>
        <w:gridCol w:w="1222"/>
        <w:gridCol w:w="535"/>
        <w:gridCol w:w="535"/>
        <w:gridCol w:w="535"/>
        <w:gridCol w:w="535"/>
        <w:gridCol w:w="535"/>
        <w:gridCol w:w="535"/>
        <w:gridCol w:w="535"/>
        <w:gridCol w:w="535"/>
        <w:gridCol w:w="535"/>
        <w:gridCol w:w="536"/>
        <w:gridCol w:w="536"/>
        <w:gridCol w:w="536"/>
        <w:gridCol w:w="536"/>
      </w:tblGrid>
      <w:tr w14:paraId="208BB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0" w:hRule="atLeast"/>
          <w:jc w:val="center"/>
        </w:trPr>
        <w:tc>
          <w:tcPr>
            <w:tcW w:w="526" w:type="dxa"/>
            <w:tcBorders>
              <w:top w:val="single" w:color="000000" w:sz="4" w:space="0"/>
              <w:left w:val="single" w:color="000000" w:sz="4" w:space="0"/>
              <w:bottom w:val="single" w:color="000000" w:sz="4" w:space="0"/>
              <w:right w:val="nil"/>
            </w:tcBorders>
            <w:shd w:val="clear" w:color="auto" w:fill="auto"/>
            <w:noWrap/>
            <w:vAlign w:val="center"/>
          </w:tcPr>
          <w:p w14:paraId="60C3844C">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p>
          <w:p w14:paraId="69E9C669">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序号</w:t>
            </w:r>
          </w:p>
          <w:p w14:paraId="314B929E">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p>
        </w:tc>
        <w:tc>
          <w:tcPr>
            <w:tcW w:w="906" w:type="dxa"/>
            <w:tcBorders>
              <w:top w:val="single" w:color="000000" w:sz="4" w:space="0"/>
              <w:left w:val="single" w:color="000000" w:sz="4" w:space="0"/>
              <w:bottom w:val="single" w:color="000000" w:sz="4" w:space="0"/>
              <w:right w:val="nil"/>
            </w:tcBorders>
            <w:shd w:val="clear" w:color="auto" w:fill="auto"/>
            <w:noWrap/>
            <w:vAlign w:val="center"/>
          </w:tcPr>
          <w:p w14:paraId="21C2364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装备名称</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5AB98">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湖滨街道</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92805">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灵秀镇</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87CE8">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宝盖镇</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084C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蚶江镇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DEE70">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永宁镇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0706">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祥芝镇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4DD4">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鸿山镇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CB0B">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锦尚镇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41E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园林环卫中心</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A636">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应急局</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0A8FE">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祥芝渔港义务救援协会</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0AF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消防救援大队</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A84B1">
            <w:pPr>
              <w:pStyle w:val="6"/>
              <w:numPr>
                <w:ilvl w:val="0"/>
                <w:numId w:val="0"/>
              </w:numPr>
              <w:tabs>
                <w:tab w:val="clear" w:pos="2040"/>
              </w:tabs>
              <w:jc w:val="center"/>
              <w:rPr>
                <w:rFonts w:hint="eastAsia" w:ascii="仿宋" w:hAnsi="仿宋" w:eastAsia="仿宋" w:cs="仿宋"/>
                <w:b/>
                <w:bCs/>
                <w:kern w:val="2"/>
                <w:sz w:val="21"/>
                <w:szCs w:val="21"/>
                <w:highlight w:val="none"/>
                <w:vertAlign w:val="baseline"/>
                <w:lang w:val="en-US" w:eastAsia="zh-CN" w:bidi="ar-SA"/>
              </w:rPr>
            </w:pPr>
            <w:r>
              <w:rPr>
                <w:rFonts w:hint="eastAsia" w:ascii="仿宋" w:hAnsi="仿宋" w:eastAsia="仿宋" w:cs="仿宋"/>
                <w:b/>
                <w:bCs/>
                <w:kern w:val="2"/>
                <w:sz w:val="21"/>
                <w:szCs w:val="21"/>
                <w:highlight w:val="none"/>
                <w:vertAlign w:val="baseline"/>
                <w:lang w:val="en-US" w:eastAsia="zh-CN" w:bidi="ar-SA"/>
              </w:rPr>
              <w:t>合计（台、套）</w:t>
            </w:r>
          </w:p>
        </w:tc>
      </w:tr>
      <w:tr w14:paraId="71ADC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92F3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9C0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便携式气象仪</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D58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877F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2CB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50D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E917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9BAA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EEBE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FF1A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65F5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B962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177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89DE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58B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450C8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5D8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159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水深探测仪</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0C1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9B7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FE8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14C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85FE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40E5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5E1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2A0D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9F7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37F1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BF55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D3DF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C8D8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591E4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E4F3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704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红外热成像仪</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11C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A60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09E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6B8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F66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51B0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22CB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12C7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AEFF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221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832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030C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752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3063C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7CB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966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通信指挥设备（北斗终端）</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95E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B2C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05E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0EF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A4A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822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8C5C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6030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D833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DB1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A89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2DE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325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r>
      <w:tr w14:paraId="3BD99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823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1FB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通信指挥设备（数字集群手持终端）</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6CA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67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CDA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87DA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7EC8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EC23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E85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F85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E4A6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042F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5D65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A39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F2B9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r>
      <w:tr w14:paraId="3A163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F277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B63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通信指挥设备（单兵图传）</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2EE1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8C2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EB8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51E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C97E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34B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292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F6F3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DCA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7E2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C0C3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276F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843D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r>
      <w:tr w14:paraId="4F232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F1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EEA4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软体水枪</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348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94E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475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BCE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6A4D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818D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EC8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142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DC3F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E5B8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5ED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FD1D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F28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50</w:t>
            </w:r>
          </w:p>
        </w:tc>
      </w:tr>
      <w:tr w14:paraId="14CD1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D973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8</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56E9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浮艇泵</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A83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9AA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5F4D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48EA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C34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753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F77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CF36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38D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AD84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CF5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48B4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3CE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9</w:t>
            </w:r>
          </w:p>
        </w:tc>
      </w:tr>
      <w:tr w14:paraId="3B7BF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05F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9</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7BA0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救生抛投器</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0710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BB5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C3D3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05C1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40D2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3773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923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2D60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6F9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202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B51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D9A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BCD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r>
      <w:tr w14:paraId="2BF02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6BEF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E462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救援舟艇组合（摩托艇）</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C4B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E0F5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0DC7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5E45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7317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B930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AC5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E8B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A25A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947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DD75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FCE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9E1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r>
      <w:tr w14:paraId="6EC80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7843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11</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0BE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水域救援套装</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3902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E387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139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F69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D5E3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E697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E5C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FB5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8D0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659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1D3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988F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8CD0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r>
      <w:tr w14:paraId="7247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B239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12</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DB0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正压空气呼吸器</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ACC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D348A">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0F09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E4B6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2EAE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E5657">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094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589C2">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BC6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B80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BE6D">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7D94">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FDDC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6607B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786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13</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A79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有毒有害气体检测仪</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BD11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60673">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77AD8">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9F11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CD475">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CA1F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D9686">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E85F">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E3601">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154DB">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146E">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A87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1E90">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r>
      <w:tr w14:paraId="2BA4E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397"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358BC">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总计</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A4A49">
            <w:pPr>
              <w:pStyle w:val="6"/>
              <w:numPr>
                <w:ilvl w:val="0"/>
                <w:numId w:val="0"/>
              </w:numPr>
              <w:tabs>
                <w:tab w:val="clear" w:pos="2040"/>
              </w:tabs>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78</w:t>
            </w:r>
          </w:p>
        </w:tc>
      </w:tr>
    </w:tbl>
    <w:p w14:paraId="629CBB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p>
    <w:p w14:paraId="5897D3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截至2025年3月，应急救援装备均已采购到位并经专家验收通过，部分常用装备（如</w:t>
      </w:r>
      <w:r>
        <w:rPr>
          <w:rFonts w:hint="eastAsia" w:ascii="仿宋" w:hAnsi="仿宋" w:eastAsia="仿宋" w:cs="仿宋"/>
          <w:kern w:val="2"/>
          <w:sz w:val="24"/>
          <w:szCs w:val="24"/>
          <w:highlight w:val="none"/>
          <w:vertAlign w:val="baseline"/>
          <w:lang w:val="en-US" w:eastAsia="zh-CN" w:bidi="ar-SA"/>
        </w:rPr>
        <w:t>个人护具等</w:t>
      </w:r>
      <w:r>
        <w:rPr>
          <w:rFonts w:hint="eastAsia" w:ascii="仿宋" w:hAnsi="仿宋" w:eastAsia="仿宋" w:cs="仿宋"/>
          <w:sz w:val="24"/>
          <w:szCs w:val="24"/>
          <w:highlight w:val="none"/>
          <w:lang w:val="en-US" w:eastAsia="zh-CN"/>
        </w:rPr>
        <w:t>）已发放至街道（乡镇）应急救援队队员。</w:t>
      </w:r>
    </w:p>
    <w:p w14:paraId="49A5C8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bookmarkStart w:id="147" w:name="_Toc184981059"/>
      <w:r>
        <w:rPr>
          <w:rFonts w:hint="eastAsia" w:ascii="仿宋" w:hAnsi="仿宋" w:eastAsia="仿宋" w:cs="仿宋"/>
          <w:sz w:val="24"/>
          <w:szCs w:val="24"/>
          <w:highlight w:val="none"/>
          <w:lang w:val="en-US" w:eastAsia="zh-CN"/>
        </w:rPr>
        <w:t>3.资金投入和使用情况</w:t>
      </w:r>
      <w:bookmarkEnd w:id="147"/>
    </w:p>
    <w:p w14:paraId="779509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项目总投资金额为1003.568万元，国债资金及县级财政配套资金按7：3比例支出，其中国债资金702.277万元，石狮市财政资金301.291万元。 截至</w:t>
      </w:r>
      <w:r>
        <w:rPr>
          <w:rFonts w:hint="eastAsia" w:ascii="仿宋" w:hAnsi="仿宋" w:eastAsia="仿宋" w:cs="仿宋"/>
          <w:sz w:val="24"/>
          <w:highlight w:val="none"/>
          <w:lang w:val="en-US" w:eastAsia="zh-CN"/>
        </w:rPr>
        <w:t>评价时点</w:t>
      </w:r>
      <w:r>
        <w:rPr>
          <w:rFonts w:hint="eastAsia" w:ascii="仿宋" w:hAnsi="仿宋" w:eastAsia="仿宋" w:cs="仿宋"/>
          <w:sz w:val="24"/>
          <w:szCs w:val="24"/>
          <w:highlight w:val="none"/>
          <w:lang w:val="en-US" w:eastAsia="zh-CN"/>
        </w:rPr>
        <w:t>，资金已支付使用747.2998万元，预警指挥项目预算资金剩余252.9759万元尚未支付。</w:t>
      </w:r>
    </w:p>
    <w:p w14:paraId="32B70D2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48" w:name="_Toc588"/>
      <w:bookmarkStart w:id="149" w:name="_Toc184981298"/>
      <w:bookmarkStart w:id="150" w:name="_Toc184981060"/>
      <w:bookmarkStart w:id="151" w:name="_Toc15256"/>
      <w:bookmarkStart w:id="152" w:name="_Toc1739"/>
      <w:r>
        <w:rPr>
          <w:rFonts w:hint="eastAsia" w:ascii="仿宋" w:hAnsi="仿宋" w:eastAsia="仿宋" w:cs="仿宋"/>
          <w:b/>
          <w:bCs/>
          <w:sz w:val="24"/>
          <w:szCs w:val="24"/>
          <w:highlight w:val="none"/>
        </w:rPr>
        <w:t>（二）项目绩效目标</w:t>
      </w:r>
      <w:bookmarkEnd w:id="148"/>
      <w:bookmarkEnd w:id="149"/>
      <w:bookmarkEnd w:id="150"/>
      <w:bookmarkEnd w:id="151"/>
      <w:bookmarkEnd w:id="152"/>
    </w:p>
    <w:p w14:paraId="5EEC8F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该项目的目标是通过为市、镇两级应急救援队伍补充多种类应急救援装备器材，强化装备水平，将部分装备前置到镇（街道）、村居（社区），提升基层应急力量快速响应、综合风险监测预警、指挥调度及数据汇聚服务等应急能力，进一步增强基层协调联动能力。</w:t>
      </w:r>
    </w:p>
    <w:p w14:paraId="612E4C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p>
    <w:p w14:paraId="09B013B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highlight w:val="none"/>
        </w:rPr>
      </w:pPr>
      <w:bookmarkStart w:id="153" w:name="_Toc184981299"/>
      <w:bookmarkStart w:id="154" w:name="_Toc2188"/>
      <w:bookmarkStart w:id="155" w:name="_Toc184981061"/>
      <w:bookmarkStart w:id="156" w:name="_Toc2501"/>
      <w:bookmarkStart w:id="157" w:name="_Toc28086"/>
      <w:r>
        <w:rPr>
          <w:rFonts w:hint="eastAsia" w:ascii="仿宋" w:hAnsi="仿宋" w:eastAsia="仿宋" w:cs="仿宋"/>
          <w:b/>
          <w:bCs/>
          <w:sz w:val="28"/>
          <w:szCs w:val="28"/>
          <w:highlight w:val="none"/>
        </w:rPr>
        <w:t>二、绩效评价工作开展情况</w:t>
      </w:r>
      <w:bookmarkEnd w:id="153"/>
      <w:bookmarkEnd w:id="154"/>
      <w:bookmarkEnd w:id="155"/>
      <w:bookmarkEnd w:id="156"/>
      <w:bookmarkEnd w:id="157"/>
    </w:p>
    <w:p w14:paraId="695B629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58" w:name="_Toc27429"/>
      <w:bookmarkStart w:id="159" w:name="_Toc184981062"/>
      <w:bookmarkStart w:id="160" w:name="_Toc20322"/>
      <w:bookmarkStart w:id="161" w:name="_Toc184981300"/>
      <w:bookmarkStart w:id="162" w:name="_Toc13815"/>
      <w:r>
        <w:rPr>
          <w:rFonts w:hint="eastAsia" w:ascii="仿宋" w:hAnsi="仿宋" w:eastAsia="仿宋" w:cs="仿宋"/>
          <w:b/>
          <w:bCs/>
          <w:sz w:val="24"/>
          <w:szCs w:val="24"/>
          <w:highlight w:val="none"/>
        </w:rPr>
        <w:t>（一）绩效评价目的、对象和范围</w:t>
      </w:r>
      <w:bookmarkEnd w:id="158"/>
      <w:bookmarkEnd w:id="159"/>
      <w:bookmarkEnd w:id="160"/>
      <w:bookmarkEnd w:id="161"/>
      <w:bookmarkEnd w:id="162"/>
    </w:p>
    <w:p w14:paraId="58E9F5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1.绩效评价目的</w:t>
      </w:r>
    </w:p>
    <w:p w14:paraId="220278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为全面评估本项目在实施过程中的成效，总结经验教训，优化后续应急管理体系建设，提升政府公共服务能力，特开展本次绩效评价。</w:t>
      </w:r>
    </w:p>
    <w:p w14:paraId="6D5AFF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2.绩效评价的对象和范围</w:t>
      </w:r>
    </w:p>
    <w:p w14:paraId="5AF05E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绩效评价对象为石狮市2024年自然灾害应急能力提升工程基层防灾与预警指挥项目经费；评价范围是项目决策：包括立项程序、绩效目标设定和资金投入情况；项目过程：包括资金管理、组织实施情况、</w:t>
      </w:r>
      <w:r>
        <w:rPr>
          <w:rFonts w:hint="eastAsia" w:ascii="仿宋" w:hAnsi="仿宋" w:eastAsia="仿宋" w:cs="仿宋"/>
          <w:sz w:val="24"/>
          <w:szCs w:val="24"/>
          <w:highlight w:val="none"/>
          <w:lang w:val="en-US" w:eastAsia="zh-CN"/>
        </w:rPr>
        <w:t>招投标规范性</w:t>
      </w:r>
      <w:r>
        <w:rPr>
          <w:rFonts w:hint="eastAsia" w:ascii="仿宋" w:hAnsi="仿宋" w:eastAsia="仿宋" w:cs="仿宋"/>
          <w:sz w:val="24"/>
          <w:szCs w:val="24"/>
          <w:highlight w:val="none"/>
          <w:lang w:val="zh-CN" w:eastAsia="zh-CN"/>
        </w:rPr>
        <w:t>；项目产出：包括产出数量、质量、时效、成本；项目效益：包括带来的社会效益、可持续影响和满意度。</w:t>
      </w:r>
    </w:p>
    <w:p w14:paraId="005BAED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63" w:name="_Toc184981301"/>
      <w:bookmarkStart w:id="164" w:name="_Toc184981063"/>
      <w:bookmarkStart w:id="165" w:name="_Toc23523"/>
      <w:bookmarkStart w:id="166" w:name="_Toc2834"/>
      <w:bookmarkStart w:id="167" w:name="_Toc22644"/>
      <w:r>
        <w:rPr>
          <w:rFonts w:hint="eastAsia" w:ascii="仿宋" w:hAnsi="仿宋" w:eastAsia="仿宋" w:cs="仿宋"/>
          <w:b/>
          <w:bCs/>
          <w:sz w:val="24"/>
          <w:szCs w:val="24"/>
          <w:highlight w:val="none"/>
        </w:rPr>
        <w:t>（二）绩效评价原则、评价指标体系、评价方法、评价标准</w:t>
      </w:r>
      <w:bookmarkEnd w:id="163"/>
      <w:bookmarkEnd w:id="164"/>
      <w:bookmarkEnd w:id="165"/>
      <w:bookmarkEnd w:id="166"/>
      <w:bookmarkEnd w:id="167"/>
    </w:p>
    <w:p w14:paraId="48341F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1.绩效评价原则</w:t>
      </w:r>
    </w:p>
    <w:p w14:paraId="523222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石狮市自然灾害应急能力提升工程财政支出绩效评价应根据设定的绩效目标，运用科学、合理的绩效评价指标、评价标准和评价方法，按照财政支出绩效考评4E原则，对项目经费的经济性、效率性、效果性和公平性进行客观、公正的评价。根据《项目支出绩效评价管理办法》（财预〔2020〕10号），绩效评价指标的确定应当遵循以下基本原则：</w:t>
      </w:r>
    </w:p>
    <w:p w14:paraId="672B98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（1）相关性原则。确定的绩效评价指标应当与绩效目标有直接的联系，能够恰当反映目标的实现程度。</w:t>
      </w:r>
    </w:p>
    <w:p w14:paraId="5C19B3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（2）重要性原则。应当优先使用最具评价对象代表性、最能反映评价要求的核心指标。</w:t>
      </w:r>
    </w:p>
    <w:p w14:paraId="4FD65E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（3）可比性原则。对同类评价对象要设定共性的绩效评价指标，以便于评价结果可以相互比较。</w:t>
      </w:r>
    </w:p>
    <w:p w14:paraId="1E6BF5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（4）系统性原则。应当将定量指标与定性指标相结合，系统反映财政支出所产生的社会效益、经济效益、生态效益和可持续影响等。</w:t>
      </w:r>
    </w:p>
    <w:p w14:paraId="1D8F91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（5）经济性原则。绩效评价指标应当通俗易懂、简便易行，数据的获得应当考虑现实条件和可操作性，符合成本效益原则。</w:t>
      </w:r>
    </w:p>
    <w:p w14:paraId="03CAE2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2.评价指标体系</w:t>
      </w:r>
    </w:p>
    <w:p w14:paraId="21F84C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工作组根据财政部《项目支出绩效评价管理办法》（财预〔2020〕10号）文件的要求，依据上述原则，根据项目立项文件，围绕决策、过程、产出和效益四个方面设计绩效评价指标以及评分标准和分值。指标体系共设置4个一级指标、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个二级指标、2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个三级指标。指标体系设定满分100分，其中：“决策”</w:t>
      </w:r>
      <w:r>
        <w:rPr>
          <w:rFonts w:hint="eastAsia" w:ascii="仿宋" w:hAnsi="仿宋" w:eastAsia="仿宋" w:cs="仿宋"/>
          <w:sz w:val="24"/>
          <w:szCs w:val="24"/>
          <w:highlight w:val="none"/>
          <w:lang w:val="en-US" w:eastAsia="zh-CN"/>
        </w:rPr>
        <w:t>16</w:t>
      </w:r>
      <w:r>
        <w:rPr>
          <w:rFonts w:hint="eastAsia" w:ascii="仿宋" w:hAnsi="仿宋" w:eastAsia="仿宋" w:cs="仿宋"/>
          <w:sz w:val="24"/>
          <w:szCs w:val="24"/>
          <w:highlight w:val="none"/>
          <w:lang w:val="zh-CN" w:eastAsia="zh-CN"/>
        </w:rPr>
        <w:t>分，主要体现项目立项、绩效目标和资金投入情况；“过程”1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val="zh-CN" w:eastAsia="zh-CN"/>
        </w:rPr>
        <w:t>分，主要体现项目的资金管理、组织实施、招投标规范性方面的情况；“产出”3</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分，主要体现项目产出数量、产出质量、产出时效和产出成本；“效益”3</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分，主要体现项目社会效益、可持续影响和应急队伍满意度等。基于第三方独立评价的特点和要求，指标设置和评分标准力求可行性、客观性、科学性与简明性。指标体系和评分标准详见附表。</w:t>
      </w:r>
    </w:p>
    <w:p w14:paraId="5F0DAA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3.绩效评价方法的选用</w:t>
      </w:r>
    </w:p>
    <w:p w14:paraId="4FA6D8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根据财政部《项目支出绩效评价管理办法》（财预〔2020〕10号）规定的绩效评价方法，石狮市自然灾害应急能力提升工程财政支出绩效评价主要采用成本效益分析法、比较法、定性分析法等。</w:t>
      </w:r>
    </w:p>
    <w:p w14:paraId="1A571B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成本效益分析法。指将投入与产出、效益进行关联性分析的方法。工作组将通过对项目资金的预算执行情况、项目管理、审计等相关资料进行比较分析，对资金投入与产出、效益进行关联性分析，进而评价资金绩效目标的实现程度。</w:t>
      </w:r>
    </w:p>
    <w:p w14:paraId="59C726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（2）比较法。指通过实际支出、实施效果等与绩效目标的比较，对比</w:t>
      </w:r>
      <w:r>
        <w:rPr>
          <w:rFonts w:hint="eastAsia" w:ascii="仿宋" w:hAnsi="仿宋" w:eastAsia="仿宋" w:cs="仿宋"/>
          <w:sz w:val="24"/>
          <w:szCs w:val="24"/>
          <w:highlight w:val="none"/>
          <w:lang w:val="en-US" w:eastAsia="zh-CN"/>
        </w:rPr>
        <w:t>装</w:t>
      </w:r>
      <w:r>
        <w:rPr>
          <w:rFonts w:hint="eastAsia" w:ascii="仿宋" w:hAnsi="仿宋" w:eastAsia="仿宋" w:cs="仿宋"/>
          <w:sz w:val="24"/>
          <w:szCs w:val="24"/>
          <w:highlight w:val="none"/>
          <w:lang w:val="zh-CN" w:eastAsia="zh-CN"/>
        </w:rPr>
        <w:t>备投入使用前后的防灾效率，综合分析绩效目标实现程度。</w:t>
      </w:r>
    </w:p>
    <w:p w14:paraId="25DBEE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（3）定性分析法。通过现场调研、访谈、问卷调查等方式获取定性信息。</w:t>
      </w:r>
    </w:p>
    <w:p w14:paraId="3D5FFC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4.评价标准</w:t>
      </w:r>
    </w:p>
    <w:p w14:paraId="2F1117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专项资金绩效评价标准是衡量专项资金绩效目标完成程度的尺度。依据财政部制定的《项目支出绩效评价管理办法》（财预〔2020〕10号）、福建省财政厅制定的《福建省财政支出绩效评价管理办法》（闽财绩〔2015〕4号）文件精神，绩效评价标准有以下4种：</w:t>
      </w:r>
    </w:p>
    <w:p w14:paraId="5737E1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（1）计划标准。是指以预先制定的目标、计划、预算、定额等数据作为评价的标准。</w:t>
      </w:r>
    </w:p>
    <w:p w14:paraId="574E6F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（2）行业标准。是指参照国家公布的行业指标数据制定的评价标准。</w:t>
      </w:r>
    </w:p>
    <w:p w14:paraId="6BE2C8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（3）历史标准。是指参照同类指标的历史数据制定的评价标准。</w:t>
      </w:r>
    </w:p>
    <w:p w14:paraId="07ED6C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（4）其他经财政部门确认的标准。</w:t>
      </w:r>
    </w:p>
    <w:p w14:paraId="5009BE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工作组根据石狮市自然灾害应急能力提升工程项目实施的实际情况，主要是参照计划标准和行业标准，对于事先已制定了相应目标、计划、预算的指标，采用计划标准进行评价，将实际情况与计划情况相比较。</w:t>
      </w:r>
    </w:p>
    <w:p w14:paraId="36ACAE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lang w:val="zh-CN" w:eastAsia="zh-CN"/>
        </w:rPr>
      </w:pPr>
      <w:bookmarkStart w:id="168" w:name="_Toc21386"/>
      <w:bookmarkStart w:id="169" w:name="_Toc184981064"/>
      <w:bookmarkStart w:id="170" w:name="_Toc184981302"/>
      <w:r>
        <w:rPr>
          <w:rFonts w:hint="eastAsia" w:ascii="仿宋" w:hAnsi="仿宋" w:eastAsia="仿宋" w:cs="仿宋"/>
          <w:b/>
          <w:bCs/>
          <w:sz w:val="24"/>
          <w:szCs w:val="24"/>
          <w:highlight w:val="none"/>
          <w:lang w:val="zh-CN" w:eastAsia="zh-CN"/>
        </w:rPr>
        <w:t>（三）绩效评价工作过程</w:t>
      </w:r>
      <w:bookmarkEnd w:id="168"/>
      <w:bookmarkEnd w:id="169"/>
      <w:bookmarkEnd w:id="170"/>
    </w:p>
    <w:p w14:paraId="46AAC3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根据《项目支出绩效评价管理办法》（财预〔2020〕10号）要求，为开展石狮市自然灾害应急能力提升工程</w:t>
      </w:r>
      <w:r>
        <w:rPr>
          <w:rFonts w:hint="eastAsia" w:ascii="仿宋" w:hAnsi="仿宋" w:eastAsia="仿宋" w:cs="仿宋"/>
          <w:sz w:val="24"/>
          <w:szCs w:val="24"/>
          <w:highlight w:val="none"/>
          <w:lang w:val="en-US" w:eastAsia="zh-CN"/>
        </w:rPr>
        <w:t>项目</w:t>
      </w:r>
      <w:r>
        <w:rPr>
          <w:rFonts w:hint="eastAsia" w:ascii="仿宋" w:hAnsi="仿宋" w:eastAsia="仿宋" w:cs="仿宋"/>
          <w:sz w:val="24"/>
          <w:szCs w:val="24"/>
          <w:highlight w:val="none"/>
          <w:lang w:val="zh-CN" w:eastAsia="zh-CN"/>
        </w:rPr>
        <w:t>经费绩效评价，成立专项评价工作组，制定工作实施方案。</w:t>
      </w:r>
    </w:p>
    <w:p w14:paraId="19D58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第一阶段，评价工作组通过对项目资料进行初步收集整理，形成调研及初步拟定绩效评价指标的思路。</w:t>
      </w:r>
    </w:p>
    <w:p w14:paraId="2A0401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第二阶段，工作组开展实地调研，与相关工作人员进行座谈，查阅相关的档案、资料，深入了解项目建设及资金使用情况等。工作组拟定项目绩效评价指标体系，与石狮市财政局相关科室商讨指标体系，根据反馈意见，修订绩效评价指标体系；根据评价需要补充新的数据资料。</w:t>
      </w:r>
    </w:p>
    <w:p w14:paraId="4F937C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第三阶段，</w:t>
      </w:r>
      <w:r>
        <w:rPr>
          <w:rFonts w:hint="eastAsia" w:ascii="仿宋" w:hAnsi="仿宋" w:eastAsia="仿宋" w:cs="仿宋"/>
          <w:sz w:val="24"/>
          <w:szCs w:val="24"/>
          <w:highlight w:val="none"/>
          <w:lang w:val="en-US" w:eastAsia="zh-CN"/>
        </w:rPr>
        <w:t>工作组全面分析所收集的资料，根据已确定的指标体系，从石狮市自然灾害应急能力提升工程基层防灾与预警指挥项目决策、过程、产出、效益等方面进行全面分析，形成绩效评价报告初稿；征询相关部门、单位的意见，及时根据反馈意见进行修改并完成评价报告终稿。</w:t>
      </w:r>
    </w:p>
    <w:p w14:paraId="043E73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p>
    <w:p w14:paraId="57C3E3C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highlight w:val="none"/>
          <w:lang w:val="zh-CN" w:eastAsia="zh-CN"/>
        </w:rPr>
      </w:pPr>
      <w:bookmarkStart w:id="171" w:name="_Toc184981303"/>
      <w:bookmarkStart w:id="172" w:name="_Toc184981065"/>
      <w:bookmarkStart w:id="173" w:name="_Toc11043"/>
      <w:bookmarkStart w:id="174" w:name="_Toc5250"/>
      <w:bookmarkStart w:id="175" w:name="_Toc7065"/>
      <w:r>
        <w:rPr>
          <w:rFonts w:hint="eastAsia" w:ascii="仿宋" w:hAnsi="仿宋" w:eastAsia="仿宋" w:cs="仿宋"/>
          <w:b/>
          <w:bCs/>
          <w:sz w:val="28"/>
          <w:szCs w:val="28"/>
          <w:highlight w:val="none"/>
          <w:lang w:val="zh-CN" w:eastAsia="zh-CN"/>
        </w:rPr>
        <w:t>三、综合评价情况及评价结论</w:t>
      </w:r>
      <w:bookmarkEnd w:id="171"/>
      <w:bookmarkEnd w:id="172"/>
      <w:bookmarkEnd w:id="173"/>
      <w:bookmarkEnd w:id="174"/>
      <w:bookmarkEnd w:id="175"/>
    </w:p>
    <w:p w14:paraId="6718ED8D">
      <w:pPr>
        <w:spacing w:line="360" w:lineRule="auto"/>
        <w:ind w:firstLine="480" w:firstLineChars="200"/>
        <w:jc w:val="both"/>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本项目总体实施情况</w:t>
      </w:r>
      <w:r>
        <w:rPr>
          <w:rFonts w:hint="eastAsia" w:ascii="仿宋" w:hAnsi="仿宋" w:eastAsia="仿宋" w:cs="仿宋"/>
          <w:sz w:val="24"/>
          <w:highlight w:val="none"/>
          <w:lang w:val="en-US" w:eastAsia="zh-CN"/>
        </w:rPr>
        <w:t>较</w:t>
      </w:r>
      <w:r>
        <w:rPr>
          <w:rFonts w:hint="eastAsia" w:ascii="仿宋" w:hAnsi="仿宋" w:eastAsia="仿宋" w:cs="仿宋"/>
          <w:sz w:val="24"/>
          <w:highlight w:val="none"/>
          <w:lang w:val="zh-CN" w:eastAsia="zh-CN"/>
        </w:rPr>
        <w:t>好，基本完成了既定的任务，基层应急力量及相应处置能力得到了</w:t>
      </w:r>
      <w:r>
        <w:rPr>
          <w:rFonts w:hint="eastAsia" w:ascii="仿宋" w:hAnsi="仿宋" w:eastAsia="仿宋" w:cs="仿宋"/>
          <w:sz w:val="24"/>
          <w:highlight w:val="none"/>
          <w:lang w:val="en-US" w:eastAsia="zh-CN"/>
        </w:rPr>
        <w:t>一定程度的</w:t>
      </w:r>
      <w:r>
        <w:rPr>
          <w:rFonts w:hint="eastAsia" w:ascii="仿宋" w:hAnsi="仿宋" w:eastAsia="仿宋" w:cs="仿宋"/>
          <w:sz w:val="24"/>
          <w:highlight w:val="none"/>
          <w:lang w:val="zh-CN" w:eastAsia="zh-CN"/>
        </w:rPr>
        <w:t>提升。但在项目推进过程中仍存在一些问题，需进一步优化。经过工作组的审慎和科学评估，该项目</w:t>
      </w:r>
      <w:r>
        <w:rPr>
          <w:rFonts w:hint="eastAsia" w:ascii="仿宋" w:hAnsi="仿宋" w:eastAsia="仿宋" w:cs="仿宋"/>
          <w:sz w:val="24"/>
          <w:highlight w:val="none"/>
          <w:lang w:val="en-US" w:eastAsia="zh-CN"/>
        </w:rPr>
        <w:t>支出</w:t>
      </w:r>
      <w:r>
        <w:rPr>
          <w:rFonts w:hint="eastAsia" w:ascii="仿宋" w:hAnsi="仿宋" w:eastAsia="仿宋" w:cs="仿宋"/>
          <w:sz w:val="24"/>
          <w:highlight w:val="none"/>
          <w:lang w:val="zh-CN" w:eastAsia="zh-CN"/>
        </w:rPr>
        <w:t>绩效总得分</w:t>
      </w:r>
      <w:r>
        <w:rPr>
          <w:rFonts w:hint="eastAsia" w:ascii="仿宋" w:hAnsi="仿宋" w:eastAsia="仿宋" w:cs="仿宋"/>
          <w:sz w:val="24"/>
          <w:highlight w:val="none"/>
          <w:lang w:val="en-US" w:eastAsia="zh-CN"/>
        </w:rPr>
        <w:t>85.37</w:t>
      </w:r>
      <w:r>
        <w:rPr>
          <w:rFonts w:hint="eastAsia" w:ascii="仿宋" w:hAnsi="仿宋" w:eastAsia="仿宋" w:cs="仿宋"/>
          <w:sz w:val="24"/>
          <w:highlight w:val="none"/>
          <w:lang w:val="zh-CN" w:eastAsia="zh-CN"/>
        </w:rPr>
        <w:t>分，评价等级结果为</w:t>
      </w:r>
      <w:r>
        <w:rPr>
          <w:rFonts w:hint="eastAsia" w:ascii="仿宋" w:hAnsi="仿宋" w:eastAsia="仿宋" w:cs="仿宋"/>
          <w:sz w:val="24"/>
          <w:highlight w:val="none"/>
          <w:lang w:val="en-US" w:eastAsia="zh-CN"/>
        </w:rPr>
        <w:t>良好</w:t>
      </w:r>
      <w:r>
        <w:rPr>
          <w:rFonts w:hint="eastAsia" w:ascii="仿宋" w:hAnsi="仿宋" w:eastAsia="仿宋" w:cs="仿宋"/>
          <w:sz w:val="24"/>
          <w:highlight w:val="none"/>
          <w:lang w:val="zh-CN" w:eastAsia="zh-CN"/>
        </w:rPr>
        <w:t>，分指标分析详见第四点“绩效评价指标分析”。</w:t>
      </w:r>
    </w:p>
    <w:p w14:paraId="1BE9FB4D">
      <w:pPr>
        <w:spacing w:line="360" w:lineRule="auto"/>
        <w:ind w:firstLine="480" w:firstLineChars="200"/>
        <w:jc w:val="both"/>
        <w:rPr>
          <w:rFonts w:hint="eastAsia" w:ascii="仿宋" w:hAnsi="仿宋" w:eastAsia="仿宋" w:cs="仿宋"/>
          <w:sz w:val="24"/>
          <w:highlight w:val="none"/>
          <w:lang w:val="zh-CN" w:eastAsia="zh-CN"/>
        </w:rPr>
      </w:pPr>
    </w:p>
    <w:p w14:paraId="296A634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highlight w:val="none"/>
          <w:lang w:val="zh-CN" w:eastAsia="zh-CN"/>
        </w:rPr>
      </w:pPr>
      <w:bookmarkStart w:id="176" w:name="_Toc16626"/>
      <w:bookmarkStart w:id="177" w:name="_Toc184981066"/>
      <w:bookmarkStart w:id="178" w:name="_Toc9137"/>
      <w:bookmarkStart w:id="179" w:name="_Toc184981304"/>
      <w:bookmarkStart w:id="180" w:name="_Toc27969"/>
      <w:r>
        <w:rPr>
          <w:rFonts w:hint="eastAsia" w:ascii="仿宋" w:hAnsi="仿宋" w:eastAsia="仿宋" w:cs="仿宋"/>
          <w:b/>
          <w:bCs/>
          <w:sz w:val="28"/>
          <w:szCs w:val="28"/>
          <w:highlight w:val="none"/>
          <w:lang w:val="zh-CN" w:eastAsia="zh-CN"/>
        </w:rPr>
        <w:t>四、绩效评价指标分析</w:t>
      </w:r>
      <w:bookmarkEnd w:id="176"/>
      <w:bookmarkEnd w:id="177"/>
      <w:bookmarkEnd w:id="178"/>
      <w:bookmarkEnd w:id="179"/>
      <w:bookmarkEnd w:id="180"/>
    </w:p>
    <w:p w14:paraId="7A5A0F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81" w:name="_Toc184981067"/>
      <w:bookmarkStart w:id="182" w:name="_Toc184981305"/>
      <w:bookmarkStart w:id="183" w:name="_Toc31967"/>
      <w:bookmarkStart w:id="184" w:name="_Toc5570"/>
      <w:bookmarkStart w:id="185" w:name="_Toc4369"/>
      <w:r>
        <w:rPr>
          <w:rFonts w:hint="eastAsia" w:ascii="仿宋" w:hAnsi="仿宋" w:eastAsia="仿宋" w:cs="仿宋"/>
          <w:b/>
          <w:bCs/>
          <w:sz w:val="24"/>
          <w:szCs w:val="24"/>
          <w:highlight w:val="none"/>
        </w:rPr>
        <w:t>（一）项目决策情况</w:t>
      </w:r>
      <w:bookmarkEnd w:id="181"/>
      <w:bookmarkEnd w:id="182"/>
      <w:r>
        <w:rPr>
          <w:rFonts w:hint="eastAsia" w:ascii="仿宋" w:hAnsi="仿宋" w:eastAsia="仿宋" w:cs="仿宋"/>
          <w:b/>
          <w:bCs/>
          <w:sz w:val="24"/>
          <w:szCs w:val="24"/>
          <w:highlight w:val="none"/>
        </w:rPr>
        <w:t>（分值1</w:t>
      </w:r>
      <w:r>
        <w:rPr>
          <w:rFonts w:hint="eastAsia" w:ascii="仿宋" w:hAnsi="仿宋" w:eastAsia="仿宋" w:cs="仿宋"/>
          <w:b/>
          <w:bCs/>
          <w:sz w:val="24"/>
          <w:szCs w:val="24"/>
          <w:highlight w:val="none"/>
          <w:lang w:val="en-US" w:eastAsia="zh-CN"/>
        </w:rPr>
        <w:t>6</w:t>
      </w:r>
      <w:r>
        <w:rPr>
          <w:rFonts w:hint="eastAsia" w:ascii="仿宋" w:hAnsi="仿宋" w:eastAsia="仿宋" w:cs="仿宋"/>
          <w:b/>
          <w:bCs/>
          <w:sz w:val="24"/>
          <w:szCs w:val="24"/>
          <w:highlight w:val="none"/>
        </w:rPr>
        <w:t>分，</w:t>
      </w:r>
      <w:r>
        <w:rPr>
          <w:rFonts w:hint="eastAsia" w:ascii="仿宋" w:hAnsi="仿宋" w:eastAsia="仿宋" w:cs="仿宋"/>
          <w:b/>
          <w:bCs/>
          <w:sz w:val="24"/>
          <w:szCs w:val="24"/>
          <w:highlight w:val="none"/>
          <w:lang w:eastAsia="zh-CN"/>
        </w:rPr>
        <w:t>得</w:t>
      </w:r>
      <w:r>
        <w:rPr>
          <w:rFonts w:hint="eastAsia" w:ascii="仿宋" w:hAnsi="仿宋" w:eastAsia="仿宋" w:cs="仿宋"/>
          <w:b/>
          <w:bCs/>
          <w:sz w:val="24"/>
          <w:szCs w:val="24"/>
          <w:highlight w:val="none"/>
        </w:rPr>
        <w:t>1</w:t>
      </w:r>
      <w:r>
        <w:rPr>
          <w:rFonts w:hint="eastAsia" w:ascii="仿宋" w:hAnsi="仿宋" w:eastAsia="仿宋" w:cs="仿宋"/>
          <w:b/>
          <w:bCs/>
          <w:sz w:val="24"/>
          <w:szCs w:val="24"/>
          <w:highlight w:val="none"/>
          <w:lang w:val="en-US" w:eastAsia="zh-CN"/>
        </w:rPr>
        <w:t>1.5</w:t>
      </w:r>
      <w:r>
        <w:rPr>
          <w:rFonts w:hint="eastAsia" w:ascii="仿宋" w:hAnsi="仿宋" w:eastAsia="仿宋" w:cs="仿宋"/>
          <w:b/>
          <w:bCs/>
          <w:sz w:val="24"/>
          <w:szCs w:val="24"/>
          <w:highlight w:val="none"/>
        </w:rPr>
        <w:t>分）</w:t>
      </w:r>
      <w:bookmarkEnd w:id="183"/>
      <w:bookmarkEnd w:id="184"/>
      <w:bookmarkEnd w:id="185"/>
    </w:p>
    <w:p w14:paraId="7B44C1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1.项目立项（</w:t>
      </w:r>
      <w:r>
        <w:rPr>
          <w:rFonts w:hint="eastAsia" w:ascii="仿宋" w:hAnsi="仿宋" w:eastAsia="仿宋" w:cs="仿宋"/>
          <w:sz w:val="24"/>
          <w:szCs w:val="24"/>
          <w:highlight w:val="none"/>
          <w:lang w:val="en-US" w:eastAsia="zh-CN"/>
        </w:rPr>
        <w:t>分值5</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分）</w:t>
      </w:r>
    </w:p>
    <w:p w14:paraId="252383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（1）立项依据充分性（</w:t>
      </w:r>
      <w:r>
        <w:rPr>
          <w:rFonts w:hint="eastAsia" w:ascii="仿宋" w:hAnsi="仿宋" w:eastAsia="仿宋" w:cs="仿宋"/>
          <w:sz w:val="24"/>
          <w:szCs w:val="24"/>
          <w:highlight w:val="none"/>
          <w:lang w:val="en-US" w:eastAsia="zh-CN"/>
        </w:rPr>
        <w:t>分值2</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553A22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“立项依据充分性”方面，</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lang w:val="zh-CN" w:eastAsia="zh-CN"/>
        </w:rPr>
        <w:t>项目立项基本符合《中华人民共和国消防法》《中华人民共和国突发事件应对法》等法律法规要求；符合泉州市自然灾害应急能力提升工程基层防灾项目实施工作方案。202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月，《福建省泉州市自然灾害应急能力提升工程基层防灾项目初步设计（含概算）》对</w:t>
      </w:r>
      <w:r>
        <w:rPr>
          <w:rFonts w:hint="eastAsia" w:ascii="仿宋" w:hAnsi="仿宋" w:eastAsia="仿宋" w:cs="仿宋"/>
          <w:sz w:val="24"/>
          <w:szCs w:val="24"/>
          <w:highlight w:val="none"/>
          <w:lang w:val="en-US" w:eastAsia="zh-CN"/>
        </w:rPr>
        <w:t>全市自然灾害应急能力提升工程</w:t>
      </w:r>
      <w:r>
        <w:rPr>
          <w:rFonts w:hint="eastAsia" w:ascii="仿宋" w:hAnsi="仿宋" w:eastAsia="仿宋" w:cs="仿宋"/>
          <w:sz w:val="24"/>
          <w:szCs w:val="24"/>
          <w:highlight w:val="none"/>
          <w:lang w:val="zh-CN" w:eastAsia="zh-CN"/>
        </w:rPr>
        <w:t>项目可行性进行充分讨证，并经专家评审修改通过。该项目的实施将提升</w:t>
      </w:r>
      <w:r>
        <w:rPr>
          <w:rFonts w:hint="eastAsia" w:ascii="仿宋" w:hAnsi="仿宋" w:eastAsia="仿宋" w:cs="仿宋"/>
          <w:sz w:val="24"/>
          <w:szCs w:val="24"/>
          <w:highlight w:val="none"/>
          <w:lang w:val="en-US" w:eastAsia="zh-CN"/>
        </w:rPr>
        <w:t>石狮市</w:t>
      </w:r>
      <w:r>
        <w:rPr>
          <w:rFonts w:hint="eastAsia" w:ascii="仿宋" w:hAnsi="仿宋" w:eastAsia="仿宋" w:cs="仿宋"/>
          <w:sz w:val="24"/>
          <w:szCs w:val="24"/>
          <w:highlight w:val="none"/>
          <w:lang w:val="zh-CN" w:eastAsia="zh-CN"/>
        </w:rPr>
        <w:t>基层应急力量快速响应、综合风险监测预警、指挥调度及数据汇聚服务等应急能力，进一步增强基层协调联动能力。在项目立项上，项目符合国家法律法规、国民经济发展规划和相关政策，符合行业发展规划和政策要求，与</w:t>
      </w:r>
      <w:r>
        <w:rPr>
          <w:rFonts w:hint="eastAsia" w:ascii="仿宋" w:hAnsi="仿宋" w:eastAsia="仿宋" w:cs="仿宋"/>
          <w:sz w:val="24"/>
          <w:szCs w:val="24"/>
          <w:highlight w:val="none"/>
          <w:lang w:val="en-US" w:eastAsia="zh-CN"/>
        </w:rPr>
        <w:t>应急</w:t>
      </w:r>
      <w:r>
        <w:rPr>
          <w:rFonts w:hint="eastAsia" w:ascii="仿宋" w:hAnsi="仿宋" w:eastAsia="仿宋" w:cs="仿宋"/>
          <w:sz w:val="24"/>
          <w:szCs w:val="24"/>
          <w:highlight w:val="none"/>
          <w:lang w:val="zh-CN" w:eastAsia="zh-CN"/>
        </w:rPr>
        <w:t>管理局部门职责范围相符，属于部门履职所需，属于公共财政支持范围，符合中央、地方事权支出责任划分原则，未与相关部门同类项目或部门内部相关项目重复。该项指标得</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5437EF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（2）立项程序规范性（</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3分，得2分）</w:t>
      </w:r>
    </w:p>
    <w:p w14:paraId="4A4BA9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highlight w:val="none"/>
        </w:rPr>
      </w:pPr>
      <w:r>
        <w:rPr>
          <w:rFonts w:hint="eastAsia" w:ascii="仿宋" w:hAnsi="仿宋" w:eastAsia="仿宋" w:cs="仿宋"/>
          <w:sz w:val="24"/>
          <w:szCs w:val="24"/>
          <w:highlight w:val="none"/>
          <w:lang w:val="zh-CN" w:eastAsia="zh-CN"/>
        </w:rPr>
        <w:t>在立项程序上，石狮市自然灾害应急能力提升工程项目根据20</w:t>
      </w:r>
      <w:r>
        <w:rPr>
          <w:rFonts w:hint="eastAsia" w:ascii="仿宋" w:hAnsi="仿宋" w:eastAsia="仿宋" w:cs="仿宋"/>
          <w:sz w:val="24"/>
          <w:szCs w:val="24"/>
          <w:highlight w:val="none"/>
          <w:lang w:val="en-US" w:eastAsia="zh-CN"/>
        </w:rPr>
        <w:t>24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val="zh-CN" w:eastAsia="zh-CN"/>
        </w:rPr>
        <w:t>月1日石狮市应急管理局党委会议精神，启动项目招投标工作。202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年4月</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日《泉州市应急管理局关于应急领域国债项目实施推进会议纪要》（〔202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val="zh-CN" w:eastAsia="zh-CN"/>
        </w:rPr>
        <w:t>号）、202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年4月</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lang w:val="zh-CN" w:eastAsia="zh-CN"/>
        </w:rPr>
        <w:t>日，泉州市应急管理局</w:t>
      </w:r>
      <w:r>
        <w:rPr>
          <w:rFonts w:hint="eastAsia" w:ascii="仿宋" w:hAnsi="仿宋" w:eastAsia="仿宋" w:cs="仿宋"/>
          <w:sz w:val="24"/>
          <w:szCs w:val="24"/>
          <w:highlight w:val="none"/>
          <w:lang w:val="en-US" w:eastAsia="zh-CN"/>
        </w:rPr>
        <w:t>下达关于《</w:t>
      </w:r>
      <w:r>
        <w:rPr>
          <w:rFonts w:hint="eastAsia" w:ascii="仿宋" w:hAnsi="仿宋" w:eastAsia="仿宋" w:cs="仿宋"/>
          <w:sz w:val="24"/>
          <w:szCs w:val="24"/>
          <w:highlight w:val="none"/>
          <w:lang w:val="zh-CN" w:eastAsia="zh-CN"/>
        </w:rPr>
        <w:t>泉州市石狮市自然灾害应急能力提升工程基层防灾项目实施工作方案》的复函等相关文件体现了项目按照规定的程序申请和批复，事前经过必要可行性研究、风险评估、集体决策，项目立项程序基本规范，履行了必要审批。《福建省泉州市自然灾害应急能力提升工程基层防灾项目初步设计（含概算）》论证的</w:t>
      </w:r>
      <w:r>
        <w:rPr>
          <w:rFonts w:hint="eastAsia" w:ascii="仿宋" w:hAnsi="仿宋" w:eastAsia="仿宋" w:cs="仿宋"/>
          <w:sz w:val="24"/>
          <w:szCs w:val="24"/>
          <w:highlight w:val="none"/>
          <w:lang w:val="en-US" w:eastAsia="zh-CN"/>
        </w:rPr>
        <w:t>相关救援装备</w:t>
      </w:r>
      <w:r>
        <w:rPr>
          <w:rFonts w:hint="eastAsia" w:ascii="仿宋" w:hAnsi="仿宋" w:eastAsia="仿宋" w:cs="仿宋"/>
          <w:sz w:val="24"/>
          <w:szCs w:val="24"/>
          <w:highlight w:val="none"/>
          <w:lang w:val="zh-CN" w:eastAsia="zh-CN"/>
        </w:rPr>
        <w:t>配置数与招投标文件设置</w:t>
      </w:r>
      <w:r>
        <w:rPr>
          <w:rFonts w:hint="eastAsia" w:ascii="仿宋" w:hAnsi="仿宋" w:eastAsia="仿宋" w:cs="仿宋"/>
          <w:sz w:val="24"/>
          <w:szCs w:val="24"/>
          <w:highlight w:val="none"/>
          <w:lang w:val="en-US" w:eastAsia="zh-CN"/>
        </w:rPr>
        <w:t>的装备</w:t>
      </w:r>
      <w:r>
        <w:rPr>
          <w:rFonts w:hint="eastAsia" w:ascii="仿宋" w:hAnsi="仿宋" w:eastAsia="仿宋" w:cs="仿宋"/>
          <w:sz w:val="24"/>
          <w:szCs w:val="24"/>
          <w:highlight w:val="none"/>
          <w:lang w:val="zh-CN" w:eastAsia="zh-CN"/>
        </w:rPr>
        <w:t>配置数一致。</w:t>
      </w:r>
      <w:r>
        <w:rPr>
          <w:rFonts w:hint="eastAsia" w:ascii="仿宋" w:hAnsi="仿宋" w:eastAsia="仿宋" w:cs="仿宋"/>
          <w:sz w:val="24"/>
          <w:szCs w:val="24"/>
          <w:highlight w:val="none"/>
          <w:lang w:val="en-US" w:eastAsia="zh-CN"/>
        </w:rPr>
        <w:t>装备实际使用方面，通过工作组现场走访发现，湖滨街道应急救援队存在新分配装备</w:t>
      </w:r>
      <w:r>
        <w:rPr>
          <w:rFonts w:hint="eastAsia" w:ascii="仿宋" w:hAnsi="仿宋" w:eastAsia="仿宋" w:cs="仿宋"/>
          <w:sz w:val="24"/>
          <w:szCs w:val="24"/>
          <w:highlight w:val="none"/>
          <w:lang w:val="zh-CN" w:eastAsia="zh-CN"/>
        </w:rPr>
        <w:t>闲置</w:t>
      </w:r>
      <w:r>
        <w:rPr>
          <w:rFonts w:hint="eastAsia" w:ascii="仿宋" w:hAnsi="仿宋" w:eastAsia="仿宋" w:cs="仿宋"/>
          <w:sz w:val="24"/>
          <w:szCs w:val="24"/>
          <w:highlight w:val="none"/>
          <w:lang w:val="en-US" w:eastAsia="zh-CN"/>
        </w:rPr>
        <w:t>的情况</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新装备采购验收后均封装储藏于仓库中，常用救援装备（如个人护具等）未分配至救援队队员手中，部分装备</w:t>
      </w:r>
      <w:r>
        <w:rPr>
          <w:rFonts w:hint="eastAsia" w:ascii="仿宋" w:hAnsi="仿宋" w:eastAsia="仿宋" w:cs="仿宋"/>
          <w:sz w:val="24"/>
          <w:szCs w:val="24"/>
          <w:highlight w:val="none"/>
          <w:lang w:val="zh-CN" w:eastAsia="zh-CN"/>
        </w:rPr>
        <w:t>资源存在</w:t>
      </w:r>
      <w:r>
        <w:rPr>
          <w:rFonts w:hint="eastAsia" w:ascii="仿宋" w:hAnsi="仿宋" w:eastAsia="仿宋" w:cs="仿宋"/>
          <w:sz w:val="24"/>
          <w:szCs w:val="24"/>
          <w:highlight w:val="none"/>
          <w:lang w:val="en-US" w:eastAsia="zh-CN"/>
        </w:rPr>
        <w:t>闲置的情况</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该情况表明项目前期</w:t>
      </w:r>
      <w:r>
        <w:rPr>
          <w:rFonts w:hint="eastAsia" w:ascii="仿宋" w:hAnsi="仿宋" w:eastAsia="仿宋" w:cs="仿宋"/>
          <w:sz w:val="24"/>
          <w:szCs w:val="24"/>
          <w:highlight w:val="none"/>
          <w:lang w:val="zh-CN" w:eastAsia="zh-CN"/>
        </w:rPr>
        <w:t>初步设计</w:t>
      </w:r>
      <w:r>
        <w:rPr>
          <w:rFonts w:hint="eastAsia" w:ascii="仿宋" w:hAnsi="仿宋" w:eastAsia="仿宋" w:cs="仿宋"/>
          <w:sz w:val="24"/>
          <w:szCs w:val="24"/>
          <w:highlight w:val="none"/>
          <w:lang w:val="en-US" w:eastAsia="zh-CN"/>
        </w:rPr>
        <w:t>对救援装备进行的论证不到位。</w:t>
      </w:r>
      <w:r>
        <w:rPr>
          <w:rFonts w:hint="eastAsia" w:ascii="仿宋" w:hAnsi="仿宋" w:eastAsia="仿宋" w:cs="仿宋"/>
          <w:sz w:val="24"/>
          <w:szCs w:val="24"/>
          <w:highlight w:val="none"/>
          <w:lang w:val="zh-CN" w:eastAsia="zh-CN"/>
        </w:rPr>
        <w:t>该指标扣1分。</w:t>
      </w:r>
    </w:p>
    <w:p w14:paraId="369870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2.绩效目标（</w:t>
      </w:r>
      <w:r>
        <w:rPr>
          <w:rFonts w:hint="eastAsia" w:ascii="仿宋" w:hAnsi="仿宋" w:eastAsia="仿宋" w:cs="仿宋"/>
          <w:sz w:val="24"/>
          <w:szCs w:val="24"/>
          <w:highlight w:val="none"/>
          <w:lang w:val="en-US" w:eastAsia="zh-CN"/>
        </w:rPr>
        <w:t>分值7</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3.5</w:t>
      </w:r>
      <w:r>
        <w:rPr>
          <w:rFonts w:hint="eastAsia" w:ascii="仿宋" w:hAnsi="仿宋" w:eastAsia="仿宋" w:cs="仿宋"/>
          <w:sz w:val="24"/>
          <w:szCs w:val="24"/>
          <w:highlight w:val="none"/>
          <w:lang w:val="zh-CN" w:eastAsia="zh-CN"/>
        </w:rPr>
        <w:t>分）</w:t>
      </w:r>
    </w:p>
    <w:p w14:paraId="2DDB99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（1）绩效目标合理性（</w:t>
      </w:r>
      <w:r>
        <w:rPr>
          <w:rFonts w:hint="eastAsia" w:ascii="仿宋" w:hAnsi="仿宋" w:eastAsia="仿宋" w:cs="仿宋"/>
          <w:sz w:val="24"/>
          <w:szCs w:val="24"/>
          <w:highlight w:val="none"/>
          <w:lang w:val="en-US" w:eastAsia="zh-CN"/>
        </w:rPr>
        <w:t>分值4</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6C8731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“绩效目标合理性”评价项目绩效目标的设置情况。</w:t>
      </w:r>
    </w:p>
    <w:p w14:paraId="2FB1D1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石狮市应急管理局提供的自然灾害应急能力提升工程基层防灾项目经费项目绩效目标表（如表3所示），共设置了6个三级指标，产出、效益、满意度指标绩效目标设置与项目内容相关性较强，但指标设计不符合《项目支出绩效评价管理办法》（财预〔2020〕10号）要求，存在将应作为“产出指标”二级指标的“成本指标”作为一级指标的情况；一级指标“效益指标”设计不完整；缺少“经济效益”与“可持续影响”两项二级指标。</w:t>
      </w:r>
    </w:p>
    <w:p w14:paraId="3DFBA0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自然灾害应急能力提升工程预警指挥项目绩效目标表（如表4所示），存在问题同上</w:t>
      </w:r>
      <w:r>
        <w:rPr>
          <w:rFonts w:hint="eastAsia" w:ascii="仿宋" w:hAnsi="仿宋" w:eastAsia="仿宋" w:cs="仿宋"/>
          <w:sz w:val="24"/>
          <w:szCs w:val="24"/>
          <w:highlight w:val="none"/>
          <w:lang w:val="zh-CN" w:eastAsia="zh-CN"/>
        </w:rPr>
        <w:t>。综上，“绩效目标合理性”指标扣</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3FAF8B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p>
    <w:p w14:paraId="3A6492A6">
      <w:pPr>
        <w:pStyle w:val="7"/>
        <w:jc w:val="center"/>
        <w:rPr>
          <w:rFonts w:hint="eastAsia" w:ascii="仿宋" w:hAnsi="仿宋" w:eastAsia="仿宋" w:cs="仿宋"/>
          <w:b/>
          <w:bCs/>
          <w:kern w:val="2"/>
          <w:sz w:val="24"/>
          <w:szCs w:val="24"/>
          <w:highlight w:val="none"/>
          <w:lang w:val="zh-CN" w:eastAsia="zh-CN" w:bidi="ar-SA"/>
        </w:rPr>
      </w:pPr>
      <w:r>
        <w:rPr>
          <w:rFonts w:hint="eastAsia" w:ascii="仿宋" w:hAnsi="仿宋" w:eastAsia="仿宋" w:cs="仿宋"/>
          <w:b/>
          <w:bCs/>
          <w:kern w:val="2"/>
          <w:sz w:val="24"/>
          <w:szCs w:val="24"/>
          <w:highlight w:val="none"/>
          <w:lang w:val="zh-CN" w:eastAsia="zh-CN" w:bidi="ar-SA"/>
        </w:rPr>
        <w:t>表</w:t>
      </w:r>
      <w:r>
        <w:rPr>
          <w:rFonts w:hint="eastAsia" w:ascii="仿宋" w:hAnsi="仿宋" w:eastAsia="仿宋" w:cs="仿宋"/>
          <w:b/>
          <w:bCs/>
          <w:kern w:val="2"/>
          <w:sz w:val="24"/>
          <w:szCs w:val="24"/>
          <w:highlight w:val="none"/>
          <w:lang w:val="en-US" w:eastAsia="zh-CN" w:bidi="ar-SA"/>
        </w:rPr>
        <w:t xml:space="preserve">3  </w:t>
      </w:r>
      <w:r>
        <w:rPr>
          <w:rFonts w:hint="eastAsia" w:ascii="仿宋" w:hAnsi="仿宋" w:eastAsia="仿宋" w:cs="仿宋"/>
          <w:b/>
          <w:bCs/>
          <w:kern w:val="2"/>
          <w:sz w:val="24"/>
          <w:szCs w:val="24"/>
          <w:highlight w:val="none"/>
          <w:lang w:val="zh-CN" w:eastAsia="zh-CN" w:bidi="ar-SA"/>
        </w:rPr>
        <w:t>自然灾害应急能力提升工程基层防灾项目经费项目绩效目标表</w:t>
      </w:r>
    </w:p>
    <w:tbl>
      <w:tblPr>
        <w:tblStyle w:val="14"/>
        <w:tblW w:w="474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8"/>
        <w:gridCol w:w="1620"/>
        <w:gridCol w:w="3028"/>
        <w:gridCol w:w="2471"/>
      </w:tblGrid>
      <w:tr w14:paraId="67B60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4" w:hRule="atLeast"/>
          <w:jc w:val="center"/>
        </w:trPr>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49F93">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一级指标</w:t>
            </w:r>
          </w:p>
        </w:tc>
        <w:tc>
          <w:tcPr>
            <w:tcW w:w="9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26086">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二级指标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A60F6">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三级指标</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594C">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内涵解释</w:t>
            </w:r>
          </w:p>
        </w:tc>
      </w:tr>
      <w:tr w14:paraId="069EB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jc w:val="center"/>
        </w:trPr>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9CBF9">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成本指标</w:t>
            </w:r>
          </w:p>
        </w:tc>
        <w:tc>
          <w:tcPr>
            <w:tcW w:w="9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6CBE">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经济成本指标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A88F2">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资金投入</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5612">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项目资金投入532.88万元</w:t>
            </w:r>
          </w:p>
        </w:tc>
      </w:tr>
      <w:tr w14:paraId="0BF93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 w:hRule="atLeast"/>
          <w:jc w:val="center"/>
        </w:trPr>
        <w:tc>
          <w:tcPr>
            <w:tcW w:w="7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1010">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产出指标</w:t>
            </w:r>
          </w:p>
        </w:tc>
        <w:tc>
          <w:tcPr>
            <w:tcW w:w="9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DB92">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数量指标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E4D5C">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应急救援队伍数量</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08C3">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市、镇两级9支综合应急救援队伍</w:t>
            </w:r>
          </w:p>
        </w:tc>
      </w:tr>
      <w:tr w14:paraId="4E237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A1E81">
            <w:pPr>
              <w:jc w:val="center"/>
              <w:rPr>
                <w:rFonts w:hint="eastAsia" w:ascii="仿宋" w:hAnsi="仿宋" w:eastAsia="仿宋" w:cs="仿宋"/>
                <w:b w:val="0"/>
                <w:bCs w:val="0"/>
                <w:i w:val="0"/>
                <w:iCs w:val="0"/>
                <w:color w:val="000000"/>
                <w:sz w:val="21"/>
                <w:szCs w:val="21"/>
                <w:highlight w:val="none"/>
                <w:u w:val="none"/>
              </w:rPr>
            </w:pPr>
          </w:p>
        </w:tc>
        <w:tc>
          <w:tcPr>
            <w:tcW w:w="9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9463">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质量指标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E0479">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救援装备功能符合应急部标准</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0A282">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救援装备100%符合应急部标准</w:t>
            </w:r>
          </w:p>
        </w:tc>
      </w:tr>
      <w:tr w14:paraId="22D9E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0AA8">
            <w:pPr>
              <w:jc w:val="center"/>
              <w:rPr>
                <w:rFonts w:hint="eastAsia" w:ascii="仿宋" w:hAnsi="仿宋" w:eastAsia="仿宋" w:cs="仿宋"/>
                <w:b w:val="0"/>
                <w:bCs w:val="0"/>
                <w:i w:val="0"/>
                <w:iCs w:val="0"/>
                <w:color w:val="000000"/>
                <w:sz w:val="21"/>
                <w:szCs w:val="21"/>
                <w:highlight w:val="none"/>
                <w:u w:val="none"/>
              </w:rPr>
            </w:pPr>
          </w:p>
        </w:tc>
        <w:tc>
          <w:tcPr>
            <w:tcW w:w="9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DD8E8">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时效指标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26590">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项目支出进度</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95B82">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项目支出进度100%</w:t>
            </w:r>
          </w:p>
        </w:tc>
      </w:tr>
      <w:tr w14:paraId="3619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jc w:val="center"/>
        </w:trPr>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78EE">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效益指标</w:t>
            </w:r>
          </w:p>
        </w:tc>
        <w:tc>
          <w:tcPr>
            <w:tcW w:w="9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3023">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社会效益指标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C1DD">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应急响应与救援处置</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DAA13">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接到调派指令，救援队伍响应和处置程度达100%</w:t>
            </w:r>
          </w:p>
        </w:tc>
      </w:tr>
      <w:tr w14:paraId="5260E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atLeast"/>
          <w:jc w:val="center"/>
        </w:trPr>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6602">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满意度指标</w:t>
            </w:r>
          </w:p>
        </w:tc>
        <w:tc>
          <w:tcPr>
            <w:tcW w:w="9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AD3C2">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服务对象满意度指标</w:t>
            </w:r>
          </w:p>
        </w:tc>
        <w:tc>
          <w:tcPr>
            <w:tcW w:w="1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ED325">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应急救援服务的单位、企业及群众满意度</w:t>
            </w:r>
          </w:p>
        </w:tc>
        <w:tc>
          <w:tcPr>
            <w:tcW w:w="1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45C69">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应急救援服务的单位、企业及群众满意率达95%以上</w:t>
            </w:r>
          </w:p>
        </w:tc>
      </w:tr>
    </w:tbl>
    <w:p w14:paraId="7A6D93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b w:val="0"/>
          <w:bCs w:val="0"/>
          <w:kern w:val="2"/>
          <w:sz w:val="24"/>
          <w:szCs w:val="24"/>
          <w:highlight w:val="none"/>
          <w:lang w:val="zh-CN" w:eastAsia="zh-CN" w:bidi="ar-SA"/>
        </w:rPr>
      </w:pPr>
    </w:p>
    <w:p w14:paraId="193BE37F">
      <w:pPr>
        <w:pStyle w:val="7"/>
        <w:jc w:val="center"/>
        <w:rPr>
          <w:rFonts w:hint="eastAsia" w:ascii="仿宋" w:hAnsi="仿宋" w:eastAsia="仿宋" w:cs="仿宋"/>
          <w:b/>
          <w:bCs/>
          <w:kern w:val="2"/>
          <w:sz w:val="24"/>
          <w:szCs w:val="24"/>
          <w:highlight w:val="none"/>
          <w:lang w:val="zh-CN" w:eastAsia="zh-CN" w:bidi="ar-SA"/>
        </w:rPr>
      </w:pPr>
      <w:r>
        <w:rPr>
          <w:rFonts w:hint="eastAsia" w:ascii="仿宋" w:hAnsi="仿宋" w:eastAsia="仿宋" w:cs="仿宋"/>
          <w:b/>
          <w:bCs/>
          <w:kern w:val="2"/>
          <w:sz w:val="24"/>
          <w:szCs w:val="24"/>
          <w:highlight w:val="none"/>
          <w:lang w:val="zh-CN" w:eastAsia="zh-CN" w:bidi="ar-SA"/>
        </w:rPr>
        <w:t>表</w:t>
      </w:r>
      <w:r>
        <w:rPr>
          <w:rFonts w:hint="eastAsia" w:ascii="仿宋" w:hAnsi="仿宋" w:eastAsia="仿宋" w:cs="仿宋"/>
          <w:b/>
          <w:bCs/>
          <w:kern w:val="2"/>
          <w:sz w:val="24"/>
          <w:szCs w:val="24"/>
          <w:highlight w:val="none"/>
          <w:lang w:val="en-US" w:eastAsia="zh-CN" w:bidi="ar-SA"/>
        </w:rPr>
        <w:t xml:space="preserve">4  </w:t>
      </w:r>
      <w:r>
        <w:rPr>
          <w:rFonts w:hint="eastAsia" w:ascii="仿宋" w:hAnsi="仿宋" w:eastAsia="仿宋" w:cs="仿宋"/>
          <w:b/>
          <w:bCs/>
          <w:kern w:val="2"/>
          <w:sz w:val="24"/>
          <w:szCs w:val="24"/>
          <w:highlight w:val="none"/>
          <w:lang w:val="zh-CN" w:eastAsia="zh-CN" w:bidi="ar-SA"/>
        </w:rPr>
        <w:t>自然灾害应急能力提升工程预警指挥项目绩效目标表</w:t>
      </w:r>
    </w:p>
    <w:tbl>
      <w:tblPr>
        <w:tblStyle w:val="14"/>
        <w:tblW w:w="465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24"/>
        <w:gridCol w:w="1670"/>
        <w:gridCol w:w="2782"/>
        <w:gridCol w:w="2594"/>
      </w:tblGrid>
      <w:tr w14:paraId="61EC0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6" w:hRule="atLeast"/>
          <w:jc w:val="center"/>
        </w:trPr>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C51E8">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一级指标</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54860">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二级指标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8DF97">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三级指标</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9889A">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内涵解释</w:t>
            </w:r>
          </w:p>
        </w:tc>
      </w:tr>
      <w:tr w14:paraId="21E8B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8104">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成本指标</w:t>
            </w: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9100">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经济成本指标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8E108">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资金投入</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D318A">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1年内项目资金投入金额</w:t>
            </w:r>
          </w:p>
        </w:tc>
      </w:tr>
      <w:tr w14:paraId="1B893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4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E893">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产出指标</w:t>
            </w: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700C">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数量指标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D60F">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购买数量符合上级要求</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2ACD">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购买数量是否符合上级要求</w:t>
            </w:r>
          </w:p>
        </w:tc>
      </w:tr>
      <w:tr w14:paraId="1C4A1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4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26427">
            <w:pPr>
              <w:jc w:val="center"/>
              <w:rPr>
                <w:rFonts w:hint="eastAsia" w:ascii="仿宋" w:hAnsi="仿宋" w:eastAsia="仿宋" w:cs="仿宋"/>
                <w:b w:val="0"/>
                <w:bCs w:val="0"/>
                <w:i w:val="0"/>
                <w:iCs w:val="0"/>
                <w:color w:val="000000"/>
                <w:sz w:val="21"/>
                <w:szCs w:val="21"/>
                <w:highlight w:val="none"/>
                <w:u w:val="none"/>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6A7BB">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质量指标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82A4">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购买设备质量</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1F06">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购买设备质量合格</w:t>
            </w:r>
          </w:p>
        </w:tc>
      </w:tr>
      <w:tr w14:paraId="1E685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4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3153">
            <w:pPr>
              <w:jc w:val="center"/>
              <w:rPr>
                <w:rFonts w:hint="eastAsia" w:ascii="仿宋" w:hAnsi="仿宋" w:eastAsia="仿宋" w:cs="仿宋"/>
                <w:b w:val="0"/>
                <w:bCs w:val="0"/>
                <w:i w:val="0"/>
                <w:iCs w:val="0"/>
                <w:color w:val="000000"/>
                <w:sz w:val="21"/>
                <w:szCs w:val="21"/>
                <w:highlight w:val="none"/>
                <w:u w:val="none"/>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A3FEA">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时效指标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2A359">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项目支出进度</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28C49">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项目支出进度100%</w:t>
            </w:r>
          </w:p>
        </w:tc>
      </w:tr>
      <w:tr w14:paraId="37BDB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4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25F6">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效益指标</w:t>
            </w: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A716">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社会效益指标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444ED">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项目设备发挥预警指挥功能</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5F37">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项目设备是否发挥预警指挥功能</w:t>
            </w:r>
          </w:p>
        </w:tc>
      </w:tr>
      <w:tr w14:paraId="32B50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74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9AD1">
            <w:pPr>
              <w:jc w:val="center"/>
              <w:rPr>
                <w:rFonts w:hint="eastAsia" w:ascii="仿宋" w:hAnsi="仿宋" w:eastAsia="仿宋" w:cs="仿宋"/>
                <w:b w:val="0"/>
                <w:bCs w:val="0"/>
                <w:i w:val="0"/>
                <w:iCs w:val="0"/>
                <w:color w:val="000000"/>
                <w:sz w:val="21"/>
                <w:szCs w:val="21"/>
                <w:highlight w:val="none"/>
                <w:u w:val="none"/>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41A8">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生态效益指标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54C7">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项目设备生态效益</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4D47">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项目设备是否对生态造成影响</w:t>
            </w:r>
          </w:p>
        </w:tc>
      </w:tr>
      <w:tr w14:paraId="6BE95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6" w:hRule="atLeast"/>
          <w:jc w:val="center"/>
        </w:trPr>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6C11">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满意度指标</w:t>
            </w:r>
          </w:p>
        </w:tc>
        <w:tc>
          <w:tcPr>
            <w:tcW w:w="10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33EF">
            <w:pPr>
              <w:keepNext w:val="0"/>
              <w:keepLines w:val="0"/>
              <w:widowControl/>
              <w:suppressLineNumbers w:val="0"/>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服务对象满意度指标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1D39">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预警指挥能力群众满意率</w:t>
            </w:r>
          </w:p>
        </w:tc>
        <w:tc>
          <w:tcPr>
            <w:tcW w:w="1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2A12">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预警指挥能力群众满意率</w:t>
            </w:r>
          </w:p>
        </w:tc>
      </w:tr>
    </w:tbl>
    <w:p w14:paraId="7BEBE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p>
    <w:p w14:paraId="56FA18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（2）绩效指标明确性（</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3分，得</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lang w:val="zh-CN" w:eastAsia="zh-CN"/>
        </w:rPr>
        <w:t>分）</w:t>
      </w:r>
    </w:p>
    <w:p w14:paraId="2B5520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自然灾害应急能力提升工程基层防灾经费项目所提供的202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年度绩效目标表明确将绩效目标细化分解；与目标任务数据可对应；与年度任务数据可对应。但</w:t>
      </w:r>
      <w:r>
        <w:rPr>
          <w:rFonts w:hint="eastAsia" w:ascii="仿宋" w:hAnsi="仿宋" w:eastAsia="仿宋" w:cs="仿宋"/>
          <w:sz w:val="24"/>
          <w:szCs w:val="24"/>
          <w:highlight w:val="none"/>
          <w:lang w:val="en-US" w:eastAsia="zh-CN"/>
        </w:rPr>
        <w:t>同时存在以下问题：部分指标如</w:t>
      </w:r>
      <w:r>
        <w:rPr>
          <w:rFonts w:hint="eastAsia" w:ascii="仿宋" w:hAnsi="仿宋" w:eastAsia="仿宋" w:cs="仿宋"/>
          <w:sz w:val="24"/>
          <w:highlight w:val="none"/>
        </w:rPr>
        <w:t>社会效益</w:t>
      </w:r>
      <w:r>
        <w:rPr>
          <w:rFonts w:hint="eastAsia" w:ascii="仿宋" w:hAnsi="仿宋" w:eastAsia="仿宋" w:cs="仿宋"/>
          <w:sz w:val="24"/>
          <w:highlight w:val="none"/>
          <w:lang w:val="en-US" w:eastAsia="zh-CN"/>
        </w:rPr>
        <w:t>与</w:t>
      </w:r>
      <w:r>
        <w:rPr>
          <w:rFonts w:hint="eastAsia" w:ascii="仿宋" w:hAnsi="仿宋" w:eastAsia="仿宋" w:cs="仿宋"/>
          <w:sz w:val="24"/>
          <w:highlight w:val="none"/>
        </w:rPr>
        <w:t>生态效益指标解释</w:t>
      </w:r>
      <w:r>
        <w:rPr>
          <w:rFonts w:hint="eastAsia" w:ascii="仿宋" w:hAnsi="仿宋" w:eastAsia="仿宋" w:cs="仿宋"/>
          <w:sz w:val="24"/>
          <w:highlight w:val="none"/>
          <w:lang w:val="en-US" w:eastAsia="zh-CN"/>
        </w:rPr>
        <w:t>均偏定性，指标不够清晰</w:t>
      </w:r>
      <w:r>
        <w:rPr>
          <w:rFonts w:hint="eastAsia" w:ascii="仿宋" w:hAnsi="仿宋" w:eastAsia="仿宋" w:cs="仿宋"/>
          <w:sz w:val="24"/>
          <w:szCs w:val="24"/>
          <w:highlight w:val="none"/>
          <w:lang w:val="en-US" w:eastAsia="zh-CN"/>
        </w:rPr>
        <w:t>，标准无法具体衡量；</w:t>
      </w:r>
      <w:r>
        <w:rPr>
          <w:rFonts w:hint="eastAsia" w:ascii="仿宋" w:hAnsi="仿宋" w:eastAsia="仿宋" w:cs="仿宋"/>
          <w:sz w:val="24"/>
          <w:szCs w:val="24"/>
          <w:highlight w:val="none"/>
          <w:lang w:val="zh-CN" w:eastAsia="zh-CN"/>
        </w:rPr>
        <w:t>指标权重设计存在错误，</w:t>
      </w:r>
      <w:r>
        <w:rPr>
          <w:rFonts w:hint="eastAsia" w:ascii="仿宋" w:hAnsi="仿宋" w:eastAsia="仿宋" w:cs="仿宋"/>
          <w:sz w:val="24"/>
          <w:szCs w:val="24"/>
          <w:highlight w:val="none"/>
          <w:lang w:val="en-US" w:eastAsia="zh-CN"/>
        </w:rPr>
        <w:t>满分总分达120</w:t>
      </w:r>
      <w:r>
        <w:rPr>
          <w:rFonts w:hint="eastAsia" w:ascii="仿宋" w:hAnsi="仿宋" w:eastAsia="仿宋" w:cs="仿宋"/>
          <w:sz w:val="24"/>
          <w:szCs w:val="24"/>
          <w:highlight w:val="none"/>
          <w:lang w:val="zh-CN" w:eastAsia="zh-CN"/>
        </w:rPr>
        <w:t>分；</w:t>
      </w:r>
      <w:r>
        <w:rPr>
          <w:rFonts w:hint="eastAsia" w:ascii="仿宋" w:hAnsi="仿宋" w:eastAsia="仿宋" w:cs="仿宋"/>
          <w:sz w:val="24"/>
          <w:szCs w:val="24"/>
          <w:highlight w:val="none"/>
          <w:lang w:val="en-US" w:eastAsia="zh-CN"/>
        </w:rPr>
        <w:t>预警指挥</w:t>
      </w:r>
      <w:r>
        <w:rPr>
          <w:rFonts w:hint="eastAsia" w:ascii="仿宋" w:hAnsi="仿宋" w:eastAsia="仿宋" w:cs="仿宋"/>
          <w:sz w:val="24"/>
          <w:szCs w:val="24"/>
          <w:highlight w:val="none"/>
          <w:lang w:val="zh-CN" w:eastAsia="zh-CN"/>
        </w:rPr>
        <w:t>经费项目绩效目标表</w:t>
      </w:r>
      <w:r>
        <w:rPr>
          <w:rFonts w:hint="eastAsia" w:ascii="仿宋" w:hAnsi="仿宋" w:eastAsia="仿宋" w:cs="仿宋"/>
          <w:sz w:val="24"/>
          <w:szCs w:val="24"/>
          <w:highlight w:val="none"/>
          <w:lang w:val="en-US" w:eastAsia="zh-CN"/>
        </w:rPr>
        <w:t>存在问题同上，权重分加总仅80分。综上，</w:t>
      </w:r>
      <w:r>
        <w:rPr>
          <w:rFonts w:hint="eastAsia" w:ascii="仿宋" w:hAnsi="仿宋" w:eastAsia="仿宋" w:cs="仿宋"/>
          <w:sz w:val="24"/>
          <w:szCs w:val="24"/>
          <w:highlight w:val="none"/>
          <w:lang w:val="zh-CN" w:eastAsia="zh-CN"/>
        </w:rPr>
        <w:t>该指标扣1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zh-CN" w:eastAsia="zh-CN"/>
        </w:rPr>
        <w:t>分。</w:t>
      </w:r>
    </w:p>
    <w:p w14:paraId="32373F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3.资金投入（</w:t>
      </w:r>
      <w:r>
        <w:rPr>
          <w:rFonts w:hint="eastAsia" w:ascii="仿宋" w:hAnsi="仿宋" w:eastAsia="仿宋" w:cs="仿宋"/>
          <w:sz w:val="24"/>
          <w:szCs w:val="24"/>
          <w:highlight w:val="none"/>
          <w:lang w:val="en-US" w:eastAsia="zh-CN"/>
        </w:rPr>
        <w:t>分值4</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分）</w:t>
      </w:r>
    </w:p>
    <w:p w14:paraId="140755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（1）预算编制科学性（</w:t>
      </w:r>
      <w:r>
        <w:rPr>
          <w:rFonts w:hint="eastAsia" w:ascii="仿宋" w:hAnsi="仿宋" w:eastAsia="仿宋" w:cs="仿宋"/>
          <w:sz w:val="24"/>
          <w:szCs w:val="24"/>
          <w:highlight w:val="none"/>
          <w:lang w:val="en-US" w:eastAsia="zh-CN"/>
        </w:rPr>
        <w:t>分值2</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1EB992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预算编制科学性主要评价项目预算编制是否经过科学论证、有明确标准，资金额度与年度目标是否相适应，用以反映和考核项目预算编制的科学性、合理性情况。</w:t>
      </w:r>
    </w:p>
    <w:p w14:paraId="64FEB5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市自然灾害应急能力提升工程经费预算指标值为</w:t>
      </w:r>
      <w:r>
        <w:rPr>
          <w:rFonts w:hint="eastAsia" w:ascii="仿宋" w:hAnsi="仿宋" w:eastAsia="仿宋" w:cs="仿宋"/>
          <w:sz w:val="24"/>
          <w:szCs w:val="24"/>
          <w:highlight w:val="none"/>
          <w:lang w:val="en-US" w:eastAsia="zh-CN"/>
        </w:rPr>
        <w:t>1003.568</w:t>
      </w:r>
      <w:r>
        <w:rPr>
          <w:rFonts w:hint="eastAsia" w:ascii="仿宋" w:hAnsi="仿宋" w:eastAsia="仿宋" w:cs="仿宋"/>
          <w:sz w:val="24"/>
          <w:szCs w:val="24"/>
          <w:highlight w:val="none"/>
          <w:lang w:val="zh-CN" w:eastAsia="zh-CN"/>
        </w:rPr>
        <w:t>万元，</w:t>
      </w:r>
      <w:r>
        <w:rPr>
          <w:rFonts w:hint="eastAsia" w:ascii="仿宋" w:hAnsi="仿宋" w:eastAsia="仿宋" w:cs="仿宋"/>
          <w:sz w:val="24"/>
          <w:szCs w:val="24"/>
          <w:highlight w:val="none"/>
          <w:lang w:val="en-US" w:eastAsia="zh-CN"/>
        </w:rPr>
        <w:t>根据2024年3月27日，泉州市财政局、泉州市应急管理局下达的资金预算通知文件泉财行指</w:t>
      </w:r>
      <w:r>
        <w:rPr>
          <w:rFonts w:hint="eastAsia" w:ascii="仿宋" w:hAnsi="仿宋" w:eastAsia="仿宋" w:cs="仿宋"/>
          <w:sz w:val="24"/>
          <w:szCs w:val="24"/>
          <w:highlight w:val="none"/>
          <w:lang w:val="zh-CN" w:eastAsia="zh-CN"/>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24号、泉财行指</w:t>
      </w:r>
      <w:r>
        <w:rPr>
          <w:rFonts w:hint="eastAsia" w:ascii="仿宋" w:hAnsi="仿宋" w:eastAsia="仿宋" w:cs="仿宋"/>
          <w:sz w:val="24"/>
          <w:szCs w:val="24"/>
          <w:highlight w:val="none"/>
          <w:lang w:val="zh-CN" w:eastAsia="zh-CN"/>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25号，</w:t>
      </w:r>
      <w:r>
        <w:rPr>
          <w:rFonts w:hint="eastAsia" w:ascii="仿宋" w:hAnsi="仿宋" w:eastAsia="仿宋" w:cs="仿宋"/>
          <w:sz w:val="24"/>
          <w:highlight w:val="none"/>
          <w:lang w:val="zh-CN"/>
        </w:rPr>
        <w:t>国债资金及县级财政配套资金按7：3比例支出，其中国债资金702.277万元，石狮市财政资金301.291万元。</w:t>
      </w:r>
      <w:r>
        <w:rPr>
          <w:rFonts w:hint="eastAsia" w:ascii="仿宋" w:hAnsi="仿宋" w:eastAsia="仿宋" w:cs="仿宋"/>
          <w:sz w:val="24"/>
          <w:szCs w:val="24"/>
          <w:highlight w:val="none"/>
          <w:lang w:val="en-US" w:eastAsia="zh-CN"/>
        </w:rPr>
        <w:t>当年度实际支付747.2998万元，结余252.9759万元未支付使用，实际与预算有一定差距。本项扣0.5分，得1.5分。</w:t>
      </w:r>
      <w:r>
        <w:rPr>
          <w:rFonts w:hint="eastAsia" w:ascii="仿宋" w:hAnsi="仿宋" w:eastAsia="仿宋" w:cs="仿宋"/>
          <w:sz w:val="24"/>
          <w:szCs w:val="24"/>
          <w:highlight w:val="none"/>
          <w:lang w:val="zh-CN" w:eastAsia="zh-CN"/>
        </w:rPr>
        <w:t>项目预算编制</w:t>
      </w:r>
      <w:r>
        <w:rPr>
          <w:rFonts w:hint="eastAsia" w:ascii="仿宋" w:hAnsi="仿宋" w:eastAsia="仿宋" w:cs="仿宋"/>
          <w:sz w:val="24"/>
          <w:szCs w:val="24"/>
          <w:highlight w:val="none"/>
          <w:lang w:val="en-US" w:eastAsia="zh-CN"/>
        </w:rPr>
        <w:t>已</w:t>
      </w:r>
      <w:r>
        <w:rPr>
          <w:rFonts w:hint="eastAsia" w:ascii="仿宋" w:hAnsi="仿宋" w:eastAsia="仿宋" w:cs="仿宋"/>
          <w:sz w:val="24"/>
          <w:szCs w:val="24"/>
          <w:highlight w:val="none"/>
          <w:lang w:val="zh-CN" w:eastAsia="zh-CN"/>
        </w:rPr>
        <w:t>经</w:t>
      </w:r>
      <w:r>
        <w:rPr>
          <w:rFonts w:hint="eastAsia" w:ascii="仿宋" w:hAnsi="仿宋" w:eastAsia="仿宋" w:cs="仿宋"/>
          <w:sz w:val="24"/>
          <w:szCs w:val="24"/>
          <w:highlight w:val="none"/>
          <w:lang w:val="en-US" w:eastAsia="zh-CN"/>
        </w:rPr>
        <w:t>过</w:t>
      </w:r>
      <w:r>
        <w:rPr>
          <w:rFonts w:hint="eastAsia" w:ascii="仿宋" w:hAnsi="仿宋" w:eastAsia="仿宋" w:cs="仿宋"/>
          <w:sz w:val="24"/>
          <w:szCs w:val="24"/>
          <w:highlight w:val="none"/>
          <w:lang w:val="zh-CN" w:eastAsia="zh-CN"/>
        </w:rPr>
        <w:t>科学论证，标准明确，资金额度与年度目标相适应，</w:t>
      </w:r>
      <w:r>
        <w:rPr>
          <w:rFonts w:hint="eastAsia" w:ascii="仿宋" w:hAnsi="仿宋" w:eastAsia="仿宋" w:cs="仿宋"/>
          <w:sz w:val="24"/>
          <w:szCs w:val="24"/>
          <w:highlight w:val="none"/>
          <w:lang w:val="en-US" w:eastAsia="zh-CN"/>
        </w:rPr>
        <w:t>该项指标得2分。</w:t>
      </w:r>
    </w:p>
    <w:p w14:paraId="41EB1D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（2）资金分配合理性（</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2分，得</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59F091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w:t>
      </w:r>
      <w:r>
        <w:rPr>
          <w:rFonts w:hint="eastAsia" w:ascii="仿宋" w:hAnsi="仿宋" w:eastAsia="仿宋" w:cs="仿宋"/>
          <w:sz w:val="24"/>
          <w:szCs w:val="24"/>
          <w:highlight w:val="none"/>
          <w:lang w:val="en-US" w:eastAsia="zh-CN"/>
        </w:rPr>
        <w:t>在使用上基本按完成</w:t>
      </w:r>
      <w:r>
        <w:rPr>
          <w:rFonts w:hint="eastAsia" w:ascii="仿宋" w:hAnsi="仿宋" w:eastAsia="仿宋" w:cs="仿宋"/>
          <w:sz w:val="24"/>
          <w:szCs w:val="24"/>
          <w:highlight w:val="none"/>
          <w:lang w:val="zh-CN" w:eastAsia="zh-CN"/>
        </w:rPr>
        <w:t>实际工作的</w:t>
      </w:r>
      <w:r>
        <w:rPr>
          <w:rFonts w:hint="eastAsia" w:ascii="仿宋" w:hAnsi="仿宋" w:eastAsia="仿宋" w:cs="仿宋"/>
          <w:sz w:val="24"/>
          <w:szCs w:val="24"/>
          <w:highlight w:val="none"/>
          <w:lang w:val="en-US" w:eastAsia="zh-CN"/>
        </w:rPr>
        <w:t>时序进行分配，</w:t>
      </w:r>
      <w:r>
        <w:rPr>
          <w:rFonts w:hint="eastAsia" w:ascii="仿宋" w:hAnsi="仿宋" w:eastAsia="仿宋" w:cs="仿宋"/>
          <w:sz w:val="24"/>
          <w:szCs w:val="24"/>
          <w:highlight w:val="none"/>
          <w:lang w:val="zh-CN" w:eastAsia="zh-CN"/>
        </w:rPr>
        <w:t>资金分配</w:t>
      </w:r>
      <w:r>
        <w:rPr>
          <w:rFonts w:hint="eastAsia" w:ascii="仿宋" w:hAnsi="仿宋" w:eastAsia="仿宋" w:cs="仿宋"/>
          <w:sz w:val="24"/>
          <w:szCs w:val="24"/>
          <w:highlight w:val="none"/>
          <w:lang w:val="en-US" w:eastAsia="zh-CN"/>
        </w:rPr>
        <w:t>与工作任务</w:t>
      </w:r>
      <w:r>
        <w:rPr>
          <w:rFonts w:hint="eastAsia" w:ascii="仿宋" w:hAnsi="仿宋" w:eastAsia="仿宋" w:cs="仿宋"/>
          <w:sz w:val="24"/>
          <w:szCs w:val="24"/>
          <w:highlight w:val="none"/>
          <w:lang w:val="zh-CN" w:eastAsia="zh-CN"/>
        </w:rPr>
        <w:t>基本相匹配，资金分配额度基本合理。指标</w:t>
      </w:r>
      <w:r>
        <w:rPr>
          <w:rFonts w:hint="eastAsia" w:ascii="仿宋" w:hAnsi="仿宋" w:eastAsia="仿宋" w:cs="仿宋"/>
          <w:sz w:val="24"/>
          <w:szCs w:val="24"/>
          <w:highlight w:val="none"/>
          <w:lang w:val="en-US" w:eastAsia="zh-CN"/>
        </w:rPr>
        <w:t>得2分</w:t>
      </w:r>
      <w:r>
        <w:rPr>
          <w:rFonts w:hint="eastAsia" w:ascii="仿宋" w:hAnsi="仿宋" w:eastAsia="仿宋" w:cs="仿宋"/>
          <w:sz w:val="24"/>
          <w:szCs w:val="24"/>
          <w:highlight w:val="none"/>
          <w:lang w:val="zh-CN" w:eastAsia="zh-CN"/>
        </w:rPr>
        <w:t>。</w:t>
      </w:r>
    </w:p>
    <w:p w14:paraId="53455B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86" w:name="_Toc184981068"/>
      <w:bookmarkStart w:id="187" w:name="_Toc184981306"/>
      <w:bookmarkStart w:id="188" w:name="_Toc7228"/>
      <w:bookmarkStart w:id="189" w:name="_Toc13042"/>
      <w:bookmarkStart w:id="190" w:name="_Toc24550"/>
      <w:r>
        <w:rPr>
          <w:rFonts w:hint="eastAsia" w:ascii="仿宋" w:hAnsi="仿宋" w:eastAsia="仿宋" w:cs="仿宋"/>
          <w:b/>
          <w:bCs/>
          <w:sz w:val="24"/>
          <w:szCs w:val="24"/>
          <w:highlight w:val="none"/>
        </w:rPr>
        <w:t>（二）项目过程情况</w:t>
      </w:r>
      <w:bookmarkEnd w:id="186"/>
      <w:bookmarkEnd w:id="187"/>
      <w:r>
        <w:rPr>
          <w:rFonts w:hint="eastAsia" w:ascii="仿宋" w:hAnsi="仿宋" w:eastAsia="仿宋" w:cs="仿宋"/>
          <w:b/>
          <w:bCs/>
          <w:sz w:val="24"/>
          <w:szCs w:val="24"/>
          <w:highlight w:val="none"/>
          <w:lang w:val="zh-CN" w:eastAsia="zh-CN"/>
        </w:rPr>
        <w:t>（</w:t>
      </w:r>
      <w:r>
        <w:rPr>
          <w:rFonts w:hint="eastAsia" w:ascii="仿宋" w:hAnsi="仿宋" w:eastAsia="仿宋" w:cs="仿宋"/>
          <w:b/>
          <w:bCs/>
          <w:sz w:val="24"/>
          <w:szCs w:val="24"/>
          <w:highlight w:val="none"/>
          <w:lang w:val="en-US" w:eastAsia="zh-CN"/>
        </w:rPr>
        <w:t>分值</w:t>
      </w:r>
      <w:r>
        <w:rPr>
          <w:rFonts w:hint="eastAsia" w:ascii="仿宋" w:hAnsi="仿宋" w:eastAsia="仿宋" w:cs="仿宋"/>
          <w:b/>
          <w:bCs/>
          <w:sz w:val="24"/>
          <w:szCs w:val="24"/>
          <w:highlight w:val="none"/>
          <w:lang w:val="zh-CN" w:eastAsia="zh-CN"/>
        </w:rPr>
        <w:t>1</w:t>
      </w:r>
      <w:r>
        <w:rPr>
          <w:rFonts w:hint="eastAsia" w:ascii="仿宋" w:hAnsi="仿宋" w:eastAsia="仿宋" w:cs="仿宋"/>
          <w:b/>
          <w:bCs/>
          <w:sz w:val="24"/>
          <w:szCs w:val="24"/>
          <w:highlight w:val="none"/>
          <w:lang w:val="en-US" w:eastAsia="zh-CN"/>
        </w:rPr>
        <w:t>8</w:t>
      </w:r>
      <w:r>
        <w:rPr>
          <w:rFonts w:hint="eastAsia" w:ascii="仿宋" w:hAnsi="仿宋" w:eastAsia="仿宋" w:cs="仿宋"/>
          <w:b/>
          <w:bCs/>
          <w:sz w:val="24"/>
          <w:szCs w:val="24"/>
          <w:highlight w:val="none"/>
          <w:lang w:val="zh-CN" w:eastAsia="zh-CN"/>
        </w:rPr>
        <w:t>分，得</w:t>
      </w:r>
      <w:r>
        <w:rPr>
          <w:rFonts w:hint="eastAsia" w:ascii="仿宋" w:hAnsi="仿宋" w:eastAsia="仿宋" w:cs="仿宋"/>
          <w:b/>
          <w:bCs/>
          <w:sz w:val="24"/>
          <w:szCs w:val="24"/>
          <w:highlight w:val="none"/>
          <w:lang w:val="en-US" w:eastAsia="zh-CN"/>
        </w:rPr>
        <w:t>17.23</w:t>
      </w:r>
      <w:r>
        <w:rPr>
          <w:rFonts w:hint="eastAsia" w:ascii="仿宋" w:hAnsi="仿宋" w:eastAsia="仿宋" w:cs="仿宋"/>
          <w:b/>
          <w:bCs/>
          <w:sz w:val="24"/>
          <w:szCs w:val="24"/>
          <w:highlight w:val="none"/>
          <w:lang w:val="zh-CN" w:eastAsia="zh-CN"/>
        </w:rPr>
        <w:t>分）</w:t>
      </w:r>
      <w:bookmarkEnd w:id="188"/>
      <w:bookmarkEnd w:id="189"/>
      <w:bookmarkEnd w:id="190"/>
    </w:p>
    <w:p w14:paraId="47C8E2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1.资金管理（</w:t>
      </w:r>
      <w:r>
        <w:rPr>
          <w:rFonts w:hint="eastAsia" w:ascii="仿宋" w:hAnsi="仿宋" w:eastAsia="仿宋" w:cs="仿宋"/>
          <w:sz w:val="24"/>
          <w:szCs w:val="24"/>
          <w:highlight w:val="none"/>
          <w:lang w:val="en-US" w:eastAsia="zh-CN"/>
        </w:rPr>
        <w:t>分值9</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8.23</w:t>
      </w:r>
      <w:r>
        <w:rPr>
          <w:rFonts w:hint="eastAsia" w:ascii="仿宋" w:hAnsi="仿宋" w:eastAsia="仿宋" w:cs="仿宋"/>
          <w:sz w:val="24"/>
          <w:szCs w:val="24"/>
          <w:highlight w:val="none"/>
          <w:lang w:val="zh-CN" w:eastAsia="zh-CN"/>
        </w:rPr>
        <w:t>分）</w:t>
      </w:r>
    </w:p>
    <w:p w14:paraId="5F4C84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（1）资金到位率（</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3分，得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分）</w:t>
      </w:r>
    </w:p>
    <w:p w14:paraId="68C80D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“资金到位率”用于评价项目实施年度财政资金到位情况。202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市自然灾害应急能力提升工程经费计划投入资金</w:t>
      </w:r>
      <w:r>
        <w:rPr>
          <w:rFonts w:hint="eastAsia" w:ascii="仿宋" w:hAnsi="仿宋" w:eastAsia="仿宋" w:cs="仿宋"/>
          <w:sz w:val="24"/>
          <w:szCs w:val="24"/>
          <w:highlight w:val="none"/>
          <w:lang w:val="en-US" w:eastAsia="zh-CN"/>
        </w:rPr>
        <w:t>1003.568</w:t>
      </w:r>
      <w:r>
        <w:rPr>
          <w:rFonts w:hint="eastAsia" w:ascii="仿宋" w:hAnsi="仿宋" w:eastAsia="仿宋" w:cs="仿宋"/>
          <w:sz w:val="24"/>
          <w:szCs w:val="24"/>
          <w:highlight w:val="none"/>
          <w:lang w:val="zh-CN" w:eastAsia="zh-CN"/>
        </w:rPr>
        <w:t>万元，实际到位</w:t>
      </w:r>
      <w:r>
        <w:rPr>
          <w:rFonts w:hint="eastAsia" w:ascii="仿宋" w:hAnsi="仿宋" w:eastAsia="仿宋" w:cs="仿宋"/>
          <w:sz w:val="24"/>
          <w:szCs w:val="24"/>
          <w:highlight w:val="none"/>
          <w:lang w:val="en-US" w:eastAsia="zh-CN"/>
        </w:rPr>
        <w:t>1003.568</w:t>
      </w:r>
      <w:r>
        <w:rPr>
          <w:rFonts w:hint="eastAsia" w:ascii="仿宋" w:hAnsi="仿宋" w:eastAsia="仿宋" w:cs="仿宋"/>
          <w:sz w:val="24"/>
          <w:szCs w:val="24"/>
          <w:highlight w:val="none"/>
          <w:lang w:val="zh-CN" w:eastAsia="zh-CN"/>
        </w:rPr>
        <w:t>万元，资金到位率10</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lang w:val="zh-CN" w:eastAsia="zh-CN"/>
        </w:rPr>
        <w:t>%。该指标</w:t>
      </w:r>
      <w:r>
        <w:rPr>
          <w:rFonts w:hint="eastAsia" w:ascii="仿宋" w:hAnsi="仿宋" w:eastAsia="仿宋" w:cs="仿宋"/>
          <w:sz w:val="24"/>
          <w:szCs w:val="24"/>
          <w:highlight w:val="none"/>
          <w:lang w:val="en-US" w:eastAsia="zh-CN"/>
        </w:rPr>
        <w:t>不扣分</w:t>
      </w:r>
      <w:r>
        <w:rPr>
          <w:rFonts w:hint="eastAsia" w:ascii="仿宋" w:hAnsi="仿宋" w:eastAsia="仿宋" w:cs="仿宋"/>
          <w:sz w:val="24"/>
          <w:szCs w:val="24"/>
          <w:highlight w:val="none"/>
          <w:lang w:val="zh-CN" w:eastAsia="zh-CN"/>
        </w:rPr>
        <w:t>。</w:t>
      </w:r>
    </w:p>
    <w:p w14:paraId="01DE86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（2）预算执行率（</w:t>
      </w:r>
      <w:r>
        <w:rPr>
          <w:rFonts w:hint="eastAsia" w:ascii="仿宋" w:hAnsi="仿宋" w:eastAsia="仿宋" w:cs="仿宋"/>
          <w:sz w:val="24"/>
          <w:szCs w:val="24"/>
          <w:highlight w:val="none"/>
          <w:lang w:val="en-US" w:eastAsia="zh-CN"/>
        </w:rPr>
        <w:t>分值3</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2.23</w:t>
      </w:r>
      <w:r>
        <w:rPr>
          <w:rFonts w:hint="eastAsia" w:ascii="仿宋" w:hAnsi="仿宋" w:eastAsia="仿宋" w:cs="仿宋"/>
          <w:sz w:val="24"/>
          <w:szCs w:val="24"/>
          <w:highlight w:val="none"/>
          <w:lang w:val="zh-CN" w:eastAsia="zh-CN"/>
        </w:rPr>
        <w:t>分）</w:t>
      </w:r>
    </w:p>
    <w:p w14:paraId="56254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“预算执行率”指标用于考察项目实施年度财政资金预算执行率，预算执行率=实际支出资金/实际到位资金×100%。202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市自然灾害应急能力提升工程经费项目实际下达</w:t>
      </w:r>
      <w:r>
        <w:rPr>
          <w:rFonts w:hint="eastAsia" w:ascii="仿宋" w:hAnsi="仿宋" w:eastAsia="仿宋" w:cs="仿宋"/>
          <w:sz w:val="24"/>
          <w:szCs w:val="24"/>
          <w:highlight w:val="none"/>
          <w:lang w:val="en-US" w:eastAsia="zh-CN"/>
        </w:rPr>
        <w:t>1003.568</w:t>
      </w:r>
      <w:r>
        <w:rPr>
          <w:rFonts w:hint="eastAsia" w:ascii="仿宋" w:hAnsi="仿宋" w:eastAsia="仿宋" w:cs="仿宋"/>
          <w:sz w:val="24"/>
          <w:szCs w:val="24"/>
          <w:highlight w:val="none"/>
          <w:lang w:val="zh-CN" w:eastAsia="zh-CN"/>
        </w:rPr>
        <w:t>万元，至</w:t>
      </w:r>
      <w:r>
        <w:rPr>
          <w:rFonts w:hint="eastAsia" w:ascii="仿宋" w:hAnsi="仿宋" w:eastAsia="仿宋" w:cs="仿宋"/>
          <w:sz w:val="24"/>
          <w:szCs w:val="24"/>
          <w:highlight w:val="none"/>
          <w:lang w:val="en-US" w:eastAsia="zh-CN"/>
        </w:rPr>
        <w:t>评价时点已使用747.2998万元，剩余252.9759万元未支付使用</w:t>
      </w:r>
      <w:r>
        <w:rPr>
          <w:rFonts w:hint="eastAsia" w:ascii="仿宋" w:hAnsi="仿宋" w:eastAsia="仿宋" w:cs="仿宋"/>
          <w:sz w:val="24"/>
          <w:szCs w:val="24"/>
          <w:highlight w:val="none"/>
          <w:lang w:val="zh-CN" w:eastAsia="zh-CN"/>
        </w:rPr>
        <w:t>，预算执行率</w:t>
      </w:r>
      <w:r>
        <w:rPr>
          <w:rFonts w:hint="eastAsia" w:ascii="仿宋" w:hAnsi="仿宋" w:eastAsia="仿宋" w:cs="仿宋"/>
          <w:sz w:val="24"/>
          <w:szCs w:val="24"/>
          <w:highlight w:val="none"/>
          <w:lang w:val="en-US" w:eastAsia="zh-CN"/>
        </w:rPr>
        <w:t>74.46</w:t>
      </w:r>
      <w:r>
        <w:rPr>
          <w:rFonts w:hint="eastAsia" w:ascii="仿宋" w:hAnsi="仿宋" w:eastAsia="仿宋" w:cs="仿宋"/>
          <w:sz w:val="24"/>
          <w:szCs w:val="24"/>
          <w:highlight w:val="none"/>
          <w:lang w:val="zh-CN" w:eastAsia="zh-CN"/>
        </w:rPr>
        <w:t>%。根据评分标准，该项指标得</w:t>
      </w:r>
      <w:r>
        <w:rPr>
          <w:rFonts w:hint="eastAsia" w:ascii="仿宋" w:hAnsi="仿宋" w:eastAsia="仿宋" w:cs="仿宋"/>
          <w:sz w:val="24"/>
          <w:szCs w:val="24"/>
          <w:highlight w:val="none"/>
          <w:lang w:val="en-US" w:eastAsia="zh-CN"/>
        </w:rPr>
        <w:t>2.23</w:t>
      </w:r>
      <w:r>
        <w:rPr>
          <w:rFonts w:hint="eastAsia" w:ascii="仿宋" w:hAnsi="仿宋" w:eastAsia="仿宋" w:cs="仿宋"/>
          <w:sz w:val="24"/>
          <w:szCs w:val="24"/>
          <w:highlight w:val="none"/>
          <w:lang w:val="zh-CN" w:eastAsia="zh-CN"/>
        </w:rPr>
        <w:t>分。</w:t>
      </w:r>
    </w:p>
    <w:p w14:paraId="43FB2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（3）资金使用合规性（</w:t>
      </w:r>
      <w:r>
        <w:rPr>
          <w:rFonts w:hint="eastAsia" w:ascii="仿宋" w:hAnsi="仿宋" w:eastAsia="仿宋" w:cs="仿宋"/>
          <w:sz w:val="24"/>
          <w:szCs w:val="24"/>
          <w:highlight w:val="none"/>
          <w:lang w:val="en-US" w:eastAsia="zh-CN"/>
        </w:rPr>
        <w:t>分值3</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分）</w:t>
      </w:r>
    </w:p>
    <w:p w14:paraId="3D0582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“资金使用合规性”指标用于评价资金使用是否违规。评价工作组通过对</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市自然灾害应急能力提升工程经费项目的拨付、使用情况等基本数据</w:t>
      </w:r>
      <w:r>
        <w:rPr>
          <w:rFonts w:hint="eastAsia" w:ascii="仿宋" w:hAnsi="仿宋" w:eastAsia="仿宋" w:cs="仿宋"/>
          <w:sz w:val="24"/>
          <w:szCs w:val="24"/>
          <w:highlight w:val="none"/>
          <w:lang w:val="en-US" w:eastAsia="zh-CN"/>
        </w:rPr>
        <w:t>进行</w:t>
      </w:r>
      <w:r>
        <w:rPr>
          <w:rFonts w:hint="eastAsia" w:ascii="仿宋" w:hAnsi="仿宋" w:eastAsia="仿宋" w:cs="仿宋"/>
          <w:sz w:val="24"/>
          <w:szCs w:val="24"/>
          <w:highlight w:val="none"/>
          <w:lang w:val="zh-CN" w:eastAsia="zh-CN"/>
        </w:rPr>
        <w:t>了解，并实地抽查项目相关的支出材料，未发现专项资金的使用存在不符合相关制度规定的情况，资金符合部门预算批复的用途。工作组未发现资金使用存在挤占、挪用、虚列支出等情况。该项指标得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分。</w:t>
      </w:r>
    </w:p>
    <w:p w14:paraId="0BB392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2.组织实施（</w:t>
      </w:r>
      <w:r>
        <w:rPr>
          <w:rFonts w:hint="eastAsia" w:ascii="仿宋" w:hAnsi="仿宋" w:eastAsia="仿宋" w:cs="仿宋"/>
          <w:sz w:val="24"/>
          <w:szCs w:val="24"/>
          <w:highlight w:val="none"/>
          <w:lang w:val="en-US" w:eastAsia="zh-CN"/>
        </w:rPr>
        <w:t>分值4</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分）</w:t>
      </w:r>
    </w:p>
    <w:p w14:paraId="565BC4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“管理制度健全性</w:t>
      </w:r>
      <w:r>
        <w:rPr>
          <w:rFonts w:hint="eastAsia" w:ascii="仿宋" w:hAnsi="仿宋" w:eastAsia="仿宋" w:cs="仿宋"/>
          <w:sz w:val="24"/>
          <w:szCs w:val="24"/>
          <w:highlight w:val="none"/>
          <w:lang w:val="en-US" w:eastAsia="zh-CN"/>
        </w:rPr>
        <w:t>及</w:t>
      </w:r>
      <w:r>
        <w:rPr>
          <w:rFonts w:hint="eastAsia" w:ascii="仿宋" w:hAnsi="仿宋" w:eastAsia="仿宋" w:cs="仿宋"/>
          <w:sz w:val="24"/>
          <w:szCs w:val="24"/>
          <w:highlight w:val="none"/>
          <w:lang w:val="zh-CN" w:eastAsia="zh-CN"/>
        </w:rPr>
        <w:t>执行有效性”指标评价项目支出是否已制定或具有相应的财务和业务管理制度；管理制度是否合法、合规、完整；</w:t>
      </w:r>
      <w:r>
        <w:rPr>
          <w:rFonts w:hint="eastAsia" w:ascii="仿宋" w:hAnsi="仿宋" w:eastAsia="仿宋" w:cs="仿宋"/>
          <w:sz w:val="24"/>
          <w:szCs w:val="24"/>
          <w:highlight w:val="none"/>
          <w:lang w:val="en-US" w:eastAsia="zh-CN"/>
        </w:rPr>
        <w:t>项目</w:t>
      </w:r>
      <w:r>
        <w:rPr>
          <w:rFonts w:hint="eastAsia" w:ascii="仿宋" w:hAnsi="仿宋" w:eastAsia="仿宋" w:cs="仿宋"/>
          <w:sz w:val="24"/>
          <w:szCs w:val="24"/>
          <w:highlight w:val="none"/>
          <w:lang w:val="zh-CN" w:eastAsia="zh-CN"/>
        </w:rPr>
        <w:t>调整及支出调整手续是否完备；项目合同书、验收报告、技术鉴定等资料是否齐全并及时归档。</w:t>
      </w:r>
    </w:p>
    <w:p w14:paraId="5B2092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eastAsia="zh-CN"/>
        </w:rPr>
        <w:t>年</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市自然灾害应急能力提升工程经费项目</w:t>
      </w:r>
      <w:r>
        <w:rPr>
          <w:rFonts w:hint="eastAsia" w:ascii="仿宋" w:hAnsi="仿宋" w:eastAsia="仿宋" w:cs="仿宋"/>
          <w:sz w:val="24"/>
          <w:szCs w:val="24"/>
          <w:highlight w:val="none"/>
          <w:lang w:val="en-US" w:eastAsia="zh-CN"/>
        </w:rPr>
        <w:t>资金</w:t>
      </w:r>
      <w:r>
        <w:rPr>
          <w:rFonts w:hint="eastAsia" w:ascii="仿宋" w:hAnsi="仿宋" w:eastAsia="仿宋" w:cs="仿宋"/>
          <w:sz w:val="24"/>
          <w:szCs w:val="24"/>
          <w:highlight w:val="none"/>
          <w:lang w:val="zh-CN" w:eastAsia="zh-CN"/>
        </w:rPr>
        <w:t>涉及</w:t>
      </w:r>
      <w:r>
        <w:rPr>
          <w:rFonts w:hint="eastAsia" w:ascii="仿宋" w:hAnsi="仿宋" w:eastAsia="仿宋" w:cs="仿宋"/>
          <w:sz w:val="24"/>
          <w:szCs w:val="24"/>
          <w:highlight w:val="none"/>
          <w:lang w:val="en-US" w:eastAsia="zh-CN"/>
        </w:rPr>
        <w:t>国债资金及县级财政资金</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w:t>
      </w:r>
      <w:r>
        <w:rPr>
          <w:rFonts w:hint="eastAsia" w:ascii="仿宋" w:hAnsi="仿宋" w:eastAsia="仿宋" w:cs="仿宋"/>
          <w:sz w:val="24"/>
          <w:szCs w:val="24"/>
          <w:highlight w:val="none"/>
          <w:lang w:val="en-US" w:eastAsia="zh-CN"/>
        </w:rPr>
        <w:t>应急</w:t>
      </w:r>
      <w:r>
        <w:rPr>
          <w:rFonts w:hint="eastAsia" w:ascii="仿宋" w:hAnsi="仿宋" w:eastAsia="仿宋" w:cs="仿宋"/>
          <w:sz w:val="24"/>
          <w:szCs w:val="24"/>
          <w:highlight w:val="none"/>
          <w:lang w:val="zh-CN" w:eastAsia="zh-CN"/>
        </w:rPr>
        <w:t>管理局</w:t>
      </w:r>
      <w:r>
        <w:rPr>
          <w:rFonts w:hint="eastAsia" w:ascii="仿宋" w:hAnsi="仿宋" w:eastAsia="仿宋" w:cs="仿宋"/>
          <w:sz w:val="24"/>
          <w:szCs w:val="24"/>
          <w:highlight w:val="none"/>
          <w:lang w:val="en-US" w:eastAsia="zh-CN"/>
        </w:rPr>
        <w:t>已建立</w:t>
      </w:r>
      <w:r>
        <w:rPr>
          <w:rFonts w:hint="eastAsia" w:ascii="仿宋" w:hAnsi="仿宋" w:eastAsia="仿宋" w:cs="仿宋"/>
          <w:sz w:val="24"/>
          <w:szCs w:val="24"/>
          <w:highlight w:val="none"/>
          <w:lang w:val="zh-CN" w:eastAsia="zh-CN"/>
        </w:rPr>
        <w:t>相关</w:t>
      </w:r>
      <w:r>
        <w:rPr>
          <w:rFonts w:hint="eastAsia" w:ascii="仿宋" w:hAnsi="仿宋" w:eastAsia="仿宋" w:cs="仿宋"/>
          <w:sz w:val="24"/>
          <w:szCs w:val="24"/>
          <w:highlight w:val="none"/>
          <w:lang w:val="en-US" w:eastAsia="zh-CN"/>
        </w:rPr>
        <w:t>财务、业务</w:t>
      </w:r>
      <w:r>
        <w:rPr>
          <w:rFonts w:hint="eastAsia" w:ascii="仿宋" w:hAnsi="仿宋" w:eastAsia="仿宋" w:cs="仿宋"/>
          <w:sz w:val="24"/>
          <w:szCs w:val="24"/>
          <w:highlight w:val="none"/>
          <w:lang w:val="zh-CN" w:eastAsia="zh-CN"/>
        </w:rPr>
        <w:t>管理制度。通过工作组的实地调研并调阅</w:t>
      </w:r>
      <w:r>
        <w:rPr>
          <w:rFonts w:hint="eastAsia" w:ascii="仿宋" w:hAnsi="仿宋" w:eastAsia="仿宋" w:cs="仿宋"/>
          <w:sz w:val="24"/>
          <w:szCs w:val="24"/>
          <w:highlight w:val="none"/>
          <w:lang w:val="en-US" w:eastAsia="zh-CN"/>
        </w:rPr>
        <w:t>石狮</w:t>
      </w:r>
      <w:r>
        <w:rPr>
          <w:rFonts w:hint="eastAsia" w:ascii="仿宋" w:hAnsi="仿宋" w:eastAsia="仿宋" w:cs="仿宋"/>
          <w:sz w:val="24"/>
          <w:szCs w:val="24"/>
          <w:highlight w:val="none"/>
          <w:lang w:val="zh-CN" w:eastAsia="zh-CN"/>
        </w:rPr>
        <w:t>市自然灾害应急能力提升工程经费项目相关资料，</w:t>
      </w:r>
      <w:r>
        <w:rPr>
          <w:rFonts w:hint="eastAsia" w:ascii="仿宋" w:hAnsi="仿宋" w:eastAsia="仿宋" w:cs="仿宋"/>
          <w:sz w:val="24"/>
          <w:szCs w:val="24"/>
          <w:highlight w:val="none"/>
          <w:lang w:val="en-US" w:eastAsia="zh-CN"/>
        </w:rPr>
        <w:t>项目调整及支出调整手续完备、项目合同书、装备验收材料等均齐全并及时归档</w:t>
      </w:r>
      <w:r>
        <w:rPr>
          <w:rFonts w:hint="eastAsia" w:ascii="仿宋" w:hAnsi="仿宋" w:eastAsia="仿宋" w:cs="仿宋"/>
          <w:sz w:val="24"/>
          <w:szCs w:val="24"/>
          <w:highlight w:val="none"/>
          <w:lang w:val="zh-CN" w:eastAsia="zh-CN"/>
        </w:rPr>
        <w:t>。该项指标</w:t>
      </w:r>
      <w:r>
        <w:rPr>
          <w:rFonts w:hint="eastAsia" w:ascii="仿宋" w:hAnsi="仿宋" w:eastAsia="仿宋" w:cs="仿宋"/>
          <w:sz w:val="24"/>
          <w:szCs w:val="24"/>
          <w:highlight w:val="none"/>
          <w:lang w:val="en-US" w:eastAsia="zh-CN"/>
        </w:rPr>
        <w:t>得4分</w:t>
      </w:r>
      <w:r>
        <w:rPr>
          <w:rFonts w:hint="eastAsia" w:ascii="仿宋" w:hAnsi="仿宋" w:eastAsia="仿宋" w:cs="仿宋"/>
          <w:sz w:val="24"/>
          <w:szCs w:val="24"/>
          <w:highlight w:val="none"/>
          <w:lang w:val="zh-CN" w:eastAsia="zh-CN"/>
        </w:rPr>
        <w:t>。</w:t>
      </w:r>
    </w:p>
    <w:p w14:paraId="21197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.招投标规范性（</w:t>
      </w:r>
      <w:r>
        <w:rPr>
          <w:rFonts w:hint="eastAsia" w:ascii="仿宋" w:hAnsi="仿宋" w:eastAsia="仿宋" w:cs="仿宋"/>
          <w:sz w:val="24"/>
          <w:szCs w:val="24"/>
          <w:highlight w:val="none"/>
          <w:lang w:val="en-US" w:eastAsia="zh-CN"/>
        </w:rPr>
        <w:t>分值5</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zh-CN" w:eastAsia="zh-CN"/>
        </w:rPr>
        <w:t>分）</w:t>
      </w:r>
    </w:p>
    <w:p w14:paraId="3A319B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“招投标规范性”指标用于评价</w:t>
      </w:r>
      <w:r>
        <w:rPr>
          <w:rFonts w:hint="eastAsia" w:ascii="仿宋" w:hAnsi="仿宋" w:eastAsia="仿宋" w:cs="仿宋"/>
          <w:sz w:val="24"/>
          <w:szCs w:val="24"/>
          <w:highlight w:val="none"/>
          <w:lang w:val="en-US" w:eastAsia="zh-CN"/>
        </w:rPr>
        <w:t>该</w:t>
      </w:r>
      <w:r>
        <w:rPr>
          <w:rFonts w:hint="eastAsia" w:ascii="仿宋" w:hAnsi="仿宋" w:eastAsia="仿宋" w:cs="仿宋"/>
          <w:sz w:val="24"/>
          <w:szCs w:val="24"/>
          <w:highlight w:val="none"/>
          <w:lang w:val="zh-CN" w:eastAsia="zh-CN"/>
        </w:rPr>
        <w:t>项目</w:t>
      </w:r>
      <w:r>
        <w:rPr>
          <w:rFonts w:hint="eastAsia" w:ascii="仿宋" w:hAnsi="仿宋" w:eastAsia="仿宋" w:cs="仿宋"/>
          <w:sz w:val="24"/>
          <w:szCs w:val="24"/>
          <w:highlight w:val="none"/>
          <w:lang w:val="en-US" w:eastAsia="zh-CN"/>
        </w:rPr>
        <w:t>新购装备</w:t>
      </w:r>
      <w:r>
        <w:rPr>
          <w:rFonts w:hint="eastAsia" w:ascii="仿宋" w:hAnsi="仿宋" w:eastAsia="仿宋" w:cs="仿宋"/>
          <w:sz w:val="24"/>
          <w:szCs w:val="24"/>
          <w:highlight w:val="none"/>
          <w:lang w:val="zh-CN" w:eastAsia="zh-CN"/>
        </w:rPr>
        <w:t>技术参数合规性、中标结果匹配度、</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lang w:val="zh-CN" w:eastAsia="zh-CN"/>
        </w:rPr>
        <w:t>竞争充分性。</w:t>
      </w:r>
    </w:p>
    <w:p w14:paraId="250217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经工作组查阅相关文件资料，项目招标文件技术参数符合国家级/行业标准，部分装备技术参数有调整；</w:t>
      </w:r>
      <w:r>
        <w:rPr>
          <w:rFonts w:hint="eastAsia" w:ascii="仿宋" w:hAnsi="仿宋" w:eastAsia="仿宋" w:cs="仿宋"/>
          <w:sz w:val="24"/>
          <w:highlight w:val="none"/>
        </w:rPr>
        <w:t>中标企业技术响应与招标文件技术参数</w:t>
      </w:r>
      <w:r>
        <w:rPr>
          <w:rFonts w:hint="eastAsia" w:ascii="仿宋" w:hAnsi="仿宋" w:eastAsia="仿宋" w:cs="仿宋"/>
          <w:sz w:val="24"/>
          <w:highlight w:val="none"/>
          <w:lang w:val="en-US" w:eastAsia="zh-CN"/>
        </w:rPr>
        <w:t>较为</w:t>
      </w:r>
      <w:r>
        <w:rPr>
          <w:rFonts w:hint="eastAsia" w:ascii="仿宋" w:hAnsi="仿宋" w:eastAsia="仿宋" w:cs="仿宋"/>
          <w:sz w:val="24"/>
          <w:highlight w:val="none"/>
        </w:rPr>
        <w:t>吻合，经资质审查入围供应商</w:t>
      </w:r>
      <w:r>
        <w:rPr>
          <w:rFonts w:hint="eastAsia" w:ascii="仿宋" w:hAnsi="仿宋" w:eastAsia="仿宋" w:cs="仿宋"/>
          <w:sz w:val="24"/>
          <w:highlight w:val="none"/>
          <w:lang w:eastAsia="zh-CN"/>
        </w:rPr>
        <w:t>（</w:t>
      </w:r>
      <w:r>
        <w:rPr>
          <w:rFonts w:hint="eastAsia" w:ascii="仿宋" w:hAnsi="仿宋" w:eastAsia="仿宋" w:cs="仿宋"/>
          <w:sz w:val="24"/>
          <w:highlight w:val="none"/>
        </w:rPr>
        <w:t>福州</w:t>
      </w:r>
      <w:r>
        <w:rPr>
          <w:rFonts w:hint="eastAsia" w:ascii="仿宋" w:hAnsi="仿宋" w:eastAsia="仿宋" w:cs="仿宋"/>
          <w:sz w:val="24"/>
          <w:highlight w:val="none"/>
          <w:lang w:val="en-US" w:eastAsia="zh-CN"/>
        </w:rPr>
        <w:t>某</w:t>
      </w:r>
      <w:r>
        <w:rPr>
          <w:rFonts w:hint="eastAsia" w:ascii="仿宋" w:hAnsi="仿宋" w:eastAsia="仿宋" w:cs="仿宋"/>
          <w:sz w:val="24"/>
          <w:highlight w:val="none"/>
        </w:rPr>
        <w:t>纺织品有限公司</w:t>
      </w:r>
      <w:r>
        <w:rPr>
          <w:rFonts w:hint="eastAsia" w:ascii="仿宋" w:hAnsi="仿宋" w:eastAsia="仿宋" w:cs="仿宋"/>
          <w:sz w:val="24"/>
          <w:highlight w:val="none"/>
          <w:lang w:eastAsia="zh-CN"/>
        </w:rPr>
        <w:t>、福建</w:t>
      </w:r>
      <w:r>
        <w:rPr>
          <w:rFonts w:hint="eastAsia" w:ascii="仿宋" w:hAnsi="仿宋" w:eastAsia="仿宋" w:cs="仿宋"/>
          <w:sz w:val="24"/>
          <w:highlight w:val="none"/>
          <w:lang w:val="en-US" w:eastAsia="zh-CN"/>
        </w:rPr>
        <w:t>某</w:t>
      </w:r>
      <w:r>
        <w:rPr>
          <w:rFonts w:hint="eastAsia" w:ascii="仿宋" w:hAnsi="仿宋" w:eastAsia="仿宋" w:cs="仿宋"/>
          <w:sz w:val="24"/>
          <w:highlight w:val="none"/>
          <w:lang w:eastAsia="zh-CN"/>
        </w:rPr>
        <w:t>家居用品有限公司）</w:t>
      </w:r>
      <w:r>
        <w:rPr>
          <w:rFonts w:hint="eastAsia" w:ascii="仿宋" w:hAnsi="仿宋" w:eastAsia="仿宋" w:cs="仿宋"/>
          <w:sz w:val="24"/>
          <w:highlight w:val="none"/>
        </w:rPr>
        <w:t>报价相近</w:t>
      </w:r>
      <w:r>
        <w:rPr>
          <w:rFonts w:hint="eastAsia" w:ascii="仿宋" w:hAnsi="仿宋" w:eastAsia="仿宋" w:cs="仿宋"/>
          <w:sz w:val="24"/>
          <w:szCs w:val="24"/>
          <w:highlight w:val="none"/>
          <w:lang w:val="en-US" w:eastAsia="zh-CN"/>
        </w:rPr>
        <w:t>；有效投标人总数量：6家。综上，</w:t>
      </w:r>
      <w:r>
        <w:rPr>
          <w:rFonts w:hint="eastAsia" w:ascii="仿宋" w:hAnsi="仿宋" w:eastAsia="仿宋" w:cs="仿宋"/>
          <w:sz w:val="24"/>
          <w:szCs w:val="24"/>
          <w:highlight w:val="none"/>
          <w:lang w:val="zh-CN" w:eastAsia="zh-CN"/>
        </w:rPr>
        <w:t>该项指标</w:t>
      </w:r>
      <w:r>
        <w:rPr>
          <w:rFonts w:hint="eastAsia" w:ascii="仿宋" w:hAnsi="仿宋" w:eastAsia="仿宋" w:cs="仿宋"/>
          <w:sz w:val="24"/>
          <w:szCs w:val="24"/>
          <w:highlight w:val="none"/>
          <w:lang w:val="en-US" w:eastAsia="zh-CN"/>
        </w:rPr>
        <w:t>得5分</w:t>
      </w:r>
      <w:r>
        <w:rPr>
          <w:rFonts w:hint="eastAsia" w:ascii="仿宋" w:hAnsi="仿宋" w:eastAsia="仿宋" w:cs="仿宋"/>
          <w:sz w:val="24"/>
          <w:szCs w:val="24"/>
          <w:highlight w:val="none"/>
          <w:lang w:val="zh-CN" w:eastAsia="zh-CN"/>
        </w:rPr>
        <w:t>。</w:t>
      </w:r>
    </w:p>
    <w:p w14:paraId="5AA484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91" w:name="_Toc184981307"/>
      <w:bookmarkStart w:id="192" w:name="_Toc184981069"/>
      <w:bookmarkStart w:id="193" w:name="_Toc19065"/>
      <w:bookmarkStart w:id="194" w:name="_Toc8999"/>
      <w:bookmarkStart w:id="195" w:name="_Toc30394"/>
      <w:r>
        <w:rPr>
          <w:rFonts w:hint="eastAsia" w:ascii="仿宋" w:hAnsi="仿宋" w:eastAsia="仿宋" w:cs="仿宋"/>
          <w:b/>
          <w:bCs/>
          <w:sz w:val="24"/>
          <w:szCs w:val="24"/>
          <w:highlight w:val="none"/>
        </w:rPr>
        <w:t>（三）项目产出情况</w:t>
      </w:r>
      <w:bookmarkEnd w:id="191"/>
      <w:bookmarkEnd w:id="192"/>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分值</w:t>
      </w:r>
      <w:r>
        <w:rPr>
          <w:rFonts w:hint="eastAsia" w:ascii="仿宋" w:hAnsi="仿宋" w:eastAsia="仿宋" w:cs="仿宋"/>
          <w:b/>
          <w:bCs/>
          <w:sz w:val="24"/>
          <w:szCs w:val="24"/>
          <w:highlight w:val="none"/>
        </w:rPr>
        <w:t>3</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分，得2</w:t>
      </w:r>
      <w:r>
        <w:rPr>
          <w:rFonts w:hint="eastAsia" w:ascii="仿宋" w:hAnsi="仿宋" w:eastAsia="仿宋" w:cs="仿宋"/>
          <w:b/>
          <w:bCs/>
          <w:sz w:val="24"/>
          <w:szCs w:val="24"/>
          <w:highlight w:val="none"/>
          <w:lang w:val="en-US" w:eastAsia="zh-CN"/>
        </w:rPr>
        <w:t>4</w:t>
      </w:r>
      <w:r>
        <w:rPr>
          <w:rFonts w:hint="eastAsia" w:ascii="仿宋" w:hAnsi="仿宋" w:eastAsia="仿宋" w:cs="仿宋"/>
          <w:b/>
          <w:bCs/>
          <w:sz w:val="24"/>
          <w:szCs w:val="24"/>
          <w:highlight w:val="none"/>
        </w:rPr>
        <w:t>分）</w:t>
      </w:r>
      <w:bookmarkEnd w:id="193"/>
      <w:bookmarkEnd w:id="194"/>
      <w:bookmarkEnd w:id="195"/>
    </w:p>
    <w:p w14:paraId="673A45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1.产出数量（</w:t>
      </w:r>
      <w:r>
        <w:rPr>
          <w:rFonts w:hint="eastAsia" w:ascii="仿宋" w:hAnsi="仿宋" w:eastAsia="仿宋" w:cs="仿宋"/>
          <w:sz w:val="24"/>
          <w:szCs w:val="24"/>
          <w:highlight w:val="none"/>
          <w:lang w:val="en-US" w:eastAsia="zh-CN"/>
        </w:rPr>
        <w:t>分值6</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val="zh-CN" w:eastAsia="zh-CN"/>
        </w:rPr>
        <w:t>分）</w:t>
      </w:r>
    </w:p>
    <w:p w14:paraId="7BB51A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基层防灾、预警指挥装备配备完成</w:t>
      </w:r>
      <w:r>
        <w:rPr>
          <w:rFonts w:hint="eastAsia" w:ascii="仿宋" w:hAnsi="仿宋" w:eastAsia="仿宋" w:cs="仿宋"/>
          <w:sz w:val="24"/>
          <w:szCs w:val="24"/>
          <w:highlight w:val="none"/>
          <w:lang w:val="en-US" w:eastAsia="zh-CN"/>
        </w:rPr>
        <w:t>情况</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分值6</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val="zh-CN" w:eastAsia="zh-CN"/>
        </w:rPr>
        <w:t>分）</w:t>
      </w:r>
    </w:p>
    <w:p w14:paraId="740CDF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本指标的评分根据市级、镇级综合应急救援队伍森林草原火灾、水域救援综合保障类装备配备完成情况进行考核。</w:t>
      </w:r>
      <w:r>
        <w:rPr>
          <w:rFonts w:hint="eastAsia" w:ascii="仿宋" w:hAnsi="仿宋" w:eastAsia="仿宋" w:cs="仿宋"/>
          <w:sz w:val="24"/>
          <w:szCs w:val="24"/>
          <w:highlight w:val="none"/>
          <w:lang w:val="en-US" w:eastAsia="zh-CN"/>
        </w:rPr>
        <w:t>截至2025年3月，基层防灾救援装备（含二次采购）及预警指挥装备设备均已采购到位并完成验收或安装调试。</w:t>
      </w:r>
      <w:r>
        <w:rPr>
          <w:rFonts w:hint="eastAsia" w:ascii="仿宋" w:hAnsi="仿宋" w:eastAsia="仿宋" w:cs="仿宋"/>
          <w:sz w:val="24"/>
          <w:szCs w:val="24"/>
          <w:highlight w:val="none"/>
          <w:lang w:val="zh-CN" w:eastAsia="zh-CN"/>
        </w:rPr>
        <w:t>该项指标</w:t>
      </w:r>
      <w:r>
        <w:rPr>
          <w:rFonts w:hint="eastAsia" w:ascii="仿宋" w:hAnsi="仿宋" w:eastAsia="仿宋" w:cs="仿宋"/>
          <w:sz w:val="24"/>
          <w:szCs w:val="24"/>
          <w:highlight w:val="none"/>
          <w:lang w:val="en-US" w:eastAsia="zh-CN"/>
        </w:rPr>
        <w:t>得6分</w:t>
      </w:r>
      <w:r>
        <w:rPr>
          <w:rFonts w:hint="eastAsia" w:ascii="仿宋" w:hAnsi="仿宋" w:eastAsia="仿宋" w:cs="仿宋"/>
          <w:sz w:val="24"/>
          <w:szCs w:val="24"/>
          <w:highlight w:val="none"/>
          <w:lang w:val="zh-CN" w:eastAsia="zh-CN"/>
        </w:rPr>
        <w:t>。</w:t>
      </w:r>
    </w:p>
    <w:p w14:paraId="0288587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产出质量（分值12分，得1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309C96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eastAsia="zh-CN"/>
        </w:rPr>
        <w:t>本指标的评分根据</w:t>
      </w:r>
      <w:r>
        <w:rPr>
          <w:rFonts w:hint="eastAsia" w:ascii="仿宋" w:hAnsi="仿宋" w:eastAsia="仿宋" w:cs="仿宋"/>
          <w:sz w:val="24"/>
          <w:szCs w:val="24"/>
          <w:highlight w:val="none"/>
          <w:lang w:val="en-US" w:eastAsia="zh-CN"/>
        </w:rPr>
        <w:t>该项目相关物资装备实用性及验收合格率、应急救援任务完成率情况、救援队伍季度拉练完成情况进行评价。</w:t>
      </w:r>
    </w:p>
    <w:p w14:paraId="45FAF189">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物资装备验收合格率及实用性（分值4</w:t>
      </w:r>
      <w:r>
        <w:rPr>
          <w:rFonts w:hint="eastAsia" w:ascii="仿宋" w:hAnsi="仿宋" w:eastAsia="仿宋" w:cs="仿宋"/>
          <w:sz w:val="24"/>
          <w:szCs w:val="24"/>
          <w:highlight w:val="none"/>
          <w:lang w:val="zh-CN" w:eastAsia="zh-CN"/>
        </w:rPr>
        <w:t>分，</w:t>
      </w:r>
      <w:r>
        <w:rPr>
          <w:rFonts w:hint="eastAsia" w:ascii="仿宋" w:hAnsi="仿宋" w:eastAsia="仿宋" w:cs="仿宋"/>
          <w:sz w:val="24"/>
          <w:szCs w:val="24"/>
          <w:highlight w:val="none"/>
          <w:lang w:val="en-US" w:eastAsia="zh-CN"/>
        </w:rPr>
        <w:t>得4分）</w:t>
      </w:r>
    </w:p>
    <w:p w14:paraId="0947A2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基层防灾救援装备方面，装备经有关专家验收，均符合招标文件要求，验收合格，预警指挥装备方面，火险因子、视频监控设备、指挥调度系统已完成初步验收，待完成最终验收；根据回收问卷的后台数据显示，本次所采购装备的性能均完全（或基本）满足实际救援需求。综上，</w:t>
      </w:r>
      <w:r>
        <w:rPr>
          <w:rFonts w:hint="eastAsia" w:ascii="仿宋" w:hAnsi="仿宋" w:eastAsia="仿宋" w:cs="仿宋"/>
          <w:sz w:val="24"/>
          <w:highlight w:val="none"/>
          <w:lang w:val="zh-CN"/>
        </w:rPr>
        <w:t>该项指标得4分</w:t>
      </w:r>
      <w:r>
        <w:rPr>
          <w:rFonts w:hint="eastAsia" w:ascii="仿宋" w:hAnsi="仿宋" w:eastAsia="仿宋" w:cs="仿宋"/>
          <w:sz w:val="24"/>
          <w:szCs w:val="24"/>
          <w:highlight w:val="none"/>
          <w:lang w:val="zh-CN" w:eastAsia="zh-CN"/>
        </w:rPr>
        <w:t>。</w:t>
      </w:r>
    </w:p>
    <w:p w14:paraId="1A30A01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应急救援任务完成率情况（分值4</w:t>
      </w:r>
      <w:r>
        <w:rPr>
          <w:rFonts w:hint="eastAsia" w:ascii="仿宋" w:hAnsi="仿宋" w:eastAsia="仿宋" w:cs="仿宋"/>
          <w:sz w:val="24"/>
          <w:szCs w:val="24"/>
          <w:highlight w:val="none"/>
          <w:lang w:val="zh-CN" w:eastAsia="zh-CN"/>
        </w:rPr>
        <w:t>分，</w:t>
      </w:r>
      <w:r>
        <w:rPr>
          <w:rFonts w:hint="eastAsia" w:ascii="仿宋" w:hAnsi="仿宋" w:eastAsia="仿宋" w:cs="仿宋"/>
          <w:sz w:val="24"/>
          <w:szCs w:val="24"/>
          <w:highlight w:val="none"/>
          <w:lang w:val="en-US" w:eastAsia="zh-CN"/>
        </w:rPr>
        <w:t>得4分）</w:t>
      </w:r>
    </w:p>
    <w:p w14:paraId="657307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经现场走访交流及官方网站资料查询得知，石狮市2024年辖区内未发生较大森林火灾等灾情，偶有小型火灾，多因野外用火（如祭祀、农事烧荒）或游客丢弃烟头引发，均被快速扑灭，应急救援任务工作成效较好。</w:t>
      </w:r>
      <w:r>
        <w:rPr>
          <w:rFonts w:hint="eastAsia" w:ascii="仿宋" w:hAnsi="仿宋" w:eastAsia="仿宋" w:cs="仿宋"/>
          <w:sz w:val="24"/>
          <w:szCs w:val="24"/>
          <w:highlight w:val="none"/>
          <w:lang w:val="zh-CN" w:eastAsia="zh-CN"/>
        </w:rPr>
        <w:t>该项指标</w:t>
      </w:r>
      <w:r>
        <w:rPr>
          <w:rFonts w:hint="eastAsia" w:ascii="仿宋" w:hAnsi="仿宋" w:eastAsia="仿宋" w:cs="仿宋"/>
          <w:sz w:val="24"/>
          <w:szCs w:val="24"/>
          <w:highlight w:val="none"/>
          <w:lang w:val="en-US" w:eastAsia="zh-CN"/>
        </w:rPr>
        <w:t>得4分</w:t>
      </w:r>
      <w:r>
        <w:rPr>
          <w:rFonts w:hint="eastAsia" w:ascii="仿宋" w:hAnsi="仿宋" w:eastAsia="仿宋" w:cs="仿宋"/>
          <w:sz w:val="24"/>
          <w:szCs w:val="24"/>
          <w:highlight w:val="none"/>
          <w:lang w:val="zh-CN" w:eastAsia="zh-CN"/>
        </w:rPr>
        <w:t>。</w:t>
      </w:r>
    </w:p>
    <w:p w14:paraId="67AB03B7">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救援队伍季度拉练完成情况（分值4</w:t>
      </w:r>
      <w:r>
        <w:rPr>
          <w:rFonts w:hint="eastAsia" w:ascii="仿宋" w:hAnsi="仿宋" w:eastAsia="仿宋" w:cs="仿宋"/>
          <w:sz w:val="24"/>
          <w:szCs w:val="24"/>
          <w:highlight w:val="none"/>
          <w:lang w:val="zh-CN" w:eastAsia="zh-CN"/>
        </w:rPr>
        <w:t>分，</w:t>
      </w:r>
      <w:r>
        <w:rPr>
          <w:rFonts w:hint="eastAsia" w:ascii="仿宋" w:hAnsi="仿宋" w:eastAsia="仿宋" w:cs="仿宋"/>
          <w:sz w:val="24"/>
          <w:szCs w:val="24"/>
          <w:highlight w:val="none"/>
          <w:lang w:val="en-US" w:eastAsia="zh-CN"/>
        </w:rPr>
        <w:t>得4分）</w:t>
      </w:r>
    </w:p>
    <w:p w14:paraId="51D7EF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2023年，石狮市森林防灭火指挥部出台加强救援队伍管理的有关文件，其中明确各乡镇（街道）救援队季度拉练计划。经绩效评价工作组现场调研，所抽检队伍均积极响应文件精神，提高自身应急指挥、组织协调及火灾控制能力，切实完成季（年）度拉练计划。</w:t>
      </w:r>
      <w:r>
        <w:rPr>
          <w:rFonts w:hint="eastAsia" w:ascii="仿宋" w:hAnsi="仿宋" w:eastAsia="仿宋" w:cs="仿宋"/>
          <w:sz w:val="24"/>
          <w:szCs w:val="24"/>
          <w:highlight w:val="none"/>
          <w:lang w:val="zh-CN" w:eastAsia="zh-CN"/>
        </w:rPr>
        <w:t>该项指标</w:t>
      </w:r>
      <w:r>
        <w:rPr>
          <w:rFonts w:hint="eastAsia" w:ascii="仿宋" w:hAnsi="仿宋" w:eastAsia="仿宋" w:cs="仿宋"/>
          <w:sz w:val="24"/>
          <w:szCs w:val="24"/>
          <w:highlight w:val="none"/>
          <w:lang w:val="en-US" w:eastAsia="zh-CN"/>
        </w:rPr>
        <w:t>得4分</w:t>
      </w:r>
      <w:r>
        <w:rPr>
          <w:rFonts w:hint="eastAsia" w:ascii="仿宋" w:hAnsi="仿宋" w:eastAsia="仿宋" w:cs="仿宋"/>
          <w:sz w:val="24"/>
          <w:szCs w:val="24"/>
          <w:highlight w:val="none"/>
          <w:lang w:val="zh-CN" w:eastAsia="zh-CN"/>
        </w:rPr>
        <w:t>。</w:t>
      </w:r>
    </w:p>
    <w:p w14:paraId="7962F60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产出时效（</w:t>
      </w:r>
      <w:r>
        <w:rPr>
          <w:rFonts w:hint="eastAsia" w:ascii="仿宋" w:hAnsi="仿宋" w:eastAsia="仿宋" w:cs="仿宋"/>
          <w:sz w:val="24"/>
          <w:szCs w:val="24"/>
          <w:highlight w:val="none"/>
          <w:lang w:val="en-US" w:eastAsia="zh-CN"/>
        </w:rPr>
        <w:t>分值10</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zh-CN" w:eastAsia="zh-CN"/>
        </w:rPr>
        <w:t>分）</w:t>
      </w:r>
    </w:p>
    <w:p w14:paraId="2152587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物资装备补充按时完成率（分值6</w:t>
      </w:r>
      <w:r>
        <w:rPr>
          <w:rFonts w:hint="eastAsia" w:ascii="仿宋" w:hAnsi="仿宋" w:eastAsia="仿宋" w:cs="仿宋"/>
          <w:sz w:val="24"/>
          <w:szCs w:val="24"/>
          <w:highlight w:val="none"/>
          <w:lang w:val="zh-CN" w:eastAsia="zh-CN"/>
        </w:rPr>
        <w:t>分，</w:t>
      </w:r>
      <w:r>
        <w:rPr>
          <w:rFonts w:hint="eastAsia" w:ascii="仿宋" w:hAnsi="仿宋" w:eastAsia="仿宋" w:cs="仿宋"/>
          <w:sz w:val="24"/>
          <w:szCs w:val="24"/>
          <w:highlight w:val="none"/>
          <w:lang w:val="en-US" w:eastAsia="zh-CN"/>
        </w:rPr>
        <w:t>得3分）</w:t>
      </w:r>
    </w:p>
    <w:p w14:paraId="2B8BB4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基层防灾项目方面，装备先后经二次采购，第二次采购时间为2024年12月，次年3月完成装备验收工作，不符合《石狮市自然灾害应急能力提升工程基层防灾项目实施工作方案》中项目进度要求；预警指挥项目方面，标的设备均已采购到位并完成验收或安装调试，但部分设备暂未完成终验，相关账号未交付于主管部门，完成进度较滞后。综上，</w:t>
      </w:r>
      <w:r>
        <w:rPr>
          <w:rFonts w:hint="eastAsia" w:ascii="仿宋" w:hAnsi="仿宋" w:eastAsia="仿宋" w:cs="仿宋"/>
          <w:sz w:val="24"/>
          <w:szCs w:val="24"/>
          <w:highlight w:val="none"/>
          <w:lang w:val="zh-CN" w:eastAsia="zh-CN"/>
        </w:rPr>
        <w:t>该项指标扣</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分。</w:t>
      </w:r>
    </w:p>
    <w:p w14:paraId="7D86D42E">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灾害预警响应时间的提升情况（分值4</w:t>
      </w:r>
      <w:r>
        <w:rPr>
          <w:rFonts w:hint="eastAsia" w:ascii="仿宋" w:hAnsi="仿宋" w:eastAsia="仿宋" w:cs="仿宋"/>
          <w:sz w:val="24"/>
          <w:szCs w:val="24"/>
          <w:highlight w:val="none"/>
          <w:lang w:val="zh-CN" w:eastAsia="zh-CN"/>
        </w:rPr>
        <w:t>分，</w:t>
      </w:r>
      <w:r>
        <w:rPr>
          <w:rFonts w:hint="eastAsia" w:ascii="仿宋" w:hAnsi="仿宋" w:eastAsia="仿宋" w:cs="仿宋"/>
          <w:sz w:val="24"/>
          <w:szCs w:val="24"/>
          <w:highlight w:val="none"/>
          <w:lang w:val="en-US" w:eastAsia="zh-CN"/>
        </w:rPr>
        <w:t>得2分）</w:t>
      </w:r>
    </w:p>
    <w:p w14:paraId="2514AC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评价项目日常训练或应急救援行动预警响应时间提升情况。以应急响应信息送达时间为核心指标，送达≤5分钟（参照《应急叫应系统地方建设任务书》要求）。经工作组现场调研了解，应急响应信息送达最终端为石狮市应急管理局，如遇险情，灾情信息需逐级通知传递至村（社区），且部分</w:t>
      </w:r>
      <w:r>
        <w:rPr>
          <w:rFonts w:hint="eastAsia" w:ascii="仿宋" w:hAnsi="仿宋" w:eastAsia="仿宋" w:cs="仿宋"/>
          <w:sz w:val="24"/>
          <w:highlight w:val="none"/>
        </w:rPr>
        <w:t>基层终端设备配备不足，在未配备专业设备的村居，信息传递仍依赖传统的人工电话通知或村干部逐户传达方式</w:t>
      </w:r>
      <w:r>
        <w:rPr>
          <w:rFonts w:hint="eastAsia" w:ascii="仿宋" w:hAnsi="仿宋" w:eastAsia="仿宋" w:cs="仿宋"/>
          <w:sz w:val="24"/>
          <w:highlight w:val="none"/>
          <w:lang w:eastAsia="zh-CN"/>
        </w:rPr>
        <w:t>，</w:t>
      </w:r>
      <w:r>
        <w:rPr>
          <w:rFonts w:hint="eastAsia" w:ascii="仿宋" w:hAnsi="仿宋" w:eastAsia="仿宋" w:cs="仿宋"/>
          <w:sz w:val="24"/>
          <w:szCs w:val="24"/>
          <w:highlight w:val="none"/>
          <w:lang w:val="en-US" w:eastAsia="zh-CN"/>
        </w:rPr>
        <w:t>视频监控系统预警信息衔接传递目前暂不成熟。综上，</w:t>
      </w:r>
      <w:r>
        <w:rPr>
          <w:rFonts w:hint="eastAsia" w:ascii="仿宋" w:hAnsi="仿宋" w:eastAsia="仿宋" w:cs="仿宋"/>
          <w:sz w:val="24"/>
          <w:szCs w:val="24"/>
          <w:highlight w:val="none"/>
          <w:lang w:val="zh-CN" w:eastAsia="zh-CN"/>
        </w:rPr>
        <w:t>该项指标扣</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分。</w:t>
      </w:r>
    </w:p>
    <w:p w14:paraId="53655F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4.产出成本（</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4分，得</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val="zh-CN" w:eastAsia="zh-CN"/>
        </w:rPr>
        <w:t>分）</w:t>
      </w:r>
    </w:p>
    <w:p w14:paraId="0AA351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按成本节约率对产出成本评分，成本节约率=（计划成本-实际成本）/计划成本×100%。</w:t>
      </w:r>
      <w:r>
        <w:rPr>
          <w:rFonts w:hint="eastAsia" w:ascii="仿宋" w:hAnsi="仿宋" w:eastAsia="仿宋" w:cs="仿宋"/>
          <w:sz w:val="24"/>
          <w:szCs w:val="24"/>
          <w:highlight w:val="none"/>
          <w:lang w:val="en-US" w:eastAsia="zh-CN"/>
        </w:rPr>
        <w:t>查阅项目单位提供的材料，本项目</w:t>
      </w:r>
      <w:r>
        <w:rPr>
          <w:rFonts w:hint="eastAsia" w:ascii="仿宋" w:hAnsi="仿宋" w:eastAsia="仿宋" w:cs="仿宋"/>
          <w:sz w:val="24"/>
          <w:highlight w:val="none"/>
        </w:rPr>
        <w:t>计划成本1003.568</w:t>
      </w:r>
      <w:r>
        <w:rPr>
          <w:rFonts w:hint="eastAsia" w:ascii="仿宋" w:hAnsi="仿宋" w:eastAsia="仿宋" w:cs="仿宋"/>
          <w:sz w:val="24"/>
          <w:highlight w:val="none"/>
          <w:lang w:val="en-US" w:eastAsia="zh-CN"/>
        </w:rPr>
        <w:t>万元，</w:t>
      </w:r>
      <w:r>
        <w:rPr>
          <w:rFonts w:hint="eastAsia" w:ascii="仿宋" w:hAnsi="仿宋" w:eastAsia="仿宋" w:cs="仿宋"/>
          <w:sz w:val="24"/>
          <w:highlight w:val="none"/>
        </w:rPr>
        <w:t>实际成本</w:t>
      </w:r>
      <w:r>
        <w:rPr>
          <w:rFonts w:hint="eastAsia" w:ascii="仿宋" w:hAnsi="仿宋" w:eastAsia="仿宋" w:cs="仿宋"/>
          <w:sz w:val="24"/>
          <w:highlight w:val="none"/>
          <w:lang w:val="en-US" w:eastAsia="zh-CN"/>
        </w:rPr>
        <w:t>1000.2757万元，</w:t>
      </w:r>
      <w:r>
        <w:rPr>
          <w:rFonts w:hint="eastAsia" w:ascii="仿宋" w:hAnsi="仿宋" w:eastAsia="仿宋" w:cs="仿宋"/>
          <w:sz w:val="24"/>
          <w:szCs w:val="24"/>
          <w:highlight w:val="none"/>
          <w:lang w:val="zh-CN" w:eastAsia="zh-CN"/>
        </w:rPr>
        <w:t>成本节约率</w:t>
      </w:r>
      <w:r>
        <w:rPr>
          <w:rFonts w:hint="eastAsia" w:ascii="仿宋" w:hAnsi="仿宋" w:eastAsia="仿宋" w:cs="仿宋"/>
          <w:sz w:val="24"/>
          <w:szCs w:val="24"/>
          <w:highlight w:val="none"/>
          <w:lang w:val="en-US" w:eastAsia="zh-CN"/>
        </w:rPr>
        <w:t>约0.33%，根据评分标准，</w:t>
      </w:r>
      <w:r>
        <w:rPr>
          <w:rFonts w:hint="eastAsia" w:ascii="仿宋" w:hAnsi="仿宋" w:eastAsia="仿宋" w:cs="仿宋"/>
          <w:sz w:val="24"/>
          <w:szCs w:val="24"/>
          <w:highlight w:val="none"/>
          <w:lang w:val="zh-CN" w:eastAsia="zh-CN"/>
        </w:rPr>
        <w:t>该项指标得</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val="zh-CN" w:eastAsia="zh-CN"/>
        </w:rPr>
        <w:t>分。</w:t>
      </w:r>
    </w:p>
    <w:p w14:paraId="53C71FB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196" w:name="_Toc184981308"/>
      <w:bookmarkStart w:id="197" w:name="_Toc184981070"/>
      <w:bookmarkStart w:id="198" w:name="_Toc4021"/>
      <w:bookmarkStart w:id="199" w:name="_Toc23822"/>
      <w:bookmarkStart w:id="200" w:name="_Toc1040"/>
      <w:r>
        <w:rPr>
          <w:rFonts w:hint="eastAsia" w:ascii="仿宋" w:hAnsi="仿宋" w:eastAsia="仿宋" w:cs="仿宋"/>
          <w:b/>
          <w:bCs/>
          <w:sz w:val="24"/>
          <w:szCs w:val="24"/>
          <w:highlight w:val="none"/>
        </w:rPr>
        <w:t>（四）项目效益情况</w:t>
      </w:r>
      <w:bookmarkEnd w:id="196"/>
      <w:bookmarkEnd w:id="197"/>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分值</w:t>
      </w:r>
      <w:r>
        <w:rPr>
          <w:rFonts w:hint="eastAsia" w:ascii="仿宋" w:hAnsi="仿宋" w:eastAsia="仿宋" w:cs="仿宋"/>
          <w:b/>
          <w:bCs/>
          <w:sz w:val="24"/>
          <w:szCs w:val="24"/>
          <w:highlight w:val="none"/>
        </w:rPr>
        <w:t>3</w:t>
      </w:r>
      <w:r>
        <w:rPr>
          <w:rFonts w:hint="eastAsia" w:ascii="仿宋" w:hAnsi="仿宋" w:eastAsia="仿宋" w:cs="仿宋"/>
          <w:b/>
          <w:bCs/>
          <w:sz w:val="24"/>
          <w:szCs w:val="24"/>
          <w:highlight w:val="none"/>
          <w:lang w:val="en-US" w:eastAsia="zh-CN"/>
        </w:rPr>
        <w:t>4</w:t>
      </w:r>
      <w:r>
        <w:rPr>
          <w:rFonts w:hint="eastAsia" w:ascii="仿宋" w:hAnsi="仿宋" w:eastAsia="仿宋" w:cs="仿宋"/>
          <w:b/>
          <w:bCs/>
          <w:sz w:val="24"/>
          <w:szCs w:val="24"/>
          <w:highlight w:val="none"/>
        </w:rPr>
        <w:t>分，得32.64分）</w:t>
      </w:r>
      <w:bookmarkEnd w:id="198"/>
      <w:bookmarkEnd w:id="199"/>
      <w:bookmarkEnd w:id="200"/>
    </w:p>
    <w:p w14:paraId="43E0E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1.社会效益（</w:t>
      </w:r>
      <w:r>
        <w:rPr>
          <w:rFonts w:hint="eastAsia" w:ascii="仿宋" w:hAnsi="仿宋" w:eastAsia="仿宋" w:cs="仿宋"/>
          <w:sz w:val="24"/>
          <w:szCs w:val="24"/>
          <w:highlight w:val="none"/>
          <w:lang w:val="en-US" w:eastAsia="zh-CN"/>
        </w:rPr>
        <w:t>分值5</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zh-CN" w:eastAsia="zh-CN"/>
        </w:rPr>
        <w:t>分）</w:t>
      </w:r>
    </w:p>
    <w:p w14:paraId="03DE27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应急救援能力覆盖情况（</w:t>
      </w:r>
      <w:r>
        <w:rPr>
          <w:rFonts w:hint="eastAsia" w:ascii="仿宋" w:hAnsi="仿宋" w:eastAsia="仿宋" w:cs="仿宋"/>
          <w:sz w:val="24"/>
          <w:szCs w:val="24"/>
          <w:highlight w:val="none"/>
          <w:lang w:val="en-US" w:eastAsia="zh-CN"/>
        </w:rPr>
        <w:t>分值5</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zh-CN" w:eastAsia="zh-CN"/>
        </w:rPr>
        <w:t>分）</w:t>
      </w:r>
    </w:p>
    <w:p w14:paraId="64E608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经工作组现场调研抽检，</w:t>
      </w:r>
      <w:r>
        <w:rPr>
          <w:rFonts w:hint="eastAsia" w:ascii="仿宋" w:hAnsi="仿宋" w:eastAsia="仿宋" w:cs="仿宋"/>
          <w:sz w:val="24"/>
          <w:szCs w:val="24"/>
          <w:highlight w:val="none"/>
          <w:lang w:val="zh-CN" w:eastAsia="zh-CN"/>
        </w:rPr>
        <w:t>辖区内</w:t>
      </w:r>
      <w:r>
        <w:rPr>
          <w:rFonts w:hint="eastAsia" w:ascii="仿宋" w:hAnsi="仿宋" w:eastAsia="仿宋" w:cs="仿宋"/>
          <w:sz w:val="24"/>
          <w:szCs w:val="24"/>
          <w:highlight w:val="none"/>
          <w:lang w:val="en-US" w:eastAsia="zh-CN"/>
        </w:rPr>
        <w:t>街道、乡镇应急救援队伍新增装备已做到全覆盖，详见表1；监控预警方面，视频监控设备可实现全天候（7</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24小时）实时监控。</w:t>
      </w:r>
      <w:r>
        <w:rPr>
          <w:rFonts w:hint="eastAsia" w:ascii="仿宋" w:hAnsi="仿宋" w:eastAsia="仿宋" w:cs="仿宋"/>
          <w:sz w:val="24"/>
          <w:szCs w:val="24"/>
          <w:highlight w:val="none"/>
          <w:lang w:val="zh-CN" w:eastAsia="zh-CN"/>
        </w:rPr>
        <w:t>因此，该项指标得满分。</w:t>
      </w:r>
    </w:p>
    <w:p w14:paraId="137A5A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.可持续影响（</w:t>
      </w:r>
      <w:r>
        <w:rPr>
          <w:rFonts w:hint="eastAsia" w:ascii="仿宋" w:hAnsi="仿宋" w:eastAsia="仿宋" w:cs="仿宋"/>
          <w:sz w:val="24"/>
          <w:szCs w:val="24"/>
          <w:highlight w:val="none"/>
          <w:lang w:val="en-US" w:eastAsia="zh-CN"/>
        </w:rPr>
        <w:t>分值17</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16.51</w:t>
      </w:r>
      <w:r>
        <w:rPr>
          <w:rFonts w:hint="eastAsia" w:ascii="仿宋" w:hAnsi="仿宋" w:eastAsia="仿宋" w:cs="仿宋"/>
          <w:sz w:val="24"/>
          <w:szCs w:val="24"/>
          <w:highlight w:val="none"/>
          <w:lang w:val="zh-CN" w:eastAsia="zh-CN"/>
        </w:rPr>
        <w:t>分）</w:t>
      </w:r>
    </w:p>
    <w:p w14:paraId="3CD2FC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（1）后续运行持续发挥成效（</w:t>
      </w:r>
      <w:r>
        <w:rPr>
          <w:rFonts w:hint="eastAsia" w:ascii="仿宋" w:hAnsi="仿宋" w:eastAsia="仿宋" w:cs="仿宋"/>
          <w:sz w:val="24"/>
          <w:szCs w:val="24"/>
          <w:highlight w:val="none"/>
          <w:lang w:val="en-US" w:eastAsia="zh-CN"/>
        </w:rPr>
        <w:t>分值5</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zh-CN" w:eastAsia="zh-CN"/>
        </w:rPr>
        <w:t>分）</w:t>
      </w:r>
    </w:p>
    <w:p w14:paraId="52DDE7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该指标</w:t>
      </w:r>
      <w:r>
        <w:rPr>
          <w:rFonts w:hint="eastAsia" w:ascii="仿宋" w:hAnsi="仿宋" w:eastAsia="仿宋" w:cs="仿宋"/>
          <w:sz w:val="24"/>
          <w:szCs w:val="24"/>
          <w:highlight w:val="none"/>
          <w:lang w:val="en-US" w:eastAsia="zh-CN"/>
        </w:rPr>
        <w:t>评价</w:t>
      </w:r>
      <w:r>
        <w:rPr>
          <w:rFonts w:hint="eastAsia" w:ascii="仿宋" w:hAnsi="仿宋" w:eastAsia="仿宋" w:cs="仿宋"/>
          <w:sz w:val="24"/>
          <w:szCs w:val="24"/>
          <w:highlight w:val="none"/>
          <w:lang w:val="zh-CN" w:eastAsia="zh-CN"/>
        </w:rPr>
        <w:t>项目长效运维管理机制</w:t>
      </w:r>
      <w:r>
        <w:rPr>
          <w:rFonts w:hint="eastAsia" w:ascii="仿宋" w:hAnsi="仿宋" w:eastAsia="仿宋" w:cs="仿宋"/>
          <w:sz w:val="24"/>
          <w:szCs w:val="24"/>
          <w:highlight w:val="none"/>
          <w:lang w:val="en-US" w:eastAsia="zh-CN"/>
        </w:rPr>
        <w:t>是否</w:t>
      </w:r>
      <w:r>
        <w:rPr>
          <w:rFonts w:hint="eastAsia" w:ascii="仿宋" w:hAnsi="仿宋" w:eastAsia="仿宋" w:cs="仿宋"/>
          <w:sz w:val="24"/>
          <w:szCs w:val="24"/>
          <w:highlight w:val="none"/>
          <w:lang w:val="zh-CN" w:eastAsia="zh-CN"/>
        </w:rPr>
        <w:t>健全、完善。</w:t>
      </w:r>
      <w:r>
        <w:rPr>
          <w:rFonts w:hint="eastAsia" w:ascii="仿宋" w:hAnsi="仿宋" w:eastAsia="仿宋" w:cs="仿宋"/>
          <w:sz w:val="24"/>
          <w:szCs w:val="24"/>
          <w:highlight w:val="none"/>
          <w:lang w:val="en-US" w:eastAsia="zh-CN"/>
        </w:rPr>
        <w:t>根据《石狮市自然灾害应急能力提升工程基层防灾项目实施工作方案》</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石狮市应急管理局牵头，</w:t>
      </w:r>
      <w:r>
        <w:rPr>
          <w:rFonts w:hint="eastAsia" w:ascii="仿宋" w:hAnsi="仿宋" w:eastAsia="仿宋" w:cs="仿宋"/>
          <w:sz w:val="24"/>
          <w:szCs w:val="24"/>
          <w:highlight w:val="none"/>
          <w:lang w:val="zh-CN" w:eastAsia="zh-CN"/>
        </w:rPr>
        <w:t>市、镇两级应急救援队伍承担配备装备的具体管理责任，健全完善装备资产管理、调配、维护等制度机制，实现装备全生命周期管理、项目全过程跟踪监管。该项指标得满分。</w:t>
      </w:r>
    </w:p>
    <w:p w14:paraId="2767A1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（2）应急预案制定情况及机制健全性（</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5分，得5分）</w:t>
      </w:r>
    </w:p>
    <w:p w14:paraId="6445B0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根据评价工作组抽查，2支街道（乡镇）森林火灾救援队伍均已制定应急预案，机制健全性方面表现如下：</w:t>
      </w:r>
    </w:p>
    <w:p w14:paraId="5B4458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预案完备性：两支队伍均制定了符合地方灾害特点的森林火灾专项应急预案，内容涵盖响应分级、处置流程、物资调配及联动机制，符合《生产安全事故应急条例》要求。</w:t>
      </w:r>
    </w:p>
    <w:p w14:paraId="38CF15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制度健全性：队伍建立了预案动态修订机制，结合演练总结和风险研判定期更新；同时配备相应应急管理人员，确保责任落实到岗，体现机制持续优化能力。</w:t>
      </w:r>
    </w:p>
    <w:p w14:paraId="18A7A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综上，</w:t>
      </w:r>
      <w:r>
        <w:rPr>
          <w:rFonts w:hint="eastAsia" w:ascii="仿宋" w:hAnsi="仿宋" w:eastAsia="仿宋" w:cs="仿宋"/>
          <w:sz w:val="24"/>
          <w:szCs w:val="24"/>
          <w:highlight w:val="none"/>
          <w:lang w:val="zh-CN" w:eastAsia="zh-CN"/>
        </w:rPr>
        <w:t>该项指标得满分。</w:t>
      </w:r>
    </w:p>
    <w:p w14:paraId="46E060C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eastAsia="zh-CN"/>
        </w:rPr>
        <w:t>救援队伍应急救援能力提升情况（</w:t>
      </w:r>
      <w:r>
        <w:rPr>
          <w:rFonts w:hint="eastAsia" w:ascii="仿宋" w:hAnsi="仿宋" w:eastAsia="仿宋" w:cs="仿宋"/>
          <w:sz w:val="24"/>
          <w:szCs w:val="24"/>
          <w:highlight w:val="none"/>
          <w:lang w:val="en-US" w:eastAsia="zh-CN"/>
        </w:rPr>
        <w:t>分值7</w:t>
      </w:r>
      <w:r>
        <w:rPr>
          <w:rFonts w:hint="eastAsia" w:ascii="仿宋" w:hAnsi="仿宋" w:eastAsia="仿宋" w:cs="仿宋"/>
          <w:sz w:val="24"/>
          <w:szCs w:val="24"/>
          <w:highlight w:val="none"/>
          <w:lang w:val="zh-CN" w:eastAsia="zh-CN"/>
        </w:rPr>
        <w:t>分，得</w:t>
      </w:r>
      <w:r>
        <w:rPr>
          <w:rFonts w:hint="eastAsia" w:ascii="仿宋" w:hAnsi="仿宋" w:eastAsia="仿宋" w:cs="仿宋"/>
          <w:sz w:val="24"/>
          <w:szCs w:val="24"/>
          <w:highlight w:val="none"/>
          <w:lang w:val="en-US" w:eastAsia="zh-CN"/>
        </w:rPr>
        <w:t>6.51</w:t>
      </w:r>
      <w:r>
        <w:rPr>
          <w:rFonts w:hint="eastAsia" w:ascii="仿宋" w:hAnsi="仿宋" w:eastAsia="仿宋" w:cs="仿宋"/>
          <w:sz w:val="24"/>
          <w:szCs w:val="24"/>
          <w:highlight w:val="none"/>
          <w:lang w:val="zh-CN" w:eastAsia="zh-CN"/>
        </w:rPr>
        <w:t>分）</w:t>
      </w:r>
    </w:p>
    <w:p w14:paraId="6CD1EC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评价各街道（乡镇）救援</w:t>
      </w:r>
      <w:r>
        <w:rPr>
          <w:rFonts w:hint="eastAsia" w:ascii="仿宋" w:hAnsi="仿宋" w:eastAsia="仿宋" w:cs="仿宋"/>
          <w:sz w:val="24"/>
          <w:szCs w:val="24"/>
          <w:highlight w:val="none"/>
          <w:lang w:val="zh-CN" w:eastAsia="zh-CN"/>
        </w:rPr>
        <w:t>队伍</w:t>
      </w:r>
      <w:r>
        <w:rPr>
          <w:rFonts w:hint="eastAsia" w:ascii="仿宋" w:hAnsi="仿宋" w:eastAsia="仿宋" w:cs="仿宋"/>
          <w:sz w:val="24"/>
          <w:szCs w:val="24"/>
          <w:highlight w:val="none"/>
          <w:lang w:val="en-US" w:eastAsia="zh-CN"/>
        </w:rPr>
        <w:t>配备新的应急救援装备前后，队伍的应急响应速度、</w:t>
      </w:r>
      <w:r>
        <w:rPr>
          <w:rFonts w:hint="eastAsia" w:ascii="仿宋" w:hAnsi="仿宋" w:eastAsia="仿宋" w:cs="仿宋"/>
          <w:sz w:val="24"/>
          <w:szCs w:val="24"/>
          <w:highlight w:val="none"/>
          <w:lang w:val="zh-CN" w:eastAsia="zh-CN"/>
        </w:rPr>
        <w:t>救援能力</w:t>
      </w:r>
      <w:r>
        <w:rPr>
          <w:rFonts w:hint="eastAsia" w:ascii="仿宋" w:hAnsi="仿宋" w:eastAsia="仿宋" w:cs="仿宋"/>
          <w:sz w:val="24"/>
          <w:szCs w:val="24"/>
          <w:highlight w:val="none"/>
          <w:lang w:val="en-US" w:eastAsia="zh-CN"/>
        </w:rPr>
        <w:t>提升变化情况。根据回收的50份调查问卷显示，相关队伍人员均表示“与过去相比，新增装备显著（略有）提升了队伍的应急响应速度”。根据问卷调查综合数据，</w:t>
      </w:r>
      <w:r>
        <w:rPr>
          <w:rFonts w:hint="eastAsia" w:ascii="仿宋" w:hAnsi="仿宋" w:eastAsia="仿宋" w:cs="仿宋"/>
          <w:sz w:val="24"/>
          <w:szCs w:val="24"/>
          <w:highlight w:val="none"/>
          <w:lang w:val="zh-CN" w:eastAsia="zh-CN"/>
        </w:rPr>
        <w:t>该项指标得</w:t>
      </w:r>
      <w:r>
        <w:rPr>
          <w:rFonts w:hint="eastAsia" w:ascii="仿宋" w:hAnsi="仿宋" w:eastAsia="仿宋" w:cs="仿宋"/>
          <w:sz w:val="24"/>
          <w:szCs w:val="24"/>
          <w:highlight w:val="none"/>
          <w:lang w:val="en-US" w:eastAsia="zh-CN"/>
        </w:rPr>
        <w:t>6.51</w:t>
      </w:r>
      <w:r>
        <w:rPr>
          <w:rFonts w:hint="eastAsia" w:ascii="仿宋" w:hAnsi="仿宋" w:eastAsia="仿宋" w:cs="仿宋"/>
          <w:sz w:val="24"/>
          <w:szCs w:val="24"/>
          <w:highlight w:val="none"/>
          <w:lang w:val="zh-CN" w:eastAsia="zh-CN"/>
        </w:rPr>
        <w:t>分。</w:t>
      </w:r>
    </w:p>
    <w:p w14:paraId="646906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eastAsia="zh-CN"/>
        </w:rPr>
        <w:t>.应急队伍满意度（</w:t>
      </w:r>
      <w:r>
        <w:rPr>
          <w:rFonts w:hint="eastAsia" w:ascii="仿宋" w:hAnsi="仿宋" w:eastAsia="仿宋" w:cs="仿宋"/>
          <w:sz w:val="24"/>
          <w:szCs w:val="24"/>
          <w:highlight w:val="none"/>
          <w:lang w:val="en-US" w:eastAsia="zh-CN"/>
        </w:rPr>
        <w:t>分值</w:t>
      </w:r>
      <w:r>
        <w:rPr>
          <w:rFonts w:hint="eastAsia" w:ascii="仿宋" w:hAnsi="仿宋" w:eastAsia="仿宋" w:cs="仿宋"/>
          <w:sz w:val="24"/>
          <w:szCs w:val="24"/>
          <w:highlight w:val="none"/>
          <w:lang w:val="zh-CN" w:eastAsia="zh-CN"/>
        </w:rPr>
        <w:t>12分，得</w:t>
      </w:r>
      <w:r>
        <w:rPr>
          <w:rFonts w:hint="eastAsia" w:ascii="仿宋" w:hAnsi="仿宋" w:eastAsia="仿宋" w:cs="仿宋"/>
          <w:sz w:val="24"/>
          <w:szCs w:val="24"/>
          <w:highlight w:val="none"/>
          <w:lang w:val="en-US" w:eastAsia="zh-CN"/>
        </w:rPr>
        <w:t>11.13</w:t>
      </w:r>
      <w:r>
        <w:rPr>
          <w:rFonts w:hint="eastAsia" w:ascii="仿宋" w:hAnsi="仿宋" w:eastAsia="仿宋" w:cs="仿宋"/>
          <w:sz w:val="24"/>
          <w:szCs w:val="24"/>
          <w:highlight w:val="none"/>
          <w:lang w:val="zh-CN" w:eastAsia="zh-CN"/>
        </w:rPr>
        <w:t>分）</w:t>
      </w:r>
    </w:p>
    <w:p w14:paraId="21C59C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bookmarkStart w:id="201" w:name="_Toc184981309"/>
      <w:bookmarkStart w:id="202" w:name="_Toc21059"/>
      <w:bookmarkStart w:id="203" w:name="_Toc184981071"/>
      <w:r>
        <w:rPr>
          <w:rFonts w:hint="eastAsia" w:ascii="仿宋" w:hAnsi="仿宋" w:eastAsia="仿宋" w:cs="仿宋"/>
          <w:sz w:val="24"/>
          <w:szCs w:val="24"/>
          <w:highlight w:val="none"/>
          <w:lang w:val="zh-CN" w:eastAsia="zh-CN"/>
        </w:rPr>
        <w:t>根据回收的</w:t>
      </w:r>
      <w:r>
        <w:rPr>
          <w:rFonts w:hint="eastAsia" w:ascii="仿宋" w:hAnsi="仿宋" w:eastAsia="仿宋" w:cs="仿宋"/>
          <w:sz w:val="24"/>
          <w:szCs w:val="24"/>
          <w:highlight w:val="none"/>
          <w:lang w:val="en-US" w:eastAsia="zh-CN"/>
        </w:rPr>
        <w:t>50</w:t>
      </w:r>
      <w:r>
        <w:rPr>
          <w:rFonts w:hint="eastAsia" w:ascii="仿宋" w:hAnsi="仿宋" w:eastAsia="仿宋" w:cs="仿宋"/>
          <w:sz w:val="24"/>
          <w:szCs w:val="24"/>
          <w:highlight w:val="none"/>
          <w:lang w:val="zh-CN" w:eastAsia="zh-CN"/>
        </w:rPr>
        <w:t>份有效调查问卷，针对</w:t>
      </w:r>
      <w:r>
        <w:rPr>
          <w:rFonts w:hint="eastAsia" w:ascii="仿宋" w:hAnsi="仿宋" w:eastAsia="仿宋" w:cs="仿宋"/>
          <w:sz w:val="24"/>
          <w:szCs w:val="24"/>
          <w:highlight w:val="none"/>
          <w:lang w:val="en-US" w:eastAsia="zh-CN"/>
        </w:rPr>
        <w:t>应急救援队伍</w:t>
      </w:r>
      <w:r>
        <w:rPr>
          <w:rFonts w:hint="eastAsia" w:ascii="仿宋" w:hAnsi="仿宋" w:eastAsia="仿宋" w:cs="仿宋"/>
          <w:sz w:val="24"/>
          <w:szCs w:val="24"/>
          <w:highlight w:val="none"/>
          <w:lang w:val="zh-CN" w:eastAsia="zh-CN"/>
        </w:rPr>
        <w:t>满意度共有</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题，第1题“您对新配备的救援装备（如森林火灾扑救、水域救援装备等）是否满意?”分析结果</w:t>
      </w:r>
      <w:r>
        <w:rPr>
          <w:rFonts w:hint="eastAsia" w:ascii="仿宋" w:hAnsi="仿宋" w:eastAsia="仿宋" w:cs="仿宋"/>
          <w:sz w:val="24"/>
          <w:szCs w:val="24"/>
          <w:highlight w:val="none"/>
          <w:lang w:val="en-US" w:eastAsia="zh-CN"/>
        </w:rPr>
        <w:t>显示救援队队员</w:t>
      </w:r>
      <w:r>
        <w:rPr>
          <w:rFonts w:hint="eastAsia" w:ascii="仿宋" w:hAnsi="仿宋" w:eastAsia="仿宋" w:cs="仿宋"/>
          <w:sz w:val="24"/>
          <w:szCs w:val="24"/>
          <w:highlight w:val="none"/>
          <w:lang w:val="zh-CN" w:eastAsia="zh-CN"/>
        </w:rPr>
        <w:t>满意度评分达到</w:t>
      </w:r>
      <w:r>
        <w:rPr>
          <w:rFonts w:hint="eastAsia" w:ascii="仿宋" w:hAnsi="仿宋" w:eastAsia="仿宋" w:cs="仿宋"/>
          <w:sz w:val="24"/>
          <w:szCs w:val="24"/>
          <w:highlight w:val="none"/>
          <w:lang w:val="en-US" w:eastAsia="zh-CN"/>
        </w:rPr>
        <w:t>95.5</w:t>
      </w:r>
      <w:r>
        <w:rPr>
          <w:rFonts w:hint="eastAsia" w:ascii="仿宋" w:hAnsi="仿宋" w:eastAsia="仿宋" w:cs="仿宋"/>
          <w:sz w:val="24"/>
          <w:szCs w:val="24"/>
          <w:highlight w:val="none"/>
          <w:lang w:val="zh-CN" w:eastAsia="zh-CN"/>
        </w:rPr>
        <w:t>%。第2题“您对本次应急能力提升项目的整体效果评分”分析结果，其中1位被调查者选择“不满意（</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eastAsia="zh-CN"/>
        </w:rPr>
        <w:t>%）”。</w:t>
      </w:r>
      <w:r>
        <w:rPr>
          <w:rFonts w:hint="eastAsia" w:ascii="仿宋" w:hAnsi="仿宋" w:eastAsia="仿宋" w:cs="仿宋"/>
          <w:sz w:val="24"/>
          <w:szCs w:val="24"/>
          <w:highlight w:val="none"/>
          <w:lang w:val="en-US" w:eastAsia="zh-CN"/>
        </w:rPr>
        <w:t>根据问卷调查综合满意度</w:t>
      </w:r>
      <w:r>
        <w:rPr>
          <w:rFonts w:hint="eastAsia" w:ascii="仿宋" w:hAnsi="仿宋" w:eastAsia="仿宋" w:cs="仿宋"/>
          <w:sz w:val="24"/>
          <w:szCs w:val="24"/>
          <w:highlight w:val="none"/>
          <w:lang w:val="zh-CN" w:eastAsia="zh-CN"/>
        </w:rPr>
        <w:t>，该项指标得</w:t>
      </w:r>
      <w:r>
        <w:rPr>
          <w:rFonts w:hint="eastAsia" w:ascii="仿宋" w:hAnsi="仿宋" w:eastAsia="仿宋" w:cs="仿宋"/>
          <w:sz w:val="24"/>
          <w:szCs w:val="24"/>
          <w:highlight w:val="none"/>
          <w:lang w:val="en-US" w:eastAsia="zh-CN"/>
        </w:rPr>
        <w:t>11.13</w:t>
      </w:r>
      <w:r>
        <w:rPr>
          <w:rFonts w:hint="eastAsia" w:ascii="仿宋" w:hAnsi="仿宋" w:eastAsia="仿宋" w:cs="仿宋"/>
          <w:sz w:val="24"/>
          <w:szCs w:val="24"/>
          <w:highlight w:val="none"/>
          <w:lang w:val="zh-CN" w:eastAsia="zh-CN"/>
        </w:rPr>
        <w:t>分。</w:t>
      </w:r>
    </w:p>
    <w:p w14:paraId="24F378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highlight w:val="none"/>
          <w:lang w:val="zh-CN" w:eastAsia="zh-CN"/>
        </w:rPr>
      </w:pPr>
    </w:p>
    <w:p w14:paraId="572B19D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highlight w:val="none"/>
          <w:lang w:val="zh-CN" w:eastAsia="zh-CN"/>
        </w:rPr>
      </w:pPr>
      <w:bookmarkStart w:id="204" w:name="_Toc26238"/>
      <w:bookmarkStart w:id="205" w:name="_Toc13839"/>
      <w:r>
        <w:rPr>
          <w:rFonts w:hint="eastAsia" w:ascii="仿宋" w:hAnsi="仿宋" w:eastAsia="仿宋" w:cs="仿宋"/>
          <w:b/>
          <w:bCs/>
          <w:sz w:val="28"/>
          <w:szCs w:val="28"/>
          <w:highlight w:val="none"/>
          <w:lang w:val="zh-CN" w:eastAsia="zh-CN"/>
        </w:rPr>
        <w:t>五、主要经验及做法、存在的问题及原因分析</w:t>
      </w:r>
      <w:bookmarkEnd w:id="201"/>
      <w:bookmarkEnd w:id="202"/>
      <w:bookmarkEnd w:id="203"/>
      <w:bookmarkEnd w:id="204"/>
      <w:bookmarkEnd w:id="205"/>
    </w:p>
    <w:p w14:paraId="1E5AABE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206" w:name="_Toc24341"/>
      <w:bookmarkStart w:id="207" w:name="_Toc24725"/>
      <w:bookmarkStart w:id="208" w:name="_Toc184981072"/>
      <w:bookmarkStart w:id="209" w:name="_Toc184981310"/>
      <w:bookmarkStart w:id="210" w:name="_Toc4623"/>
      <w:bookmarkStart w:id="211" w:name="_Toc19516"/>
      <w:r>
        <w:rPr>
          <w:rFonts w:hint="eastAsia" w:ascii="仿宋" w:hAnsi="仿宋" w:eastAsia="仿宋" w:cs="仿宋"/>
          <w:b/>
          <w:bCs/>
          <w:sz w:val="24"/>
          <w:szCs w:val="24"/>
          <w:highlight w:val="none"/>
        </w:rPr>
        <w:t>（一）主要经验及做法</w:t>
      </w:r>
      <w:bookmarkEnd w:id="206"/>
      <w:bookmarkEnd w:id="207"/>
      <w:bookmarkEnd w:id="208"/>
      <w:bookmarkEnd w:id="209"/>
      <w:bookmarkEnd w:id="210"/>
      <w:bookmarkEnd w:id="211"/>
    </w:p>
    <w:p w14:paraId="777C8674">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kern w:val="2"/>
          <w:sz w:val="24"/>
          <w:szCs w:val="24"/>
          <w:highlight w:val="none"/>
          <w:lang w:val="zh-CN" w:eastAsia="zh-CN" w:bidi="ar-SA"/>
        </w:rPr>
        <w:t>装备配置</w:t>
      </w:r>
      <w:r>
        <w:rPr>
          <w:rFonts w:hint="eastAsia" w:ascii="仿宋" w:hAnsi="仿宋" w:eastAsia="仿宋" w:cs="仿宋"/>
          <w:kern w:val="2"/>
          <w:sz w:val="24"/>
          <w:szCs w:val="24"/>
          <w:highlight w:val="none"/>
          <w:lang w:val="en-US" w:eastAsia="zh-CN" w:bidi="ar-SA"/>
        </w:rPr>
        <w:t>规模全覆盖</w:t>
      </w:r>
      <w:r>
        <w:rPr>
          <w:rFonts w:hint="eastAsia" w:ascii="仿宋" w:hAnsi="仿宋" w:eastAsia="仿宋" w:cs="仿宋"/>
          <w:kern w:val="2"/>
          <w:sz w:val="24"/>
          <w:szCs w:val="24"/>
          <w:highlight w:val="none"/>
          <w:lang w:val="zh-CN" w:eastAsia="zh-CN" w:bidi="ar-SA"/>
        </w:rPr>
        <w:t>：项目根据市、镇两级应急救援队伍的实际需求，合理配置了森林草原火灾扑救、水域救援、综合保障类装备，实现了</w:t>
      </w:r>
      <w:r>
        <w:rPr>
          <w:rFonts w:hint="eastAsia" w:ascii="仿宋" w:hAnsi="仿宋" w:eastAsia="仿宋" w:cs="仿宋"/>
          <w:kern w:val="2"/>
          <w:sz w:val="24"/>
          <w:szCs w:val="24"/>
          <w:highlight w:val="none"/>
          <w:lang w:val="en-US" w:eastAsia="zh-CN" w:bidi="ar-SA"/>
        </w:rPr>
        <w:t>街道、乡镇应急救援队</w:t>
      </w:r>
      <w:r>
        <w:rPr>
          <w:rFonts w:hint="eastAsia" w:ascii="仿宋" w:hAnsi="仿宋" w:eastAsia="仿宋" w:cs="仿宋"/>
          <w:kern w:val="2"/>
          <w:sz w:val="24"/>
          <w:szCs w:val="24"/>
          <w:highlight w:val="none"/>
          <w:lang w:val="zh-CN" w:eastAsia="zh-CN" w:bidi="ar-SA"/>
        </w:rPr>
        <w:t>装备的全覆盖，</w:t>
      </w:r>
      <w:r>
        <w:rPr>
          <w:rFonts w:hint="eastAsia" w:ascii="仿宋" w:hAnsi="仿宋" w:eastAsia="仿宋" w:cs="仿宋"/>
          <w:kern w:val="2"/>
          <w:sz w:val="24"/>
          <w:szCs w:val="24"/>
          <w:highlight w:val="none"/>
          <w:lang w:val="en-US" w:eastAsia="zh-CN" w:bidi="ar-SA"/>
        </w:rPr>
        <w:t>较好地</w:t>
      </w:r>
      <w:r>
        <w:rPr>
          <w:rFonts w:hint="eastAsia" w:ascii="仿宋" w:hAnsi="仿宋" w:eastAsia="仿宋" w:cs="仿宋"/>
          <w:kern w:val="2"/>
          <w:sz w:val="24"/>
          <w:szCs w:val="24"/>
          <w:highlight w:val="none"/>
          <w:lang w:val="zh-CN" w:eastAsia="zh-CN" w:bidi="ar-SA"/>
        </w:rPr>
        <w:t>提升了基层应急响应能力。</w:t>
      </w:r>
    </w:p>
    <w:p w14:paraId="13C67025">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lang w:val="en-US" w:eastAsia="zh-CN" w:bidi="ar-SA"/>
        </w:rPr>
        <w:t>2.</w:t>
      </w:r>
      <w:r>
        <w:rPr>
          <w:rFonts w:hint="eastAsia" w:ascii="仿宋" w:hAnsi="仿宋" w:eastAsia="仿宋" w:cs="仿宋"/>
          <w:kern w:val="2"/>
          <w:sz w:val="24"/>
          <w:szCs w:val="24"/>
          <w:highlight w:val="none"/>
          <w:lang w:val="zh-CN" w:eastAsia="zh-CN" w:bidi="ar-SA"/>
        </w:rPr>
        <w:t>培训与演练结合：通过开展装备操作培训和季度拉练，提升了救援队伍对新装备的熟练度和实战能力，增强了跨队伍协作效率。</w:t>
      </w:r>
    </w:p>
    <w:p w14:paraId="512A814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212" w:name="_Toc8452"/>
      <w:bookmarkStart w:id="213" w:name="_Toc13264"/>
      <w:bookmarkStart w:id="214" w:name="_Toc184981073"/>
      <w:bookmarkStart w:id="215" w:name="_Toc184981311"/>
      <w:bookmarkStart w:id="216" w:name="_Toc24908"/>
      <w:bookmarkStart w:id="217" w:name="_Toc26651"/>
      <w:r>
        <w:rPr>
          <w:rFonts w:hint="eastAsia" w:ascii="仿宋" w:hAnsi="仿宋" w:eastAsia="仿宋" w:cs="仿宋"/>
          <w:b/>
          <w:bCs/>
          <w:sz w:val="24"/>
          <w:szCs w:val="24"/>
          <w:highlight w:val="none"/>
        </w:rPr>
        <w:t>（二）存在的问题及原因分析</w:t>
      </w:r>
      <w:bookmarkEnd w:id="212"/>
      <w:bookmarkEnd w:id="213"/>
      <w:bookmarkEnd w:id="214"/>
      <w:bookmarkEnd w:id="215"/>
      <w:bookmarkEnd w:id="216"/>
      <w:bookmarkEnd w:id="217"/>
    </w:p>
    <w:p w14:paraId="3B8BA750">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highlight w:val="none"/>
          <w:lang w:val="zh-CN" w:eastAsia="zh-CN"/>
        </w:rPr>
      </w:pPr>
      <w:r>
        <w:rPr>
          <w:rFonts w:hint="eastAsia" w:ascii="仿宋" w:hAnsi="仿宋" w:eastAsia="仿宋" w:cs="仿宋"/>
          <w:b w:val="0"/>
          <w:bCs w:val="0"/>
          <w:kern w:val="2"/>
          <w:sz w:val="24"/>
          <w:szCs w:val="24"/>
          <w:highlight w:val="none"/>
          <w:lang w:val="en-US" w:eastAsia="zh-CN" w:bidi="ar-SA"/>
        </w:rPr>
        <w:t>1.</w:t>
      </w:r>
      <w:r>
        <w:rPr>
          <w:rFonts w:hint="eastAsia" w:ascii="仿宋" w:hAnsi="仿宋" w:eastAsia="仿宋" w:cs="仿宋"/>
          <w:b w:val="0"/>
          <w:bCs w:val="0"/>
          <w:sz w:val="24"/>
          <w:szCs w:val="24"/>
          <w:highlight w:val="none"/>
          <w:lang w:val="zh-CN" w:eastAsia="zh-CN"/>
        </w:rPr>
        <w:t>装备闲置与分配不合理</w:t>
      </w:r>
    </w:p>
    <w:p w14:paraId="71BB951C">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次采购基本实现了街道、乡镇应急救援队装备的全覆盖，但经工作组现场走访发现，存在救援队伍未及时分配采购装备（如个人护具等）至救援队员及新装备采购验收后长期封装储藏于仓库中，导致部分资源闲置的问题。以上问题原因在于前期需求论证不足，装备分配后缺乏使用效果跟踪评估，未充分考虑实际使用场景和分配机制。</w:t>
      </w:r>
    </w:p>
    <w:p w14:paraId="47E4FAE6">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sz w:val="24"/>
          <w:szCs w:val="24"/>
          <w:highlight w:val="none"/>
          <w:lang w:val="zh-CN"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lang w:val="zh-CN" w:eastAsia="zh-CN"/>
        </w:rPr>
        <w:t>预算</w:t>
      </w:r>
      <w:r>
        <w:rPr>
          <w:rFonts w:hint="eastAsia" w:ascii="仿宋" w:hAnsi="仿宋" w:eastAsia="仿宋" w:cs="仿宋"/>
          <w:b w:val="0"/>
          <w:bCs w:val="0"/>
          <w:sz w:val="24"/>
          <w:szCs w:val="24"/>
          <w:highlight w:val="none"/>
          <w:lang w:val="en-US" w:eastAsia="zh-CN"/>
        </w:rPr>
        <w:t>执行</w:t>
      </w:r>
      <w:r>
        <w:rPr>
          <w:rFonts w:hint="eastAsia" w:ascii="仿宋" w:hAnsi="仿宋" w:eastAsia="仿宋" w:cs="仿宋"/>
          <w:b w:val="0"/>
          <w:bCs w:val="0"/>
          <w:sz w:val="24"/>
          <w:szCs w:val="24"/>
          <w:highlight w:val="none"/>
          <w:lang w:val="zh-CN" w:eastAsia="zh-CN"/>
        </w:rPr>
        <w:t>问题</w:t>
      </w:r>
    </w:p>
    <w:p w14:paraId="7F1B41B0">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截至评价时点，该项目资金支付率为74.46%，剩余25.54%的预算资金未及时使用。主要原因在于：一是合同付款节点设置较为粗放，仅按“设备到货”、“项目验收”等大阶段划分，未针对预警指挥设备的安装调试、系统联调等关键环节细化支付条件，导致资金</w:t>
      </w:r>
      <w:r>
        <w:rPr>
          <w:rFonts w:hint="eastAsia" w:ascii="仿宋" w:hAnsi="仿宋" w:eastAsia="仿宋" w:cs="仿宋"/>
          <w:kern w:val="2"/>
          <w:sz w:val="24"/>
          <w:szCs w:val="24"/>
          <w:highlight w:val="none"/>
          <w:lang w:val="en-US" w:eastAsia="zh-CN" w:bidi="ar-SA"/>
        </w:rPr>
        <w:t>支</w:t>
      </w:r>
      <w:r>
        <w:rPr>
          <w:rFonts w:hint="eastAsia" w:ascii="仿宋" w:hAnsi="仿宋" w:eastAsia="仿宋" w:cs="仿宋"/>
          <w:kern w:val="2"/>
          <w:sz w:val="24"/>
          <w:szCs w:val="24"/>
          <w:highlight w:val="none"/>
          <w:lang w:val="zh-CN" w:eastAsia="zh-CN" w:bidi="ar-SA"/>
        </w:rPr>
        <w:t>付与实际进度脱节；二是部分预警指挥设备因技术复杂、调试周期长，致使验收进度滞后，影响后续款项支付。</w:t>
      </w:r>
    </w:p>
    <w:p w14:paraId="5F3418BA">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w:t>
      </w:r>
      <w:r>
        <w:rPr>
          <w:rFonts w:hint="eastAsia" w:ascii="仿宋" w:hAnsi="仿宋" w:eastAsia="仿宋" w:cs="仿宋"/>
          <w:b w:val="0"/>
          <w:bCs w:val="0"/>
          <w:sz w:val="24"/>
          <w:szCs w:val="24"/>
          <w:highlight w:val="none"/>
          <w:lang w:val="zh-CN" w:eastAsia="zh-CN"/>
        </w:rPr>
        <w:t>绩效目标设计不完善</w:t>
      </w:r>
    </w:p>
    <w:p w14:paraId="1D88A412">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绩效目标表中存在指标分类错误（如将“成本指标”列为一级指标）、缺少“经济效益”和“可持续影响”二级指标、部分指标（如：社会效益与生态效益）指标解释均偏定性，标准无法具体衡量及权重总分设置错误的问题。原因是绩效目标编制人员对《项目支出绩效评价管理办法》理解存在偏差，存在例如：混淆“成本指标”与“产出指标”层级关系等方面的情况，对绩效评价管理办法的理解不够深入。</w:t>
      </w:r>
    </w:p>
    <w:p w14:paraId="30132CB9">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4.应急响应效率有待进一步提升</w:t>
      </w:r>
    </w:p>
    <w:p w14:paraId="576B76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当前灾情信息传递采用“市—镇—村”三级联动的纵向传递机制，应急信息的实际传递效率无法达到《石狮市森林火灾应急预案》设定的30分钟目标值，平均响应时间仍有提升空间。原因是基层终端设备配备不足，在未配备专业设备的村居，信息传递仍依赖传统的人工电话通知或村干部逐户传达方式，这种人工接力模式在紧急情况下容易出现信息延误或失真。尤其在夜间或恶劣天气条件下，人工传递方式的时效性更难以保证，直接影响了整体应急响应效能。</w:t>
      </w:r>
    </w:p>
    <w:p w14:paraId="008295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en-US" w:eastAsia="zh-CN" w:bidi="ar-SA"/>
        </w:rPr>
      </w:pPr>
    </w:p>
    <w:p w14:paraId="537293B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highlight w:val="none"/>
          <w:lang w:val="zh-CN" w:eastAsia="zh-CN"/>
        </w:rPr>
      </w:pPr>
      <w:bookmarkStart w:id="218" w:name="_Toc15269"/>
      <w:bookmarkStart w:id="219" w:name="_Toc24504"/>
      <w:bookmarkStart w:id="220" w:name="_Toc184981312"/>
      <w:bookmarkStart w:id="221" w:name="_Toc184981074"/>
      <w:bookmarkStart w:id="222" w:name="_Toc25155"/>
      <w:r>
        <w:rPr>
          <w:rFonts w:hint="eastAsia" w:ascii="仿宋" w:hAnsi="仿宋" w:eastAsia="仿宋" w:cs="仿宋"/>
          <w:b/>
          <w:bCs/>
          <w:sz w:val="28"/>
          <w:szCs w:val="28"/>
          <w:highlight w:val="none"/>
          <w:lang w:val="zh-CN" w:eastAsia="zh-CN"/>
        </w:rPr>
        <w:t>六、有关建议</w:t>
      </w:r>
      <w:bookmarkEnd w:id="218"/>
      <w:bookmarkEnd w:id="219"/>
      <w:bookmarkEnd w:id="220"/>
      <w:bookmarkEnd w:id="221"/>
      <w:bookmarkEnd w:id="222"/>
    </w:p>
    <w:p w14:paraId="6CE5871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223" w:name="_Toc23250"/>
      <w:bookmarkStart w:id="224" w:name="_Toc16876"/>
      <w:bookmarkStart w:id="225" w:name="_Toc184981319"/>
      <w:bookmarkStart w:id="226" w:name="_Toc184981081"/>
      <w:r>
        <w:rPr>
          <w:rFonts w:hint="eastAsia" w:ascii="仿宋" w:hAnsi="仿宋" w:eastAsia="仿宋" w:cs="仿宋"/>
          <w:b/>
          <w:bCs/>
          <w:sz w:val="24"/>
          <w:szCs w:val="24"/>
          <w:highlight w:val="none"/>
        </w:rPr>
        <w:t>（一）优化装备配置管理</w:t>
      </w:r>
      <w:bookmarkEnd w:id="223"/>
    </w:p>
    <w:p w14:paraId="1855B4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建议建立更加科学的装备需求调研机制，采用“自下而上”与“自上而下”相结合的方式，通过问卷调查、实地走访等形式，充分听取基层救援队伍的实际需求；完善装备分配使用机制：可通过制定分级分类的装备分配标准，区分日常训练装备和应急储备装备；对高价值装备实行“专人负责、定期维护”的管理制度。</w:t>
      </w:r>
    </w:p>
    <w:p w14:paraId="4C4ED23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227" w:name="_Toc26511"/>
      <w:r>
        <w:rPr>
          <w:rFonts w:hint="eastAsia" w:ascii="仿宋" w:hAnsi="仿宋" w:eastAsia="仿宋" w:cs="仿宋"/>
          <w:b/>
          <w:bCs/>
          <w:sz w:val="24"/>
          <w:szCs w:val="24"/>
          <w:highlight w:val="none"/>
        </w:rPr>
        <w:t>（二）加强预算执行管理</w:t>
      </w:r>
      <w:bookmarkEnd w:id="227"/>
    </w:p>
    <w:p w14:paraId="5309411F">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在预算执行管理中，建议事前科学设置预付款、进度款、验收款等支付节点并建立预警机制；事中动态监控支付进度，对滞后项目及时协调解决；事后通过绩效评价考核支付时效与效益，针对问题优化流程。通过"计划—执行—评价—改进"闭环管理，确保应急救援装备采购资金支付与项目进度匹配，提升执行效率与资金效益。</w:t>
      </w:r>
    </w:p>
    <w:p w14:paraId="326250B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lang w:eastAsia="zh-CN"/>
        </w:rPr>
      </w:pPr>
      <w:bookmarkStart w:id="228" w:name="_Toc25525"/>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规范绩效目标管理</w:t>
      </w:r>
      <w:bookmarkEnd w:id="228"/>
      <w:r>
        <w:rPr>
          <w:rFonts w:hint="eastAsia" w:ascii="仿宋" w:hAnsi="仿宋" w:eastAsia="仿宋" w:cs="仿宋"/>
          <w:b/>
          <w:bCs/>
          <w:sz w:val="24"/>
          <w:szCs w:val="24"/>
          <w:highlight w:val="none"/>
          <w:lang w:eastAsia="zh-CN"/>
        </w:rPr>
        <w:tab/>
      </w:r>
    </w:p>
    <w:p w14:paraId="357BA929">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sz w:val="24"/>
          <w:szCs w:val="24"/>
          <w:highlight w:val="none"/>
          <w:lang w:eastAsia="zh-CN"/>
        </w:rPr>
      </w:pPr>
      <w:r>
        <w:rPr>
          <w:rFonts w:hint="eastAsia" w:ascii="仿宋" w:hAnsi="仿宋" w:eastAsia="仿宋" w:cs="仿宋"/>
          <w:kern w:val="2"/>
          <w:sz w:val="24"/>
          <w:szCs w:val="24"/>
          <w:highlight w:val="none"/>
          <w:lang w:val="zh-CN" w:eastAsia="zh-CN" w:bidi="ar-SA"/>
        </w:rPr>
        <w:t>针对项目绩效目标表中存在的指标分类错误、二级指标缺失、定性化描述</w:t>
      </w:r>
      <w:r>
        <w:rPr>
          <w:rFonts w:hint="eastAsia" w:ascii="仿宋" w:hAnsi="仿宋" w:eastAsia="仿宋" w:cs="仿宋"/>
          <w:kern w:val="2"/>
          <w:sz w:val="24"/>
          <w:szCs w:val="24"/>
          <w:highlight w:val="none"/>
          <w:lang w:val="en-US" w:eastAsia="zh-CN" w:bidi="ar-SA"/>
        </w:rPr>
        <w:t>较</w:t>
      </w:r>
      <w:r>
        <w:rPr>
          <w:rFonts w:hint="eastAsia" w:ascii="仿宋" w:hAnsi="仿宋" w:eastAsia="仿宋" w:cs="仿宋"/>
          <w:kern w:val="2"/>
          <w:sz w:val="24"/>
          <w:szCs w:val="24"/>
          <w:highlight w:val="none"/>
          <w:lang w:val="zh-CN" w:eastAsia="zh-CN" w:bidi="ar-SA"/>
        </w:rPr>
        <w:t>多及权重分配不合理等问题，建议首先严格按照《项目支出绩效评价管理办法》调整指标层级结构，将“成本指标”归为“产出指标”下的二级指标，并补充“经济效益”和“可持续影响”作为“效益指标”的二级指标；其次，对定性指标（如社会效益、生态效益）进行量化改造，明确具体衡量标准、数据来源及目标值；同时，按项目重要性重新分配权重，确保一级指标（产出、效益、满意度）权重之和为100</w:t>
      </w:r>
      <w:r>
        <w:rPr>
          <w:rFonts w:hint="eastAsia" w:ascii="仿宋" w:hAnsi="仿宋" w:eastAsia="仿宋" w:cs="仿宋"/>
          <w:kern w:val="2"/>
          <w:sz w:val="24"/>
          <w:szCs w:val="24"/>
          <w:highlight w:val="none"/>
          <w:lang w:val="en-US" w:eastAsia="zh-CN" w:bidi="ar-SA"/>
        </w:rPr>
        <w:t>分</w:t>
      </w:r>
      <w:r>
        <w:rPr>
          <w:rFonts w:hint="eastAsia" w:ascii="仿宋" w:hAnsi="仿宋" w:eastAsia="仿宋" w:cs="仿宋"/>
          <w:kern w:val="2"/>
          <w:sz w:val="24"/>
          <w:szCs w:val="24"/>
          <w:highlight w:val="none"/>
          <w:lang w:val="zh-CN" w:eastAsia="zh-CN" w:bidi="ar-SA"/>
        </w:rPr>
        <w:t>，二级指标权重与一级指标匹配；最后，加强对编制人员的培训，重点解读《办法》中的指标设计规范，并引入第三方审核或参考同类优秀案例，确保绩效目标可衡量、可评价且符合政策要求。</w:t>
      </w:r>
    </w:p>
    <w:p w14:paraId="52C82F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229" w:name="_Toc9374"/>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关于应急响应效能提升的建议</w:t>
      </w:r>
      <w:bookmarkEnd w:id="229"/>
    </w:p>
    <w:p w14:paraId="4FC90606">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为确保应急救援中信息传递的“最后一步”畅通无阻，建议在基层配备便携式卫星电话、数字对讲机等通信终端，确保在断网、断电等极端情况下仍能保障关键信息传输。在应急能力建设方面，建立标准化信息报送流程，定期组织跨区域联合演练，重点测试异构设备互联与协同处置效率，同时加强基层人员设备操作培训，确保“配得上、用得好”，最终构建起覆盖预警、响应、处置全环节的高效应急体系。</w:t>
      </w:r>
    </w:p>
    <w:p w14:paraId="5BCA6F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sz w:val="24"/>
          <w:szCs w:val="24"/>
          <w:highlight w:val="none"/>
        </w:rPr>
      </w:pPr>
      <w:bookmarkStart w:id="230" w:name="_Toc11394"/>
      <w:r>
        <w:rPr>
          <w:rFonts w:hint="eastAsia" w:ascii="仿宋" w:hAnsi="仿宋" w:eastAsia="仿宋" w:cs="仿宋"/>
          <w:b/>
          <w:bCs/>
          <w:sz w:val="24"/>
          <w:szCs w:val="24"/>
          <w:highlight w:val="none"/>
          <w:lang w:val="en-US" w:eastAsia="zh-CN"/>
        </w:rPr>
        <w:t>（五）进一步</w:t>
      </w:r>
      <w:r>
        <w:rPr>
          <w:rFonts w:hint="eastAsia" w:ascii="仿宋" w:hAnsi="仿宋" w:eastAsia="仿宋" w:cs="仿宋"/>
          <w:b/>
          <w:bCs/>
          <w:sz w:val="24"/>
          <w:szCs w:val="24"/>
          <w:highlight w:val="none"/>
        </w:rPr>
        <w:t>优化采购流程</w:t>
      </w:r>
      <w:bookmarkEnd w:id="230"/>
    </w:p>
    <w:p w14:paraId="7966FBF3">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在本次应急救援装备采购项目绩效评价工作中，评价工作组本着客观审慎的原则，对本项目相关招标文件、投标响应文件及评标记录进行查阅，从程序合规性角度看，该项目招投标流程在程序上基本符合《中华人民共和国政府采购法》《中华人民共和国招标投标法》的文件要求，采购公告发布、开标评标等环节均按规定执行。但在深入分析技术参数设置与评标结果的对应关系时，工作组发现若干值得留意并关注的情况，具体需关注的情况如下：</w:t>
      </w:r>
    </w:p>
    <w:p w14:paraId="048F1F57">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项目单位在招标文件中将部分装备（如：高压接力消防水泵、移动蓄水池、油锯等）的技术参数在国家级行业标准基础上进行了局部调整，该部分的调整虽幅度不大，但涉及流量、扬程等关键性能指标。</w:t>
      </w:r>
    </w:p>
    <w:p w14:paraId="3E143F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lang w:val="zh-CN" w:eastAsia="zh-CN" w:bidi="ar-SA"/>
        </w:rPr>
        <w:t>经工作组实地走访中标企业发现，该企业所供应的应急救援装备均为外部采购产品，并非自主生产，且通过核查部分购销合同发现，部分装备的采购价与中标价存在较大差异。为优化财政资金使用效率，建议在后续类似采购项目中，主管部门可优先考虑直接向</w:t>
      </w:r>
      <w:r>
        <w:rPr>
          <w:rFonts w:hint="eastAsia" w:ascii="仿宋" w:hAnsi="仿宋" w:eastAsia="仿宋" w:cs="仿宋"/>
          <w:kern w:val="2"/>
          <w:sz w:val="24"/>
          <w:szCs w:val="24"/>
          <w:highlight w:val="none"/>
          <w:lang w:val="en-US" w:eastAsia="zh-CN" w:bidi="ar-SA"/>
        </w:rPr>
        <w:t>完全自主生产或</w:t>
      </w:r>
      <w:r>
        <w:rPr>
          <w:rFonts w:hint="eastAsia" w:ascii="仿宋" w:hAnsi="仿宋" w:eastAsia="仿宋" w:cs="仿宋"/>
          <w:kern w:val="2"/>
          <w:sz w:val="24"/>
          <w:szCs w:val="24"/>
          <w:highlight w:val="none"/>
          <w:lang w:val="zh-CN" w:eastAsia="zh-CN" w:bidi="ar-SA"/>
        </w:rPr>
        <w:t>具备</w:t>
      </w:r>
      <w:r>
        <w:rPr>
          <w:rFonts w:hint="eastAsia" w:ascii="仿宋" w:hAnsi="仿宋" w:eastAsia="仿宋" w:cs="仿宋"/>
          <w:kern w:val="2"/>
          <w:sz w:val="24"/>
          <w:szCs w:val="24"/>
          <w:highlight w:val="none"/>
          <w:lang w:val="en-US" w:eastAsia="zh-CN" w:bidi="ar-SA"/>
        </w:rPr>
        <w:t>一定装备生产</w:t>
      </w:r>
      <w:r>
        <w:rPr>
          <w:rFonts w:hint="eastAsia" w:ascii="仿宋" w:hAnsi="仿宋" w:eastAsia="仿宋" w:cs="仿宋"/>
          <w:kern w:val="2"/>
          <w:sz w:val="24"/>
          <w:szCs w:val="24"/>
          <w:highlight w:val="none"/>
          <w:lang w:val="zh-CN" w:eastAsia="zh-CN" w:bidi="ar-SA"/>
        </w:rPr>
        <w:t>能力的供应商采购，减少中间环节，从而合理控制采购成本，确保财政资金发挥更大效益。</w:t>
      </w:r>
      <w:r>
        <w:rPr>
          <w:rFonts w:hint="eastAsia" w:ascii="仿宋" w:hAnsi="仿宋" w:eastAsia="仿宋" w:cs="仿宋"/>
          <w:kern w:val="2"/>
          <w:sz w:val="24"/>
          <w:szCs w:val="24"/>
          <w:highlight w:val="none"/>
          <w:lang w:val="en-US" w:eastAsia="zh-CN" w:bidi="ar-SA"/>
        </w:rPr>
        <w:t>同时，也可借鉴其他城市招标采购文件预公示的做法，进一步保障招标投标活动便利化、规范化、透明化开展。</w:t>
      </w:r>
    </w:p>
    <w:p w14:paraId="74CA8BEE">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kern w:val="2"/>
          <w:sz w:val="24"/>
          <w:szCs w:val="24"/>
          <w:highlight w:val="none"/>
          <w:lang w:val="zh-CN" w:eastAsia="zh-CN" w:bidi="ar-SA"/>
        </w:rPr>
      </w:pPr>
    </w:p>
    <w:p w14:paraId="65C9545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0"/>
        <w:rPr>
          <w:rFonts w:hint="eastAsia" w:ascii="仿宋" w:hAnsi="仿宋" w:eastAsia="仿宋" w:cs="仿宋"/>
          <w:b/>
          <w:bCs/>
          <w:sz w:val="28"/>
          <w:szCs w:val="28"/>
          <w:highlight w:val="none"/>
          <w:lang w:val="zh-CN" w:eastAsia="zh-CN"/>
        </w:rPr>
      </w:pPr>
      <w:bookmarkStart w:id="231" w:name="_Toc10713"/>
      <w:bookmarkStart w:id="232" w:name="_Toc13546"/>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lang w:val="zh-CN" w:eastAsia="zh-CN"/>
        </w:rPr>
        <w:t>、其他需要说明的问题</w:t>
      </w:r>
      <w:bookmarkEnd w:id="224"/>
      <w:bookmarkEnd w:id="225"/>
      <w:bookmarkEnd w:id="226"/>
      <w:bookmarkEnd w:id="231"/>
      <w:bookmarkEnd w:id="232"/>
    </w:p>
    <w:p w14:paraId="5AEEAE7A">
      <w:pPr>
        <w:pStyle w:val="6"/>
        <w:keepNext w:val="0"/>
        <w:keepLines w:val="0"/>
        <w:pageBreakBefore w:val="0"/>
        <w:widowControl w:val="0"/>
        <w:numPr>
          <w:ilvl w:val="0"/>
          <w:numId w:val="0"/>
        </w:numPr>
        <w:tabs>
          <w:tab w:val="clear" w:pos="2040"/>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仿宋" w:cs="Times New Roman"/>
          <w:b/>
          <w:bCs/>
          <w:sz w:val="24"/>
          <w:highlight w:val="none"/>
        </w:rPr>
      </w:pPr>
      <w:r>
        <w:rPr>
          <w:rFonts w:hint="eastAsia" w:ascii="仿宋" w:hAnsi="仿宋" w:eastAsia="仿宋" w:cs="仿宋"/>
          <w:kern w:val="2"/>
          <w:sz w:val="24"/>
          <w:szCs w:val="24"/>
          <w:highlight w:val="none"/>
          <w:lang w:val="zh-CN" w:eastAsia="zh-CN" w:bidi="ar-SA"/>
        </w:rPr>
        <w:t>本绩效评价报告旨在对202</w:t>
      </w:r>
      <w:r>
        <w:rPr>
          <w:rFonts w:hint="eastAsia" w:ascii="仿宋" w:hAnsi="仿宋" w:eastAsia="仿宋" w:cs="仿宋"/>
          <w:kern w:val="2"/>
          <w:sz w:val="24"/>
          <w:szCs w:val="24"/>
          <w:highlight w:val="none"/>
          <w:lang w:val="en-US" w:eastAsia="zh-CN" w:bidi="ar-SA"/>
        </w:rPr>
        <w:t>4</w:t>
      </w:r>
      <w:r>
        <w:rPr>
          <w:rFonts w:hint="eastAsia" w:ascii="仿宋" w:hAnsi="仿宋" w:eastAsia="仿宋" w:cs="仿宋"/>
          <w:kern w:val="2"/>
          <w:sz w:val="24"/>
          <w:szCs w:val="24"/>
          <w:highlight w:val="none"/>
          <w:lang w:val="zh-CN" w:eastAsia="zh-CN" w:bidi="ar-SA"/>
        </w:rPr>
        <w:t>年度石狮市自然灾害应急能力提升工程经费项目的实施效果进行综合评估，提供决策支持，为未来的项目管理和预算分配提供参考依据。报告中的数据和分析基于现有可获得的信息和文档，可能存在数据不全面或滞后的情况，这可能影响评价结果的准确性和时效性。鉴于数据来源和分析方法的局限，报告中的结论可能需要根据新的数据和情况适时调整。项目管理者应持续监控项目进展，并根据实际情况对策略进行优化。本报告供</w:t>
      </w:r>
      <w:r>
        <w:rPr>
          <w:rFonts w:hint="eastAsia" w:ascii="仿宋" w:hAnsi="仿宋" w:eastAsia="仿宋" w:cs="仿宋"/>
          <w:kern w:val="2"/>
          <w:sz w:val="24"/>
          <w:szCs w:val="24"/>
          <w:highlight w:val="none"/>
          <w:lang w:val="en-US" w:eastAsia="zh-CN" w:bidi="ar-SA"/>
        </w:rPr>
        <w:t>石狮市应急管理局</w:t>
      </w:r>
      <w:r>
        <w:rPr>
          <w:rFonts w:hint="eastAsia" w:ascii="仿宋" w:hAnsi="仿宋" w:eastAsia="仿宋" w:cs="仿宋"/>
          <w:kern w:val="2"/>
          <w:sz w:val="24"/>
          <w:szCs w:val="24"/>
          <w:highlight w:val="none"/>
          <w:lang w:val="zh-CN" w:eastAsia="zh-CN" w:bidi="ar-SA"/>
        </w:rPr>
        <w:t>及相关部门在项目规划、执行和监控过程中使用。建议使用者结合项目实际情况，参考报告中的评价结果和建议，制定相应的改进措施。</w:t>
      </w:r>
    </w:p>
    <w:p w14:paraId="633375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仿宋" w:cs="Times New Roman"/>
          <w:b/>
          <w:bCs/>
          <w:sz w:val="24"/>
          <w:highlight w:val="none"/>
        </w:rPr>
      </w:pPr>
    </w:p>
    <w:p w14:paraId="439977A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Times New Roman" w:hAnsi="Times New Roman" w:eastAsia="仿宋" w:cs="Times New Roman"/>
          <w:b/>
          <w:bCs/>
          <w:sz w:val="24"/>
          <w:highlight w:val="none"/>
        </w:rPr>
      </w:pPr>
      <w:r>
        <w:rPr>
          <w:rFonts w:hint="default" w:ascii="Times New Roman" w:hAnsi="Times New Roman" w:eastAsia="仿宋" w:cs="Times New Roman"/>
          <w:b/>
          <w:bCs/>
          <w:sz w:val="24"/>
          <w:highlight w:val="none"/>
        </w:rPr>
        <w:t>集大财经咨询（福州）有限公司</w:t>
      </w:r>
      <w:r>
        <w:rPr>
          <w:rFonts w:hint="default" w:ascii="Times New Roman" w:hAnsi="Times New Roman" w:eastAsia="仿宋" w:cs="Times New Roman"/>
          <w:b/>
          <w:bCs/>
          <w:sz w:val="24"/>
          <w:highlight w:val="none"/>
          <w:lang w:val="en-US" w:eastAsia="zh-CN"/>
        </w:rPr>
        <w:t xml:space="preserve">                 主评人签字：</w:t>
      </w:r>
    </w:p>
    <w:p w14:paraId="226D9373">
      <w:pPr>
        <w:keepNext w:val="0"/>
        <w:keepLines w:val="0"/>
        <w:pageBreakBefore w:val="0"/>
        <w:widowControl w:val="0"/>
        <w:kinsoku/>
        <w:wordWrap/>
        <w:overflowPunct/>
        <w:topLinePunct w:val="0"/>
        <w:autoSpaceDE/>
        <w:autoSpaceDN/>
        <w:bidi w:val="0"/>
        <w:adjustRightInd/>
        <w:snapToGrid/>
        <w:spacing w:line="240" w:lineRule="auto"/>
        <w:ind w:firstLine="1446" w:firstLineChars="600"/>
        <w:jc w:val="both"/>
        <w:textAlignment w:val="auto"/>
        <w:rPr>
          <w:rFonts w:hint="default" w:ascii="Times New Roman" w:hAnsi="Times New Roman" w:eastAsia="仿宋" w:cs="Times New Roman"/>
          <w:b/>
          <w:bCs/>
          <w:sz w:val="28"/>
          <w:szCs w:val="28"/>
          <w:highlight w:val="none"/>
          <w:lang w:val="zh-CN" w:eastAsia="zh-CN"/>
        </w:rPr>
      </w:pPr>
      <w:r>
        <w:rPr>
          <w:rFonts w:hint="default" w:ascii="Times New Roman" w:hAnsi="Times New Roman" w:eastAsia="仿宋" w:cs="Times New Roman"/>
          <w:b/>
          <w:bCs/>
          <w:sz w:val="24"/>
          <w:highlight w:val="none"/>
          <w:lang w:val="en-US" w:eastAsia="zh-CN"/>
        </w:rPr>
        <w:t xml:space="preserve">中国 </w:t>
      </w:r>
      <w:r>
        <w:rPr>
          <w:rFonts w:hint="default" w:ascii="Times New Roman" w:hAnsi="Times New Roman" w:eastAsia="微软雅黑" w:cs="Times New Roman"/>
          <w:b/>
          <w:bCs/>
          <w:sz w:val="24"/>
          <w:highlight w:val="none"/>
          <w:lang w:val="en-US" w:eastAsia="zh-CN"/>
        </w:rPr>
        <w:t>•</w:t>
      </w:r>
      <w:r>
        <w:rPr>
          <w:rFonts w:hint="default" w:ascii="Times New Roman" w:hAnsi="Times New Roman" w:eastAsia="仿宋" w:cs="Times New Roman"/>
          <w:b/>
          <w:bCs/>
          <w:sz w:val="24"/>
          <w:highlight w:val="none"/>
          <w:lang w:val="en-US" w:eastAsia="zh-CN"/>
        </w:rPr>
        <w:t xml:space="preserve"> 福州                           二零二五</w:t>
      </w:r>
      <w:r>
        <w:rPr>
          <w:rFonts w:hint="default" w:ascii="Times New Roman" w:hAnsi="Times New Roman" w:eastAsia="仿宋" w:cs="Times New Roman"/>
          <w:b/>
          <w:bCs/>
          <w:sz w:val="24"/>
          <w:highlight w:val="none"/>
        </w:rPr>
        <w:t>年</w:t>
      </w:r>
      <w:r>
        <w:rPr>
          <w:rFonts w:hint="default" w:ascii="Times New Roman" w:hAnsi="Times New Roman" w:eastAsia="仿宋" w:cs="Times New Roman"/>
          <w:b/>
          <w:bCs/>
          <w:sz w:val="24"/>
          <w:highlight w:val="none"/>
          <w:lang w:val="en-US" w:eastAsia="zh-CN"/>
        </w:rPr>
        <w:t>七</w:t>
      </w:r>
      <w:r>
        <w:rPr>
          <w:rFonts w:hint="default" w:ascii="Times New Roman" w:hAnsi="Times New Roman" w:eastAsia="仿宋" w:cs="Times New Roman"/>
          <w:b/>
          <w:bCs/>
          <w:sz w:val="24"/>
          <w:highlight w:val="none"/>
        </w:rPr>
        <w:t>月</w:t>
      </w:r>
      <w:r>
        <w:rPr>
          <w:rFonts w:hint="default" w:ascii="Times New Roman" w:hAnsi="Times New Roman" w:eastAsia="仿宋" w:cs="Times New Roman"/>
          <w:b/>
          <w:bCs/>
          <w:sz w:val="24"/>
          <w:highlight w:val="none"/>
          <w:lang w:val="en-US" w:eastAsia="zh-CN"/>
        </w:rPr>
        <w:t>二十八</w:t>
      </w:r>
      <w:r>
        <w:rPr>
          <w:rFonts w:hint="default" w:ascii="Times New Roman" w:hAnsi="Times New Roman" w:eastAsia="仿宋" w:cs="Times New Roman"/>
          <w:b/>
          <w:bCs/>
          <w:sz w:val="24"/>
          <w:highlight w:val="none"/>
        </w:rPr>
        <w:t>日</w:t>
      </w:r>
      <w:bookmarkStart w:id="233" w:name="_Toc7612"/>
      <w:bookmarkStart w:id="234" w:name="_Toc184981082"/>
      <w:bookmarkStart w:id="235" w:name="_Toc184981320"/>
      <w:bookmarkStart w:id="236" w:name="_Toc15180"/>
      <w:bookmarkStart w:id="237" w:name="_Toc17139"/>
    </w:p>
    <w:p w14:paraId="07A48F22">
      <w:pPr>
        <w:rPr>
          <w:rFonts w:hint="default" w:ascii="Times New Roman" w:hAnsi="Times New Roman" w:eastAsia="仿宋" w:cs="Times New Roman"/>
          <w:b/>
          <w:bCs/>
          <w:sz w:val="28"/>
          <w:szCs w:val="28"/>
          <w:highlight w:val="none"/>
          <w:lang w:val="zh-CN" w:eastAsia="zh-CN"/>
        </w:rPr>
      </w:pPr>
      <w:r>
        <w:rPr>
          <w:rFonts w:hint="default" w:ascii="Times New Roman" w:hAnsi="Times New Roman" w:eastAsia="仿宋" w:cs="Times New Roman"/>
          <w:b/>
          <w:bCs/>
          <w:sz w:val="28"/>
          <w:szCs w:val="28"/>
          <w:highlight w:val="none"/>
          <w:lang w:val="zh-CN" w:eastAsia="zh-CN"/>
        </w:rPr>
        <w:br w:type="page"/>
      </w:r>
    </w:p>
    <w:p w14:paraId="3366D6EF">
      <w:pPr>
        <w:keepNext w:val="0"/>
        <w:keepLines w:val="0"/>
        <w:pageBreakBefore w:val="0"/>
        <w:widowControl w:val="0"/>
        <w:kinsoku/>
        <w:wordWrap/>
        <w:overflowPunct/>
        <w:topLinePunct w:val="0"/>
        <w:autoSpaceDE/>
        <w:autoSpaceDN/>
        <w:bidi w:val="0"/>
        <w:adjustRightInd/>
        <w:snapToGrid/>
        <w:spacing w:line="360" w:lineRule="auto"/>
        <w:ind w:firstLine="281" w:firstLineChars="100"/>
        <w:jc w:val="center"/>
        <w:textAlignment w:val="auto"/>
        <w:outlineLvl w:val="0"/>
        <w:rPr>
          <w:rFonts w:hint="default" w:ascii="Times New Roman" w:hAnsi="Times New Roman" w:eastAsia="仿宋" w:cs="Times New Roman"/>
          <w:b/>
          <w:bCs/>
          <w:sz w:val="28"/>
          <w:szCs w:val="28"/>
          <w:highlight w:val="none"/>
          <w:lang w:val="zh-CN" w:eastAsia="zh-CN"/>
        </w:rPr>
      </w:pPr>
      <w:bookmarkStart w:id="238" w:name="_Toc31659"/>
      <w:r>
        <w:rPr>
          <w:rFonts w:hint="default" w:ascii="Times New Roman" w:hAnsi="Times New Roman" w:eastAsia="仿宋" w:cs="Times New Roman"/>
          <w:b/>
          <w:bCs/>
          <w:sz w:val="28"/>
          <w:szCs w:val="28"/>
          <w:highlight w:val="none"/>
          <w:lang w:val="zh-CN" w:eastAsia="zh-CN"/>
        </w:rPr>
        <w:t>附表</w:t>
      </w:r>
      <w:r>
        <w:rPr>
          <w:rFonts w:hint="default" w:ascii="Times New Roman" w:hAnsi="Times New Roman" w:eastAsia="仿宋" w:cs="Times New Roman"/>
          <w:b/>
          <w:bCs/>
          <w:sz w:val="28"/>
          <w:szCs w:val="28"/>
          <w:highlight w:val="none"/>
          <w:lang w:val="en-US" w:eastAsia="zh-CN"/>
        </w:rPr>
        <w:t xml:space="preserve">  石狮</w:t>
      </w:r>
      <w:r>
        <w:rPr>
          <w:rFonts w:hint="default" w:ascii="Times New Roman" w:hAnsi="Times New Roman" w:eastAsia="仿宋" w:cs="Times New Roman"/>
          <w:b/>
          <w:bCs/>
          <w:sz w:val="28"/>
          <w:szCs w:val="28"/>
          <w:highlight w:val="none"/>
          <w:lang w:val="zh-CN" w:eastAsia="zh-CN"/>
        </w:rPr>
        <w:t>市202</w:t>
      </w:r>
      <w:r>
        <w:rPr>
          <w:rFonts w:hint="default" w:ascii="Times New Roman" w:hAnsi="Times New Roman" w:eastAsia="仿宋" w:cs="Times New Roman"/>
          <w:b/>
          <w:bCs/>
          <w:sz w:val="28"/>
          <w:szCs w:val="28"/>
          <w:highlight w:val="none"/>
          <w:lang w:val="en-US" w:eastAsia="zh-CN"/>
        </w:rPr>
        <w:t>4</w:t>
      </w:r>
      <w:r>
        <w:rPr>
          <w:rFonts w:hint="default" w:ascii="Times New Roman" w:hAnsi="Times New Roman" w:eastAsia="仿宋" w:cs="Times New Roman"/>
          <w:b/>
          <w:bCs/>
          <w:sz w:val="28"/>
          <w:szCs w:val="28"/>
          <w:highlight w:val="none"/>
          <w:lang w:val="zh-CN" w:eastAsia="zh-CN"/>
        </w:rPr>
        <w:t>年自然灾害应急能力提升工程项目</w:t>
      </w:r>
      <w:bookmarkEnd w:id="233"/>
      <w:bookmarkEnd w:id="238"/>
    </w:p>
    <w:p w14:paraId="51E16F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cs="Times New Roman"/>
          <w:highlight w:val="none"/>
        </w:rPr>
      </w:pPr>
      <w:r>
        <w:rPr>
          <w:rFonts w:hint="default" w:ascii="Times New Roman" w:hAnsi="Times New Roman" w:eastAsia="仿宋" w:cs="Times New Roman"/>
          <w:b/>
          <w:bCs/>
          <w:sz w:val="28"/>
          <w:szCs w:val="28"/>
          <w:highlight w:val="none"/>
          <w:lang w:val="zh-CN" w:eastAsia="zh-CN"/>
        </w:rPr>
        <w:t>经费支出评价指标表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220"/>
        <w:gridCol w:w="1280"/>
        <w:gridCol w:w="5342"/>
      </w:tblGrid>
      <w:tr w14:paraId="5EF9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180" w:type="dxa"/>
            <w:gridSpan w:val="3"/>
            <w:vAlign w:val="top"/>
          </w:tcPr>
          <w:p w14:paraId="6E3661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b/>
                <w:bCs/>
                <w:sz w:val="21"/>
                <w:szCs w:val="21"/>
                <w:highlight w:val="none"/>
                <w:vertAlign w:val="baseline"/>
              </w:rPr>
            </w:pPr>
            <w:bookmarkStart w:id="239" w:name="_Toc22242"/>
            <w:bookmarkStart w:id="240" w:name="_Toc28604"/>
            <w:r>
              <w:rPr>
                <w:rFonts w:hint="default" w:ascii="Times New Roman" w:hAnsi="Times New Roman" w:eastAsia="仿宋" w:cs="Times New Roman"/>
                <w:b/>
                <w:bCs/>
                <w:sz w:val="21"/>
                <w:szCs w:val="21"/>
                <w:highlight w:val="none"/>
                <w:vertAlign w:val="baseline"/>
                <w:lang w:val="en-US" w:eastAsia="zh-CN"/>
              </w:rPr>
              <w:t>评价指标</w:t>
            </w:r>
          </w:p>
        </w:tc>
        <w:tc>
          <w:tcPr>
            <w:tcW w:w="5342" w:type="dxa"/>
            <w:vMerge w:val="restart"/>
            <w:vAlign w:val="center"/>
          </w:tcPr>
          <w:p w14:paraId="10485EC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b/>
                <w:bCs/>
                <w:sz w:val="21"/>
                <w:szCs w:val="21"/>
                <w:highlight w:val="none"/>
                <w:vertAlign w:val="baseline"/>
              </w:rPr>
            </w:pPr>
            <w:r>
              <w:rPr>
                <w:rFonts w:hint="default" w:ascii="Times New Roman" w:hAnsi="Times New Roman" w:eastAsia="仿宋" w:cs="Times New Roman"/>
                <w:b/>
                <w:bCs/>
                <w:sz w:val="21"/>
                <w:szCs w:val="21"/>
                <w:highlight w:val="none"/>
                <w:vertAlign w:val="baseline"/>
                <w:lang w:val="en-US" w:eastAsia="zh-CN"/>
              </w:rPr>
              <w:t>评分标准</w:t>
            </w:r>
          </w:p>
        </w:tc>
      </w:tr>
      <w:tr w14:paraId="03AC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416DFEF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b/>
                <w:bCs/>
                <w:sz w:val="21"/>
                <w:szCs w:val="21"/>
                <w:highlight w:val="none"/>
                <w:vertAlign w:val="baseline"/>
                <w:lang w:val="en-US" w:eastAsia="zh-CN"/>
              </w:rPr>
            </w:pPr>
            <w:r>
              <w:rPr>
                <w:rFonts w:hint="default" w:ascii="Times New Roman" w:hAnsi="Times New Roman" w:eastAsia="仿宋" w:cs="Times New Roman"/>
                <w:b/>
                <w:bCs/>
                <w:sz w:val="21"/>
                <w:szCs w:val="21"/>
                <w:highlight w:val="none"/>
                <w:vertAlign w:val="baseline"/>
                <w:lang w:val="en-US" w:eastAsia="zh-CN"/>
              </w:rPr>
              <w:t>一级指标</w:t>
            </w:r>
          </w:p>
        </w:tc>
        <w:tc>
          <w:tcPr>
            <w:tcW w:w="1220" w:type="dxa"/>
            <w:vAlign w:val="center"/>
          </w:tcPr>
          <w:p w14:paraId="5FA016D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b/>
                <w:bCs/>
                <w:sz w:val="21"/>
                <w:szCs w:val="21"/>
                <w:highlight w:val="none"/>
                <w:vertAlign w:val="baseline"/>
              </w:rPr>
            </w:pPr>
            <w:r>
              <w:rPr>
                <w:rFonts w:hint="default" w:ascii="Times New Roman" w:hAnsi="Times New Roman" w:eastAsia="仿宋" w:cs="Times New Roman"/>
                <w:b/>
                <w:bCs/>
                <w:sz w:val="21"/>
                <w:szCs w:val="21"/>
                <w:highlight w:val="none"/>
                <w:vertAlign w:val="baseline"/>
                <w:lang w:val="en-US" w:eastAsia="zh-CN"/>
              </w:rPr>
              <w:t>二级指标</w:t>
            </w:r>
          </w:p>
        </w:tc>
        <w:tc>
          <w:tcPr>
            <w:tcW w:w="1280" w:type="dxa"/>
            <w:vAlign w:val="center"/>
          </w:tcPr>
          <w:p w14:paraId="71C610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b/>
                <w:bCs/>
                <w:sz w:val="21"/>
                <w:szCs w:val="21"/>
                <w:highlight w:val="none"/>
                <w:vertAlign w:val="baseline"/>
              </w:rPr>
            </w:pPr>
            <w:r>
              <w:rPr>
                <w:rFonts w:hint="default" w:ascii="Times New Roman" w:hAnsi="Times New Roman" w:eastAsia="仿宋" w:cs="Times New Roman"/>
                <w:b/>
                <w:bCs/>
                <w:sz w:val="21"/>
                <w:szCs w:val="21"/>
                <w:highlight w:val="none"/>
                <w:vertAlign w:val="baseline"/>
                <w:lang w:val="en-US" w:eastAsia="zh-CN"/>
              </w:rPr>
              <w:t>三级指标</w:t>
            </w:r>
          </w:p>
        </w:tc>
        <w:tc>
          <w:tcPr>
            <w:tcW w:w="5342" w:type="dxa"/>
            <w:vMerge w:val="continue"/>
            <w:vAlign w:val="center"/>
          </w:tcPr>
          <w:p w14:paraId="71B23D2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b/>
                <w:bCs/>
                <w:sz w:val="21"/>
                <w:szCs w:val="21"/>
                <w:highlight w:val="none"/>
                <w:vertAlign w:val="baseline"/>
              </w:rPr>
            </w:pPr>
          </w:p>
        </w:tc>
      </w:tr>
      <w:tr w14:paraId="4B70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restart"/>
            <w:vAlign w:val="center"/>
          </w:tcPr>
          <w:p w14:paraId="10ECE2F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决策（16分）</w:t>
            </w:r>
          </w:p>
        </w:tc>
        <w:tc>
          <w:tcPr>
            <w:tcW w:w="1220" w:type="dxa"/>
            <w:vMerge w:val="restart"/>
            <w:vAlign w:val="center"/>
          </w:tcPr>
          <w:p w14:paraId="776A0B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lang w:val="en-US" w:eastAsia="zh-CN"/>
              </w:rPr>
              <w:t>项目立项</w:t>
            </w:r>
            <w:r>
              <w:rPr>
                <w:rFonts w:hint="eastAsia" w:ascii="仿宋" w:hAnsi="仿宋" w:eastAsia="仿宋" w:cs="仿宋"/>
                <w:sz w:val="21"/>
                <w:szCs w:val="21"/>
                <w:highlight w:val="none"/>
                <w:vertAlign w:val="baseline"/>
                <w:lang w:val="en-US" w:eastAsia="zh-CN"/>
              </w:rPr>
              <w:t>（5分）</w:t>
            </w:r>
          </w:p>
        </w:tc>
        <w:tc>
          <w:tcPr>
            <w:tcW w:w="1280" w:type="dxa"/>
            <w:vAlign w:val="center"/>
          </w:tcPr>
          <w:p w14:paraId="354613B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立项依据充分性</w:t>
            </w:r>
          </w:p>
          <w:p w14:paraId="00821DA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（2分）</w:t>
            </w:r>
          </w:p>
        </w:tc>
        <w:tc>
          <w:tcPr>
            <w:tcW w:w="5342" w:type="dxa"/>
            <w:vAlign w:val="center"/>
          </w:tcPr>
          <w:p w14:paraId="7618B89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①项目立项是否符合国家法律法规、国民经济发展规划和相关政策；</w:t>
            </w:r>
          </w:p>
          <w:p w14:paraId="7C7ED3A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②项目立项是否符合行业发展规划和政策要求；</w:t>
            </w:r>
          </w:p>
          <w:p w14:paraId="43C46DD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③项目立项是否与部门职责范围相符，属于部门履职所需；</w:t>
            </w:r>
          </w:p>
          <w:p w14:paraId="238599D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④项目是否属于公共财政支持范围，是否符合中央、地方事权支出责任划分原则；</w:t>
            </w:r>
          </w:p>
          <w:p w14:paraId="4248E18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⑤项目是否与相关部门同类项目或部门内部相关项目重复。</w:t>
            </w:r>
          </w:p>
          <w:p w14:paraId="5A7EA4C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0.4</w:t>
            </w:r>
            <w:r>
              <w:rPr>
                <w:rFonts w:hint="eastAsia" w:ascii="仿宋" w:hAnsi="仿宋" w:eastAsia="仿宋" w:cs="仿宋"/>
                <w:sz w:val="21"/>
                <w:szCs w:val="21"/>
                <w:highlight w:val="none"/>
                <w:vertAlign w:val="baseline"/>
              </w:rPr>
              <w:t>分。</w:t>
            </w:r>
          </w:p>
        </w:tc>
      </w:tr>
      <w:tr w14:paraId="1F75E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2A1007D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continue"/>
            <w:vAlign w:val="center"/>
          </w:tcPr>
          <w:p w14:paraId="72B5BF3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80" w:type="dxa"/>
            <w:vAlign w:val="center"/>
          </w:tcPr>
          <w:p w14:paraId="7644C5B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立项依据</w:t>
            </w:r>
            <w:r>
              <w:rPr>
                <w:rFonts w:hint="eastAsia" w:ascii="仿宋" w:hAnsi="仿宋" w:eastAsia="仿宋" w:cs="仿宋"/>
                <w:sz w:val="21"/>
                <w:szCs w:val="21"/>
                <w:highlight w:val="none"/>
                <w:vertAlign w:val="baseline"/>
                <w:lang w:val="en-US" w:eastAsia="zh-CN"/>
              </w:rPr>
              <w:t>规范</w:t>
            </w:r>
            <w:r>
              <w:rPr>
                <w:rFonts w:hint="eastAsia" w:ascii="仿宋" w:hAnsi="仿宋" w:eastAsia="仿宋" w:cs="仿宋"/>
                <w:sz w:val="21"/>
                <w:szCs w:val="21"/>
                <w:highlight w:val="none"/>
                <w:vertAlign w:val="baseline"/>
              </w:rPr>
              <w:t>性</w:t>
            </w:r>
          </w:p>
          <w:p w14:paraId="3A9613D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（3分）</w:t>
            </w:r>
          </w:p>
        </w:tc>
        <w:tc>
          <w:tcPr>
            <w:tcW w:w="5342" w:type="dxa"/>
            <w:vAlign w:val="center"/>
          </w:tcPr>
          <w:p w14:paraId="3B074BA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①项目是否按照规定的程序申请设立；</w:t>
            </w:r>
          </w:p>
          <w:p w14:paraId="0FAA46B3">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②审批文件、材料是否符合相关要求；</w:t>
            </w:r>
          </w:p>
          <w:p w14:paraId="60DAC3E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③事前是否已经过必要的可行性研究、专家论证、风险评估、绩效评估、集体决策。</w:t>
            </w:r>
          </w:p>
          <w:p w14:paraId="1F3983DC">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3</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分。</w:t>
            </w:r>
          </w:p>
        </w:tc>
      </w:tr>
      <w:tr w14:paraId="4B2B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41251A1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restart"/>
            <w:vAlign w:val="center"/>
          </w:tcPr>
          <w:p w14:paraId="6F4CC94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lang w:val="en-US" w:eastAsia="zh-CN"/>
              </w:rPr>
              <w:t>绩效目标</w:t>
            </w:r>
            <w:r>
              <w:rPr>
                <w:rFonts w:hint="eastAsia" w:ascii="仿宋" w:hAnsi="仿宋" w:eastAsia="仿宋" w:cs="仿宋"/>
                <w:sz w:val="21"/>
                <w:szCs w:val="21"/>
                <w:highlight w:val="none"/>
                <w:vertAlign w:val="baseline"/>
                <w:lang w:val="en-US" w:eastAsia="zh-CN"/>
              </w:rPr>
              <w:t>（7分）</w:t>
            </w:r>
          </w:p>
        </w:tc>
        <w:tc>
          <w:tcPr>
            <w:tcW w:w="1280" w:type="dxa"/>
            <w:vAlign w:val="center"/>
          </w:tcPr>
          <w:p w14:paraId="640A3E3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绩效目标合理性</w:t>
            </w:r>
          </w:p>
          <w:p w14:paraId="24DBD73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rPr>
            </w:pPr>
            <w:r>
              <w:rPr>
                <w:rFonts w:hint="eastAsia" w:ascii="仿宋" w:hAnsi="仿宋" w:eastAsia="仿宋" w:cs="仿宋"/>
                <w:sz w:val="21"/>
                <w:szCs w:val="21"/>
                <w:highlight w:val="none"/>
                <w:vertAlign w:val="baseline"/>
                <w:lang w:val="en-US" w:eastAsia="zh-CN"/>
              </w:rPr>
              <w:t>（4分）</w:t>
            </w:r>
          </w:p>
        </w:tc>
        <w:tc>
          <w:tcPr>
            <w:tcW w:w="5342" w:type="dxa"/>
            <w:vAlign w:val="center"/>
          </w:tcPr>
          <w:p w14:paraId="2936192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①项目是否有绩效目标；</w:t>
            </w:r>
          </w:p>
          <w:p w14:paraId="67B7324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②项目绩效目标与实际工作内容是否具有相关性；</w:t>
            </w:r>
          </w:p>
          <w:p w14:paraId="31AEA72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③项目预期产出效益和效果是否符合正常的业绩水平；</w:t>
            </w:r>
          </w:p>
          <w:p w14:paraId="75D5B38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④是否与预算确定的项目投资额或资金量相匹配。</w:t>
            </w:r>
          </w:p>
          <w:p w14:paraId="26064B83">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4</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分。</w:t>
            </w:r>
          </w:p>
        </w:tc>
      </w:tr>
      <w:tr w14:paraId="4470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7543455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continue"/>
            <w:vAlign w:val="center"/>
          </w:tcPr>
          <w:p w14:paraId="017EDB4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80" w:type="dxa"/>
            <w:vAlign w:val="center"/>
          </w:tcPr>
          <w:p w14:paraId="08E2A55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绩效指标明确性</w:t>
            </w:r>
          </w:p>
          <w:p w14:paraId="099ABE4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（3分）</w:t>
            </w:r>
          </w:p>
        </w:tc>
        <w:tc>
          <w:tcPr>
            <w:tcW w:w="5342" w:type="dxa"/>
            <w:vAlign w:val="center"/>
          </w:tcPr>
          <w:p w14:paraId="5EF5958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①是否将项目绩效目标细化分解为具体的绩效指标；</w:t>
            </w:r>
          </w:p>
          <w:p w14:paraId="3515D86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②是否通过清晰、可衡量的指标值予以体现；</w:t>
            </w:r>
          </w:p>
          <w:p w14:paraId="131538A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③是否与项目目标任务数或计划数相对应。满分3分，一项不符合扣1分。</w:t>
            </w:r>
          </w:p>
        </w:tc>
      </w:tr>
      <w:tr w14:paraId="680C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351265D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restart"/>
            <w:vAlign w:val="center"/>
          </w:tcPr>
          <w:p w14:paraId="02EFF17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lang w:val="en-US" w:eastAsia="zh-CN"/>
              </w:rPr>
              <w:t>资金投入</w:t>
            </w:r>
            <w:r>
              <w:rPr>
                <w:rFonts w:hint="eastAsia" w:ascii="仿宋" w:hAnsi="仿宋" w:eastAsia="仿宋" w:cs="仿宋"/>
                <w:sz w:val="21"/>
                <w:szCs w:val="21"/>
                <w:highlight w:val="none"/>
                <w:vertAlign w:val="baseline"/>
                <w:lang w:val="en-US" w:eastAsia="zh-CN"/>
              </w:rPr>
              <w:t>（4分）</w:t>
            </w:r>
          </w:p>
        </w:tc>
        <w:tc>
          <w:tcPr>
            <w:tcW w:w="1280" w:type="dxa"/>
            <w:vAlign w:val="center"/>
          </w:tcPr>
          <w:p w14:paraId="2AFA2EE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预算编制</w:t>
            </w:r>
          </w:p>
          <w:p w14:paraId="0A02648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科学性</w:t>
            </w:r>
          </w:p>
          <w:p w14:paraId="53ECD35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（2分）</w:t>
            </w:r>
          </w:p>
        </w:tc>
        <w:tc>
          <w:tcPr>
            <w:tcW w:w="5342" w:type="dxa"/>
            <w:vAlign w:val="center"/>
          </w:tcPr>
          <w:p w14:paraId="10E7958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①预算编制是否经过科学论证；</w:t>
            </w:r>
          </w:p>
          <w:p w14:paraId="1F4C95C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②预算内容与项目内容是否匹配；</w:t>
            </w:r>
          </w:p>
          <w:p w14:paraId="1FF7D73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③预算额度测算依据是否充分，是否按照标准编制；</w:t>
            </w:r>
          </w:p>
          <w:p w14:paraId="243CA7D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④预算确定的项目投资额或资金量是否与工作任务相匹配。</w:t>
            </w:r>
          </w:p>
          <w:p w14:paraId="087DAD4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0.5</w:t>
            </w:r>
            <w:r>
              <w:rPr>
                <w:rFonts w:hint="eastAsia" w:ascii="仿宋" w:hAnsi="仿宋" w:eastAsia="仿宋" w:cs="仿宋"/>
                <w:sz w:val="21"/>
                <w:szCs w:val="21"/>
                <w:highlight w:val="none"/>
                <w:vertAlign w:val="baseline"/>
              </w:rPr>
              <w:t>分。</w:t>
            </w:r>
          </w:p>
        </w:tc>
      </w:tr>
      <w:tr w14:paraId="6A43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58C0EB6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continue"/>
            <w:vAlign w:val="center"/>
          </w:tcPr>
          <w:p w14:paraId="2083B55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p>
        </w:tc>
        <w:tc>
          <w:tcPr>
            <w:tcW w:w="1280" w:type="dxa"/>
            <w:vAlign w:val="center"/>
          </w:tcPr>
          <w:p w14:paraId="706AE1A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资金分配合理性</w:t>
            </w:r>
          </w:p>
          <w:p w14:paraId="528D959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（2分）</w:t>
            </w:r>
          </w:p>
        </w:tc>
        <w:tc>
          <w:tcPr>
            <w:tcW w:w="5342" w:type="dxa"/>
            <w:vAlign w:val="center"/>
          </w:tcPr>
          <w:p w14:paraId="09A3831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①预算资金分配依据是否充分；</w:t>
            </w:r>
          </w:p>
          <w:p w14:paraId="79AB937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②资金分配额度是否合理，与项目单位或地方实际是否相适应。</w:t>
            </w:r>
          </w:p>
          <w:p w14:paraId="6B9D182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分。</w:t>
            </w:r>
          </w:p>
        </w:tc>
      </w:tr>
      <w:tr w14:paraId="445B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restart"/>
            <w:vAlign w:val="center"/>
          </w:tcPr>
          <w:p w14:paraId="25DB6B9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过程（18分）</w:t>
            </w:r>
          </w:p>
        </w:tc>
        <w:tc>
          <w:tcPr>
            <w:tcW w:w="1220" w:type="dxa"/>
            <w:vMerge w:val="restart"/>
            <w:vAlign w:val="center"/>
          </w:tcPr>
          <w:p w14:paraId="4F004B7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资金管理</w:t>
            </w:r>
            <w:r>
              <w:rPr>
                <w:rFonts w:hint="eastAsia" w:ascii="仿宋" w:hAnsi="仿宋" w:eastAsia="仿宋" w:cs="仿宋"/>
                <w:sz w:val="21"/>
                <w:szCs w:val="21"/>
                <w:highlight w:val="none"/>
                <w:vertAlign w:val="baseline"/>
                <w:lang w:val="en-US" w:eastAsia="zh-CN"/>
              </w:rPr>
              <w:t>（9分）</w:t>
            </w:r>
          </w:p>
        </w:tc>
        <w:tc>
          <w:tcPr>
            <w:tcW w:w="1280" w:type="dxa"/>
            <w:vAlign w:val="center"/>
          </w:tcPr>
          <w:p w14:paraId="7317ED7B">
            <w:pPr>
              <w:keepNext w:val="0"/>
              <w:keepLines w:val="0"/>
              <w:pageBreakBefore w:val="0"/>
              <w:widowControl/>
              <w:suppressLineNumbers w:val="0"/>
              <w:kinsoku/>
              <w:wordWrap/>
              <w:overflowPunct/>
              <w:topLinePunct w:val="0"/>
              <w:autoSpaceDE/>
              <w:autoSpaceDN/>
              <w:bidi w:val="0"/>
              <w:adjustRightInd/>
              <w:snapToGrid/>
              <w:spacing w:before="60" w:after="60" w:line="380" w:lineRule="exact"/>
              <w:jc w:val="center"/>
              <w:textAlignment w:val="center"/>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t>资金</w:t>
            </w:r>
          </w:p>
          <w:p w14:paraId="756C59B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t>到位率</w:t>
            </w:r>
          </w:p>
          <w:p w14:paraId="35C2AB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（3分）</w:t>
            </w:r>
          </w:p>
        </w:tc>
        <w:tc>
          <w:tcPr>
            <w:tcW w:w="5342" w:type="dxa"/>
            <w:vAlign w:val="center"/>
          </w:tcPr>
          <w:p w14:paraId="0111832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资金到位率=（实际到位资金/预算资金）×100%。</w:t>
            </w:r>
          </w:p>
          <w:p w14:paraId="51DAA6D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得分=</w:t>
            </w:r>
            <w:r>
              <w:rPr>
                <w:rFonts w:hint="eastAsia" w:ascii="仿宋" w:hAnsi="仿宋" w:eastAsia="仿宋" w:cs="仿宋"/>
                <w:sz w:val="21"/>
                <w:szCs w:val="21"/>
                <w:highlight w:val="none"/>
                <w:vertAlign w:val="baseline"/>
              </w:rPr>
              <w:t>资金到位率×</w:t>
            </w:r>
            <w:r>
              <w:rPr>
                <w:rFonts w:hint="eastAsia" w:ascii="仿宋" w:hAnsi="仿宋" w:eastAsia="仿宋" w:cs="仿宋"/>
                <w:sz w:val="21"/>
                <w:szCs w:val="21"/>
                <w:highlight w:val="none"/>
                <w:vertAlign w:val="baseline"/>
                <w:lang w:val="en-US" w:eastAsia="zh-CN"/>
              </w:rPr>
              <w:t>3分</w:t>
            </w:r>
          </w:p>
        </w:tc>
      </w:tr>
      <w:tr w14:paraId="785C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24765E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continue"/>
            <w:vAlign w:val="center"/>
          </w:tcPr>
          <w:p w14:paraId="1F8C93E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p>
        </w:tc>
        <w:tc>
          <w:tcPr>
            <w:tcW w:w="1280" w:type="dxa"/>
            <w:vAlign w:val="center"/>
          </w:tcPr>
          <w:p w14:paraId="6823ACC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t>预算执行率</w:t>
            </w:r>
            <w:r>
              <w:rPr>
                <w:rFonts w:hint="eastAsia" w:ascii="仿宋" w:hAnsi="仿宋" w:eastAsia="仿宋" w:cs="仿宋"/>
                <w:sz w:val="21"/>
                <w:szCs w:val="21"/>
                <w:highlight w:val="none"/>
                <w:vertAlign w:val="baseline"/>
                <w:lang w:val="en-US" w:eastAsia="zh-CN"/>
              </w:rPr>
              <w:t>（3分）</w:t>
            </w:r>
          </w:p>
          <w:p w14:paraId="455FA53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p>
        </w:tc>
        <w:tc>
          <w:tcPr>
            <w:tcW w:w="5342" w:type="dxa"/>
            <w:vAlign w:val="center"/>
          </w:tcPr>
          <w:p w14:paraId="2AD3D54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预算执行率=（实际支出资金/实际到位资金）×100%。</w:t>
            </w:r>
          </w:p>
          <w:p w14:paraId="22587D6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实际支出资金：一定时期（本年度或项目期）内项目实际拨付的资金。</w:t>
            </w:r>
          </w:p>
          <w:p w14:paraId="7C5A89C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预算执行率≥9</w:t>
            </w:r>
            <w:r>
              <w:rPr>
                <w:rFonts w:hint="eastAsia" w:ascii="仿宋" w:hAnsi="仿宋" w:eastAsia="仿宋" w:cs="仿宋"/>
                <w:sz w:val="21"/>
                <w:szCs w:val="21"/>
                <w:highlight w:val="none"/>
                <w:vertAlign w:val="baseline"/>
                <w:lang w:val="en-US" w:eastAsia="zh-CN"/>
              </w:rPr>
              <w:t>0</w:t>
            </w:r>
            <w:r>
              <w:rPr>
                <w:rFonts w:hint="eastAsia" w:ascii="仿宋" w:hAnsi="仿宋" w:eastAsia="仿宋" w:cs="仿宋"/>
                <w:sz w:val="21"/>
                <w:szCs w:val="21"/>
                <w:highlight w:val="none"/>
                <w:vertAlign w:val="baseline"/>
              </w:rPr>
              <w:t>%，得3分;预算执行率&lt;90%每降低5%扣1分，不足5%，按比例扣分</w:t>
            </w:r>
            <w:r>
              <w:rPr>
                <w:rFonts w:hint="eastAsia" w:ascii="仿宋" w:hAnsi="仿宋" w:eastAsia="仿宋" w:cs="仿宋"/>
                <w:sz w:val="21"/>
                <w:szCs w:val="21"/>
                <w:highlight w:val="none"/>
                <w:vertAlign w:val="baseline"/>
                <w:lang w:val="en-US" w:eastAsia="zh-CN"/>
              </w:rPr>
              <w:t>;</w:t>
            </w:r>
            <w:r>
              <w:rPr>
                <w:rFonts w:hint="eastAsia" w:ascii="仿宋" w:hAnsi="仿宋" w:eastAsia="仿宋" w:cs="仿宋"/>
                <w:sz w:val="21"/>
                <w:szCs w:val="21"/>
                <w:highlight w:val="none"/>
                <w:vertAlign w:val="baseline"/>
              </w:rPr>
              <w:t>预算执行率&lt;</w:t>
            </w:r>
            <w:r>
              <w:rPr>
                <w:rFonts w:hint="eastAsia" w:ascii="仿宋" w:hAnsi="仿宋" w:eastAsia="仿宋" w:cs="仿宋"/>
                <w:sz w:val="21"/>
                <w:szCs w:val="21"/>
                <w:highlight w:val="none"/>
                <w:vertAlign w:val="baseline"/>
                <w:lang w:val="en-US" w:eastAsia="zh-CN"/>
              </w:rPr>
              <w:t>75</w:t>
            </w: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vertAlign w:val="baseline"/>
                <w:lang w:val="en-US" w:eastAsia="zh-CN"/>
              </w:rPr>
              <w:t>该项不得分</w:t>
            </w:r>
            <w:r>
              <w:rPr>
                <w:rFonts w:hint="eastAsia" w:ascii="仿宋" w:hAnsi="仿宋" w:eastAsia="仿宋" w:cs="仿宋"/>
                <w:sz w:val="21"/>
                <w:szCs w:val="21"/>
                <w:highlight w:val="none"/>
                <w:vertAlign w:val="baseline"/>
                <w:lang w:eastAsia="zh-CN"/>
              </w:rPr>
              <w:t>。</w:t>
            </w:r>
          </w:p>
        </w:tc>
      </w:tr>
      <w:tr w14:paraId="3D02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74D01AF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continue"/>
            <w:vAlign w:val="center"/>
          </w:tcPr>
          <w:p w14:paraId="447CF3C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p>
        </w:tc>
        <w:tc>
          <w:tcPr>
            <w:tcW w:w="1280" w:type="dxa"/>
            <w:vAlign w:val="center"/>
          </w:tcPr>
          <w:p w14:paraId="49341A9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1"/>
                <w:szCs w:val="21"/>
                <w:highlight w:val="none"/>
                <w:u w:val="none"/>
                <w:lang w:val="en-US" w:eastAsia="zh-CN" w:bidi="ar"/>
                <w14:textFill>
                  <w14:solidFill>
                    <w14:schemeClr w14:val="tx1"/>
                  </w14:solidFill>
                </w14:textFill>
              </w:rPr>
              <w:t>资金使用合规性</w:t>
            </w:r>
          </w:p>
          <w:p w14:paraId="6728B41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（3分）</w:t>
            </w:r>
          </w:p>
        </w:tc>
        <w:tc>
          <w:tcPr>
            <w:tcW w:w="5342" w:type="dxa"/>
            <w:vAlign w:val="center"/>
          </w:tcPr>
          <w:p w14:paraId="0287942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①是否符合国家财经法规和财务管理制度以及有关专项资金管理办法的规定；</w:t>
            </w:r>
          </w:p>
          <w:p w14:paraId="4CBFFE2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②资金的拨付是否有完整的审批程序和手续；</w:t>
            </w:r>
          </w:p>
          <w:p w14:paraId="29627F5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③是否符合项目预算批复或合同规定的用途；</w:t>
            </w:r>
          </w:p>
          <w:p w14:paraId="36AFF4D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④是否存在截留、挤占、挪用、虚列支出等情况。</w:t>
            </w:r>
          </w:p>
          <w:p w14:paraId="750BFC1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3</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0.75</w:t>
            </w:r>
            <w:r>
              <w:rPr>
                <w:rFonts w:hint="eastAsia" w:ascii="仿宋" w:hAnsi="仿宋" w:eastAsia="仿宋" w:cs="仿宋"/>
                <w:sz w:val="21"/>
                <w:szCs w:val="21"/>
                <w:highlight w:val="none"/>
                <w:vertAlign w:val="baseline"/>
              </w:rPr>
              <w:t>分。</w:t>
            </w:r>
          </w:p>
        </w:tc>
      </w:tr>
      <w:tr w14:paraId="79A40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07357EE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Align w:val="center"/>
          </w:tcPr>
          <w:p w14:paraId="339384C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组织实施</w:t>
            </w:r>
            <w:r>
              <w:rPr>
                <w:rFonts w:hint="eastAsia" w:ascii="仿宋" w:hAnsi="仿宋" w:eastAsia="仿宋" w:cs="仿宋"/>
                <w:sz w:val="21"/>
                <w:szCs w:val="21"/>
                <w:highlight w:val="none"/>
                <w:vertAlign w:val="baseline"/>
                <w:lang w:val="en-US" w:eastAsia="zh-CN"/>
              </w:rPr>
              <w:t>（4分）</w:t>
            </w:r>
          </w:p>
        </w:tc>
        <w:tc>
          <w:tcPr>
            <w:tcW w:w="1280" w:type="dxa"/>
            <w:vAlign w:val="center"/>
          </w:tcPr>
          <w:p w14:paraId="4B6F8EB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管理制度健全性及执行有效性</w:t>
            </w:r>
          </w:p>
          <w:p w14:paraId="2C6B92E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（4分）</w:t>
            </w:r>
          </w:p>
        </w:tc>
        <w:tc>
          <w:tcPr>
            <w:tcW w:w="5342" w:type="dxa"/>
            <w:vAlign w:val="center"/>
          </w:tcPr>
          <w:p w14:paraId="2CA1D5A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①是否已制定或具有相应的财务和业务管理制度；</w:t>
            </w:r>
          </w:p>
          <w:p w14:paraId="28A68A5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②财务和业务管理制度是否合法、合规、完整</w:t>
            </w:r>
            <w:r>
              <w:rPr>
                <w:rFonts w:hint="eastAsia" w:ascii="仿宋" w:hAnsi="仿宋" w:eastAsia="仿宋" w:cs="仿宋"/>
                <w:sz w:val="21"/>
                <w:szCs w:val="21"/>
                <w:highlight w:val="none"/>
                <w:vertAlign w:val="baseline"/>
                <w:lang w:eastAsia="zh-CN"/>
              </w:rPr>
              <w:t>；</w:t>
            </w:r>
          </w:p>
          <w:p w14:paraId="76E9EA73">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③项目调整及支出调整手续是否完备；</w:t>
            </w:r>
          </w:p>
          <w:p w14:paraId="08BC0F6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④项目合同书、验收报告、技术鉴定等资料是否齐全并及时归档</w:t>
            </w:r>
            <w:r>
              <w:rPr>
                <w:rFonts w:hint="eastAsia" w:ascii="仿宋" w:hAnsi="仿宋" w:eastAsia="仿宋" w:cs="仿宋"/>
                <w:sz w:val="21"/>
                <w:szCs w:val="21"/>
                <w:highlight w:val="none"/>
                <w:vertAlign w:val="baseline"/>
                <w:lang w:eastAsia="zh-CN"/>
              </w:rPr>
              <w:t>。</w:t>
            </w:r>
          </w:p>
          <w:p w14:paraId="653C7D1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满分</w:t>
            </w:r>
            <w:r>
              <w:rPr>
                <w:rFonts w:hint="eastAsia" w:ascii="仿宋" w:hAnsi="仿宋" w:eastAsia="仿宋" w:cs="仿宋"/>
                <w:sz w:val="21"/>
                <w:szCs w:val="21"/>
                <w:highlight w:val="none"/>
                <w:vertAlign w:val="baseline"/>
                <w:lang w:val="en-US" w:eastAsia="zh-CN"/>
              </w:rPr>
              <w:t>4</w:t>
            </w:r>
            <w:r>
              <w:rPr>
                <w:rFonts w:hint="eastAsia" w:ascii="仿宋" w:hAnsi="仿宋" w:eastAsia="仿宋" w:cs="仿宋"/>
                <w:sz w:val="21"/>
                <w:szCs w:val="21"/>
                <w:highlight w:val="none"/>
                <w:vertAlign w:val="baseline"/>
              </w:rPr>
              <w:t>分，一项不符合扣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分。</w:t>
            </w:r>
          </w:p>
        </w:tc>
      </w:tr>
      <w:tr w14:paraId="43AB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3E2404E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Align w:val="center"/>
          </w:tcPr>
          <w:p w14:paraId="4B85850E">
            <w:pPr>
              <w:pStyle w:val="1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rFonts w:hint="eastAsia" w:ascii="仿宋" w:hAnsi="仿宋" w:eastAsia="仿宋" w:cs="仿宋"/>
                <w:kern w:val="2"/>
                <w:sz w:val="21"/>
                <w:szCs w:val="21"/>
                <w:highlight w:val="none"/>
                <w:lang w:val="en-US" w:eastAsia="zh-CN" w:bidi="ar-SA"/>
              </w:rPr>
            </w:pPr>
          </w:p>
          <w:p w14:paraId="0EA45678">
            <w:pPr>
              <w:pStyle w:val="1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招投标规范性</w:t>
            </w:r>
          </w:p>
          <w:p w14:paraId="1E31A81C">
            <w:pPr>
              <w:pStyle w:val="1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vertAlign w:val="baseline"/>
                <w:lang w:val="en-US" w:eastAsia="zh-CN"/>
              </w:rPr>
              <w:t>（5分）</w:t>
            </w:r>
          </w:p>
          <w:p w14:paraId="58BB798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p>
        </w:tc>
        <w:tc>
          <w:tcPr>
            <w:tcW w:w="1280" w:type="dxa"/>
            <w:vAlign w:val="center"/>
          </w:tcPr>
          <w:p w14:paraId="751464A4">
            <w:pPr>
              <w:pStyle w:val="1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kern w:val="2"/>
                <w:sz w:val="21"/>
                <w:szCs w:val="21"/>
                <w:highlight w:val="none"/>
                <w:lang w:val="en-US" w:eastAsia="zh-CN" w:bidi="ar-SA"/>
              </w:rPr>
              <w:t>采购招投标程序规范性（</w:t>
            </w:r>
            <w:r>
              <w:rPr>
                <w:rFonts w:hint="eastAsia" w:ascii="仿宋" w:hAnsi="仿宋" w:eastAsia="仿宋" w:cs="仿宋"/>
                <w:sz w:val="21"/>
                <w:szCs w:val="21"/>
                <w:highlight w:val="none"/>
                <w:vertAlign w:val="baseline"/>
                <w:lang w:val="en-US" w:eastAsia="zh-CN"/>
              </w:rPr>
              <w:t>5分</w:t>
            </w:r>
            <w:r>
              <w:rPr>
                <w:rFonts w:hint="eastAsia" w:ascii="仿宋" w:hAnsi="仿宋" w:eastAsia="仿宋" w:cs="仿宋"/>
                <w:kern w:val="2"/>
                <w:sz w:val="21"/>
                <w:szCs w:val="21"/>
                <w:highlight w:val="none"/>
                <w:lang w:val="en-US" w:eastAsia="zh-CN" w:bidi="ar-SA"/>
              </w:rPr>
              <w:t>）</w:t>
            </w:r>
          </w:p>
        </w:tc>
        <w:tc>
          <w:tcPr>
            <w:tcW w:w="5342" w:type="dxa"/>
            <w:vAlign w:val="center"/>
          </w:tcPr>
          <w:p w14:paraId="449DB13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①招标文件技术参数</w:t>
            </w:r>
            <w:r>
              <w:rPr>
                <w:rFonts w:hint="eastAsia" w:ascii="仿宋" w:hAnsi="仿宋" w:eastAsia="仿宋" w:cs="仿宋"/>
                <w:sz w:val="21"/>
                <w:szCs w:val="21"/>
                <w:highlight w:val="none"/>
                <w:vertAlign w:val="baseline"/>
                <w:lang w:val="en-US" w:eastAsia="zh-CN"/>
              </w:rPr>
              <w:t>是否</w:t>
            </w:r>
            <w:r>
              <w:rPr>
                <w:rFonts w:hint="eastAsia" w:ascii="仿宋" w:hAnsi="仿宋" w:eastAsia="仿宋" w:cs="仿宋"/>
                <w:sz w:val="21"/>
                <w:szCs w:val="21"/>
                <w:highlight w:val="none"/>
                <w:vertAlign w:val="baseline"/>
              </w:rPr>
              <w:t>符合国家级/行业标准</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若</w:t>
            </w:r>
            <w:r>
              <w:rPr>
                <w:rFonts w:hint="eastAsia" w:ascii="仿宋" w:hAnsi="仿宋" w:eastAsia="仿宋" w:cs="仿宋"/>
                <w:sz w:val="21"/>
                <w:szCs w:val="21"/>
                <w:highlight w:val="none"/>
                <w:vertAlign w:val="baseline"/>
                <w:lang w:val="en-US" w:eastAsia="zh-CN"/>
              </w:rPr>
              <w:t>经过</w:t>
            </w:r>
            <w:r>
              <w:rPr>
                <w:rFonts w:hint="eastAsia" w:ascii="仿宋" w:hAnsi="仿宋" w:eastAsia="仿宋" w:cs="仿宋"/>
                <w:sz w:val="21"/>
                <w:szCs w:val="21"/>
                <w:highlight w:val="none"/>
                <w:vertAlign w:val="baseline"/>
              </w:rPr>
              <w:t>调整，</w:t>
            </w:r>
            <w:r>
              <w:rPr>
                <w:rFonts w:hint="eastAsia" w:ascii="仿宋" w:hAnsi="仿宋" w:eastAsia="仿宋" w:cs="仿宋"/>
                <w:sz w:val="21"/>
                <w:szCs w:val="21"/>
                <w:highlight w:val="none"/>
                <w:vertAlign w:val="baseline"/>
                <w:lang w:val="en-US" w:eastAsia="zh-CN"/>
              </w:rPr>
              <w:t>是否</w:t>
            </w:r>
            <w:r>
              <w:rPr>
                <w:rFonts w:hint="eastAsia" w:ascii="仿宋" w:hAnsi="仿宋" w:eastAsia="仿宋" w:cs="仿宋"/>
                <w:sz w:val="21"/>
                <w:szCs w:val="21"/>
                <w:highlight w:val="none"/>
                <w:vertAlign w:val="baseline"/>
              </w:rPr>
              <w:t>提供专家论证或需求说明文件</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lang w:val="en-US" w:eastAsia="zh-CN"/>
              </w:rPr>
              <w:t>2分</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w:t>
            </w:r>
          </w:p>
          <w:p w14:paraId="57E5F73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②中标企业技术响应性</w:t>
            </w:r>
            <w:r>
              <w:rPr>
                <w:rFonts w:hint="eastAsia" w:ascii="仿宋" w:hAnsi="仿宋" w:eastAsia="仿宋" w:cs="仿宋"/>
                <w:sz w:val="21"/>
                <w:szCs w:val="21"/>
                <w:highlight w:val="none"/>
                <w:vertAlign w:val="baseline"/>
                <w:lang w:val="en-US" w:eastAsia="zh-CN"/>
              </w:rPr>
              <w:t>是否</w:t>
            </w:r>
            <w:r>
              <w:rPr>
                <w:rFonts w:hint="eastAsia" w:ascii="仿宋" w:hAnsi="仿宋" w:eastAsia="仿宋" w:cs="仿宋"/>
                <w:sz w:val="21"/>
                <w:szCs w:val="21"/>
                <w:highlight w:val="none"/>
                <w:vertAlign w:val="baseline"/>
              </w:rPr>
              <w:t>与报价匹配</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若高价中标且技术参数完全吻合，需核查评标委员会书面说明</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lang w:val="en-US" w:eastAsia="zh-CN"/>
              </w:rPr>
              <w:t>2分</w:t>
            </w:r>
            <w:r>
              <w:rPr>
                <w:rFonts w:hint="eastAsia" w:ascii="仿宋" w:hAnsi="仿宋" w:eastAsia="仿宋" w:cs="仿宋"/>
                <w:sz w:val="21"/>
                <w:szCs w:val="21"/>
                <w:highlight w:val="none"/>
                <w:vertAlign w:val="baseline"/>
                <w:lang w:eastAsia="zh-CN"/>
              </w:rPr>
              <w:t>）；</w:t>
            </w:r>
          </w:p>
          <w:p w14:paraId="3C62D91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③有效投标人</w:t>
            </w:r>
            <w:r>
              <w:rPr>
                <w:rFonts w:hint="eastAsia" w:ascii="仿宋" w:hAnsi="仿宋" w:eastAsia="仿宋" w:cs="仿宋"/>
                <w:sz w:val="21"/>
                <w:szCs w:val="21"/>
                <w:highlight w:val="none"/>
                <w:vertAlign w:val="baseline"/>
                <w:lang w:val="en-US" w:eastAsia="zh-CN"/>
              </w:rPr>
              <w:t>数量情况（1分）：</w:t>
            </w:r>
          </w:p>
          <w:p w14:paraId="64CB3DC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有效投标人≥3家（满分）；</w:t>
            </w:r>
            <w:r>
              <w:rPr>
                <w:rFonts w:hint="eastAsia" w:ascii="仿宋" w:hAnsi="仿宋" w:eastAsia="仿宋" w:cs="仿宋"/>
                <w:sz w:val="21"/>
                <w:szCs w:val="21"/>
                <w:highlight w:val="none"/>
                <w:vertAlign w:val="baseline"/>
                <w:lang w:val="en-US" w:eastAsia="zh-CN"/>
              </w:rPr>
              <w:t>反之不得分。</w:t>
            </w:r>
          </w:p>
        </w:tc>
      </w:tr>
      <w:tr w14:paraId="200C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restart"/>
            <w:vAlign w:val="center"/>
          </w:tcPr>
          <w:p w14:paraId="5C772BC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产出（32分）</w:t>
            </w:r>
          </w:p>
        </w:tc>
        <w:tc>
          <w:tcPr>
            <w:tcW w:w="1220" w:type="dxa"/>
            <w:vAlign w:val="center"/>
          </w:tcPr>
          <w:p w14:paraId="6029A6F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产出数量</w:t>
            </w:r>
            <w:r>
              <w:rPr>
                <w:rFonts w:hint="eastAsia" w:ascii="仿宋" w:hAnsi="仿宋" w:eastAsia="仿宋" w:cs="仿宋"/>
                <w:sz w:val="21"/>
                <w:szCs w:val="21"/>
                <w:highlight w:val="none"/>
                <w:vertAlign w:val="baseline"/>
                <w:lang w:val="en-US" w:eastAsia="zh-CN"/>
              </w:rPr>
              <w:t>（6分）</w:t>
            </w:r>
          </w:p>
        </w:tc>
        <w:tc>
          <w:tcPr>
            <w:tcW w:w="1280" w:type="dxa"/>
            <w:vAlign w:val="center"/>
          </w:tcPr>
          <w:p w14:paraId="5BFA02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基层防灾、预警指挥装备配备完成情况</w:t>
            </w:r>
          </w:p>
          <w:p w14:paraId="7112277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（6分）</w:t>
            </w:r>
          </w:p>
        </w:tc>
        <w:tc>
          <w:tcPr>
            <w:tcW w:w="5342" w:type="dxa"/>
            <w:vAlign w:val="center"/>
          </w:tcPr>
          <w:p w14:paraId="7FF8882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rPr>
              <w:t>①市级</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镇级综合应急救援队伍森林</w:t>
            </w:r>
            <w:r>
              <w:rPr>
                <w:rFonts w:hint="eastAsia" w:ascii="仿宋" w:hAnsi="仿宋" w:eastAsia="仿宋" w:cs="仿宋"/>
                <w:sz w:val="21"/>
                <w:szCs w:val="21"/>
                <w:highlight w:val="none"/>
                <w:vertAlign w:val="baseline"/>
                <w:lang w:val="en-US" w:eastAsia="zh-CN"/>
              </w:rPr>
              <w:t>草原</w:t>
            </w:r>
            <w:r>
              <w:rPr>
                <w:rFonts w:hint="eastAsia" w:ascii="仿宋" w:hAnsi="仿宋" w:eastAsia="仿宋" w:cs="仿宋"/>
                <w:sz w:val="21"/>
                <w:szCs w:val="21"/>
                <w:highlight w:val="none"/>
                <w:vertAlign w:val="baseline"/>
              </w:rPr>
              <w:t>火灾</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lang w:eastAsia="zh-CN"/>
              </w:rPr>
              <w:t>水域救援</w:t>
            </w:r>
            <w:r>
              <w:rPr>
                <w:rFonts w:hint="eastAsia" w:ascii="仿宋" w:hAnsi="仿宋" w:eastAsia="仿宋" w:cs="仿宋"/>
                <w:sz w:val="21"/>
                <w:szCs w:val="21"/>
                <w:highlight w:val="none"/>
                <w:vertAlign w:val="baseline"/>
              </w:rPr>
              <w:t>综合保障类装备</w:t>
            </w:r>
            <w:r>
              <w:rPr>
                <w:rFonts w:hint="eastAsia" w:ascii="仿宋" w:hAnsi="仿宋" w:eastAsia="仿宋" w:cs="仿宋"/>
                <w:sz w:val="21"/>
                <w:szCs w:val="21"/>
                <w:highlight w:val="none"/>
                <w:vertAlign w:val="baseline"/>
                <w:lang w:val="en-US" w:eastAsia="zh-CN"/>
              </w:rPr>
              <w:t>配备完成情况</w:t>
            </w:r>
            <w:r>
              <w:rPr>
                <w:rFonts w:hint="eastAsia" w:ascii="仿宋" w:hAnsi="仿宋" w:eastAsia="仿宋" w:cs="仿宋"/>
                <w:sz w:val="21"/>
                <w:szCs w:val="21"/>
                <w:highlight w:val="none"/>
                <w:vertAlign w:val="baseline"/>
                <w:lang w:eastAsia="zh-CN"/>
              </w:rPr>
              <w:t>。</w:t>
            </w:r>
          </w:p>
          <w:p w14:paraId="5A3A8C9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装备配备完成率&gt;80%，得分=配备完成率</w:t>
            </w: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vertAlign w:val="baseline"/>
                <w:lang w:val="en-US" w:eastAsia="zh-CN"/>
              </w:rPr>
              <w:t>3分；</w:t>
            </w:r>
          </w:p>
          <w:p w14:paraId="7E89C23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配备完成率≤80%，该项不得分。</w:t>
            </w:r>
          </w:p>
          <w:p w14:paraId="45D6774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②</w:t>
            </w:r>
            <w:r>
              <w:rPr>
                <w:rFonts w:hint="eastAsia" w:ascii="仿宋" w:hAnsi="仿宋" w:eastAsia="仿宋" w:cs="仿宋"/>
                <w:sz w:val="21"/>
                <w:szCs w:val="21"/>
                <w:highlight w:val="none"/>
                <w:vertAlign w:val="baseline"/>
                <w:lang w:val="en-US" w:eastAsia="zh-CN"/>
              </w:rPr>
              <w:t>预警指挥装备配备完成情况。</w:t>
            </w:r>
          </w:p>
          <w:p w14:paraId="786CDDF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装备配备完成率&gt;80%，得分=配备完成率</w:t>
            </w: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vertAlign w:val="baseline"/>
                <w:lang w:val="en-US" w:eastAsia="zh-CN"/>
              </w:rPr>
              <w:t>3分；</w:t>
            </w:r>
          </w:p>
          <w:p w14:paraId="69FC543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配备完成率≤80%，该项不得分。</w:t>
            </w:r>
          </w:p>
        </w:tc>
      </w:tr>
      <w:tr w14:paraId="63DB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680" w:type="dxa"/>
            <w:vMerge w:val="continue"/>
            <w:vAlign w:val="center"/>
          </w:tcPr>
          <w:p w14:paraId="62C7566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restart"/>
            <w:vAlign w:val="center"/>
          </w:tcPr>
          <w:p w14:paraId="252CA7A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产出质量</w:t>
            </w:r>
            <w:r>
              <w:rPr>
                <w:rFonts w:hint="eastAsia" w:ascii="仿宋" w:hAnsi="仿宋" w:eastAsia="仿宋" w:cs="仿宋"/>
                <w:sz w:val="21"/>
                <w:szCs w:val="21"/>
                <w:highlight w:val="none"/>
                <w:vertAlign w:val="baseline"/>
                <w:lang w:val="en-US" w:eastAsia="zh-CN"/>
              </w:rPr>
              <w:t>（12分）</w:t>
            </w:r>
          </w:p>
        </w:tc>
        <w:tc>
          <w:tcPr>
            <w:tcW w:w="1280" w:type="dxa"/>
            <w:vAlign w:val="center"/>
          </w:tcPr>
          <w:p w14:paraId="0EAF422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物资装备验收合格率及实用性</w:t>
            </w:r>
          </w:p>
          <w:p w14:paraId="013D44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（4分）</w:t>
            </w:r>
          </w:p>
        </w:tc>
        <w:tc>
          <w:tcPr>
            <w:tcW w:w="5342" w:type="dxa"/>
            <w:vAlign w:val="center"/>
          </w:tcPr>
          <w:p w14:paraId="6425972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lang w:val="en-US" w:eastAsia="zh-CN"/>
              </w:rPr>
              <w:t>有关专家对</w:t>
            </w:r>
            <w:r>
              <w:rPr>
                <w:rFonts w:hint="eastAsia" w:ascii="仿宋" w:hAnsi="仿宋" w:eastAsia="仿宋" w:cs="仿宋"/>
                <w:sz w:val="21"/>
                <w:szCs w:val="21"/>
                <w:highlight w:val="none"/>
              </w:rPr>
              <w:t>装备器材</w:t>
            </w:r>
            <w:r>
              <w:rPr>
                <w:rFonts w:hint="eastAsia" w:ascii="仿宋" w:hAnsi="仿宋" w:eastAsia="仿宋" w:cs="仿宋"/>
                <w:sz w:val="21"/>
                <w:szCs w:val="21"/>
                <w:highlight w:val="none"/>
                <w:lang w:val="en-US" w:eastAsia="zh-CN"/>
              </w:rPr>
              <w:t>验收合格情况及</w:t>
            </w:r>
            <w:r>
              <w:rPr>
                <w:rFonts w:hint="eastAsia" w:ascii="仿宋" w:hAnsi="仿宋" w:eastAsia="仿宋" w:cs="仿宋"/>
                <w:sz w:val="21"/>
                <w:szCs w:val="21"/>
                <w:highlight w:val="none"/>
              </w:rPr>
              <w:t>救援</w:t>
            </w:r>
            <w:r>
              <w:rPr>
                <w:rFonts w:hint="eastAsia" w:ascii="仿宋" w:hAnsi="仿宋" w:eastAsia="仿宋" w:cs="仿宋"/>
                <w:sz w:val="21"/>
                <w:szCs w:val="21"/>
                <w:highlight w:val="none"/>
                <w:lang w:val="en-US" w:eastAsia="zh-CN"/>
              </w:rPr>
              <w:t>装备的实用性。</w:t>
            </w:r>
          </w:p>
          <w:p w14:paraId="55347C2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①</w:t>
            </w:r>
            <w:r>
              <w:rPr>
                <w:rFonts w:hint="eastAsia" w:ascii="仿宋" w:hAnsi="仿宋" w:eastAsia="仿宋" w:cs="仿宋"/>
                <w:sz w:val="21"/>
                <w:szCs w:val="21"/>
                <w:highlight w:val="none"/>
                <w:vertAlign w:val="baseline"/>
                <w:lang w:val="en-US" w:eastAsia="zh-CN"/>
              </w:rPr>
              <w:t>物资装备验收合格率&gt;90%，得分=验收合格率</w:t>
            </w: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vertAlign w:val="baseline"/>
                <w:lang w:val="en-US" w:eastAsia="zh-CN"/>
              </w:rPr>
              <w:t>2分；</w:t>
            </w:r>
          </w:p>
          <w:p w14:paraId="2AFE2A1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物资装备验收合格率≤90%，该项不得分。</w:t>
            </w:r>
          </w:p>
          <w:p w14:paraId="074BE28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②</w:t>
            </w:r>
            <w:r>
              <w:rPr>
                <w:rFonts w:hint="eastAsia" w:ascii="仿宋" w:hAnsi="仿宋" w:eastAsia="仿宋" w:cs="仿宋"/>
                <w:sz w:val="21"/>
                <w:szCs w:val="21"/>
                <w:highlight w:val="none"/>
                <w:vertAlign w:val="baseline"/>
                <w:lang w:val="en-US" w:eastAsia="zh-CN"/>
              </w:rPr>
              <w:t>物资装备在抽检或实际演练中符合应急工作相关需求，该项得2分，反之不得分</w:t>
            </w:r>
          </w:p>
        </w:tc>
      </w:tr>
      <w:tr w14:paraId="3C42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jc w:val="center"/>
        </w:trPr>
        <w:tc>
          <w:tcPr>
            <w:tcW w:w="680" w:type="dxa"/>
            <w:vMerge w:val="continue"/>
            <w:vAlign w:val="center"/>
          </w:tcPr>
          <w:p w14:paraId="5067BD1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rPr>
            </w:pPr>
          </w:p>
        </w:tc>
        <w:tc>
          <w:tcPr>
            <w:tcW w:w="1220" w:type="dxa"/>
            <w:vMerge w:val="continue"/>
            <w:vAlign w:val="center"/>
          </w:tcPr>
          <w:p w14:paraId="227922A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rPr>
            </w:pPr>
          </w:p>
        </w:tc>
        <w:tc>
          <w:tcPr>
            <w:tcW w:w="1280" w:type="dxa"/>
            <w:vAlign w:val="center"/>
          </w:tcPr>
          <w:p w14:paraId="1F442B8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应急救援任务完成率情况</w:t>
            </w:r>
          </w:p>
          <w:p w14:paraId="6F316C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（4分）</w:t>
            </w:r>
          </w:p>
        </w:tc>
        <w:tc>
          <w:tcPr>
            <w:tcW w:w="5342" w:type="dxa"/>
            <w:vAlign w:val="center"/>
          </w:tcPr>
          <w:p w14:paraId="4899082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应急救援任务整体完成率</w:t>
            </w:r>
            <w:r>
              <w:rPr>
                <w:rFonts w:hint="eastAsia" w:ascii="仿宋" w:hAnsi="仿宋" w:eastAsia="仿宋" w:cs="仿宋"/>
                <w:sz w:val="21"/>
                <w:szCs w:val="21"/>
                <w:highlight w:val="none"/>
                <w:vertAlign w:val="baseline"/>
                <w:lang w:val="en-US" w:eastAsia="zh-CN"/>
              </w:rPr>
              <w:t>&gt;90%，得分=</w:t>
            </w:r>
            <w:r>
              <w:rPr>
                <w:rFonts w:hint="eastAsia" w:ascii="仿宋" w:hAnsi="仿宋" w:eastAsia="仿宋" w:cs="仿宋"/>
                <w:sz w:val="21"/>
                <w:szCs w:val="21"/>
                <w:highlight w:val="none"/>
                <w:lang w:val="en-US" w:eastAsia="zh-CN"/>
              </w:rPr>
              <w:t>整体完成率</w:t>
            </w: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vertAlign w:val="baseline"/>
                <w:lang w:val="en-US" w:eastAsia="zh-CN"/>
              </w:rPr>
              <w:t>4分，</w:t>
            </w:r>
            <w:r>
              <w:rPr>
                <w:rFonts w:hint="eastAsia" w:ascii="仿宋" w:hAnsi="仿宋" w:eastAsia="仿宋" w:cs="仿宋"/>
                <w:sz w:val="21"/>
                <w:szCs w:val="21"/>
                <w:highlight w:val="none"/>
                <w:lang w:val="en-US" w:eastAsia="zh-CN"/>
              </w:rPr>
              <w:t>整体完成率</w:t>
            </w:r>
            <w:r>
              <w:rPr>
                <w:rFonts w:hint="eastAsia" w:ascii="仿宋" w:hAnsi="仿宋" w:eastAsia="仿宋" w:cs="仿宋"/>
                <w:sz w:val="21"/>
                <w:szCs w:val="21"/>
                <w:highlight w:val="none"/>
                <w:vertAlign w:val="baseline"/>
                <w:lang w:val="en-US" w:eastAsia="zh-CN"/>
              </w:rPr>
              <w:t>≤90%，该项不得分；</w:t>
            </w:r>
          </w:p>
        </w:tc>
      </w:tr>
      <w:tr w14:paraId="3B14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80" w:type="dxa"/>
            <w:vMerge w:val="continue"/>
            <w:vAlign w:val="center"/>
          </w:tcPr>
          <w:p w14:paraId="0D32570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rPr>
            </w:pPr>
          </w:p>
        </w:tc>
        <w:tc>
          <w:tcPr>
            <w:tcW w:w="1220" w:type="dxa"/>
            <w:vMerge w:val="continue"/>
            <w:vAlign w:val="center"/>
          </w:tcPr>
          <w:p w14:paraId="0F20D9E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rPr>
            </w:pPr>
          </w:p>
        </w:tc>
        <w:tc>
          <w:tcPr>
            <w:tcW w:w="1280" w:type="dxa"/>
            <w:vAlign w:val="center"/>
          </w:tcPr>
          <w:p w14:paraId="4009E01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lang w:val="en-US" w:eastAsia="zh-CN"/>
              </w:rPr>
              <w:t>队伍季度拉练完成情况</w:t>
            </w:r>
            <w:r>
              <w:rPr>
                <w:rFonts w:hint="eastAsia" w:ascii="仿宋" w:hAnsi="仿宋" w:eastAsia="仿宋" w:cs="仿宋"/>
                <w:sz w:val="21"/>
                <w:szCs w:val="21"/>
                <w:highlight w:val="none"/>
                <w:vertAlign w:val="baseline"/>
                <w:lang w:val="en-US" w:eastAsia="zh-CN"/>
              </w:rPr>
              <w:t>（4分）</w:t>
            </w:r>
          </w:p>
        </w:tc>
        <w:tc>
          <w:tcPr>
            <w:tcW w:w="5342" w:type="dxa"/>
            <w:vAlign w:val="center"/>
          </w:tcPr>
          <w:p w14:paraId="204417C3">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所抽检队伍完成全年（1次/季度）拉练任务计划，该项得4分，未完成或未安排拉练任务，该项不得分。</w:t>
            </w:r>
          </w:p>
        </w:tc>
      </w:tr>
      <w:tr w14:paraId="5676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680" w:type="dxa"/>
            <w:vMerge w:val="continue"/>
            <w:vAlign w:val="center"/>
          </w:tcPr>
          <w:p w14:paraId="77E917F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restart"/>
            <w:vAlign w:val="center"/>
          </w:tcPr>
          <w:p w14:paraId="4F5DA8D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产出时效</w:t>
            </w:r>
            <w:r>
              <w:rPr>
                <w:rFonts w:hint="eastAsia" w:ascii="仿宋" w:hAnsi="仿宋" w:eastAsia="仿宋" w:cs="仿宋"/>
                <w:sz w:val="21"/>
                <w:szCs w:val="21"/>
                <w:highlight w:val="none"/>
                <w:vertAlign w:val="baseline"/>
                <w:lang w:val="en-US" w:eastAsia="zh-CN"/>
              </w:rPr>
              <w:t>（10分）</w:t>
            </w:r>
          </w:p>
        </w:tc>
        <w:tc>
          <w:tcPr>
            <w:tcW w:w="1280" w:type="dxa"/>
            <w:vAlign w:val="center"/>
          </w:tcPr>
          <w:p w14:paraId="20FA04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物资装备补充按时完成率</w:t>
            </w:r>
          </w:p>
          <w:p w14:paraId="7C3A92E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（6分）</w:t>
            </w:r>
          </w:p>
        </w:tc>
        <w:tc>
          <w:tcPr>
            <w:tcW w:w="5342" w:type="dxa"/>
            <w:vAlign w:val="center"/>
          </w:tcPr>
          <w:p w14:paraId="6A29779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vertAlign w:val="baseline"/>
                <w:lang w:val="en-US" w:eastAsia="zh-CN"/>
              </w:rPr>
              <w:t>补充（</w:t>
            </w:r>
            <w:r>
              <w:rPr>
                <w:rFonts w:hint="eastAsia" w:ascii="仿宋" w:hAnsi="仿宋" w:eastAsia="仿宋" w:cs="仿宋"/>
                <w:sz w:val="21"/>
                <w:szCs w:val="21"/>
                <w:highlight w:val="none"/>
                <w:vertAlign w:val="baseline"/>
              </w:rPr>
              <w:t>采购</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按时完成率=</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按时完成的采购订单数/计划采购订单总数）× 100%</w:t>
            </w:r>
            <w:r>
              <w:rPr>
                <w:rFonts w:hint="eastAsia" w:ascii="仿宋" w:hAnsi="仿宋" w:eastAsia="仿宋" w:cs="仿宋"/>
                <w:sz w:val="21"/>
                <w:szCs w:val="21"/>
                <w:highlight w:val="none"/>
                <w:vertAlign w:val="baseline"/>
                <w:lang w:eastAsia="zh-CN"/>
              </w:rPr>
              <w:t>。</w:t>
            </w:r>
          </w:p>
          <w:p w14:paraId="375F000C">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①</w:t>
            </w:r>
            <w:r>
              <w:rPr>
                <w:rFonts w:hint="eastAsia" w:ascii="仿宋" w:hAnsi="仿宋" w:eastAsia="仿宋" w:cs="仿宋"/>
                <w:sz w:val="21"/>
                <w:szCs w:val="21"/>
                <w:highlight w:val="none"/>
                <w:vertAlign w:val="baseline"/>
                <w:lang w:val="en-US" w:eastAsia="zh-CN"/>
              </w:rPr>
              <w:t>基层防灾项目：得分=救援装备补充（</w:t>
            </w:r>
            <w:r>
              <w:rPr>
                <w:rFonts w:hint="eastAsia" w:ascii="仿宋" w:hAnsi="仿宋" w:eastAsia="仿宋" w:cs="仿宋"/>
                <w:sz w:val="21"/>
                <w:szCs w:val="21"/>
                <w:highlight w:val="none"/>
                <w:vertAlign w:val="baseline"/>
              </w:rPr>
              <w:t>采购</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按时完成率×</w:t>
            </w:r>
            <w:r>
              <w:rPr>
                <w:rFonts w:hint="eastAsia" w:ascii="仿宋" w:hAnsi="仿宋" w:eastAsia="仿宋" w:cs="仿宋"/>
                <w:sz w:val="21"/>
                <w:szCs w:val="21"/>
                <w:highlight w:val="none"/>
                <w:vertAlign w:val="baseline"/>
                <w:lang w:val="en-US" w:eastAsia="zh-CN"/>
              </w:rPr>
              <w:t>3分；</w:t>
            </w:r>
          </w:p>
          <w:p w14:paraId="674D1C7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②</w:t>
            </w:r>
            <w:r>
              <w:rPr>
                <w:rFonts w:hint="eastAsia" w:ascii="仿宋" w:hAnsi="仿宋" w:eastAsia="仿宋" w:cs="仿宋"/>
                <w:sz w:val="21"/>
                <w:szCs w:val="21"/>
                <w:highlight w:val="none"/>
                <w:vertAlign w:val="baseline"/>
                <w:lang w:val="en-US" w:eastAsia="zh-CN"/>
              </w:rPr>
              <w:t>预警指挥项目：</w:t>
            </w:r>
          </w:p>
          <w:p w14:paraId="7125176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评价视频监控、指挥调度系统及火险因子安装调试，投入运行情况。已完成终验且正常工作运行，该项得3分，反之视情况扣分。</w:t>
            </w:r>
          </w:p>
        </w:tc>
      </w:tr>
      <w:tr w14:paraId="5F99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680" w:type="dxa"/>
            <w:vMerge w:val="continue"/>
            <w:vAlign w:val="center"/>
          </w:tcPr>
          <w:p w14:paraId="2807A77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rPr>
            </w:pPr>
          </w:p>
        </w:tc>
        <w:tc>
          <w:tcPr>
            <w:tcW w:w="1220" w:type="dxa"/>
            <w:vMerge w:val="continue"/>
            <w:vAlign w:val="center"/>
          </w:tcPr>
          <w:p w14:paraId="170E38E7">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rPr>
            </w:pPr>
          </w:p>
        </w:tc>
        <w:tc>
          <w:tcPr>
            <w:tcW w:w="1280" w:type="dxa"/>
            <w:vAlign w:val="center"/>
          </w:tcPr>
          <w:p w14:paraId="0677525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灾害预警响应时间的提升情况</w:t>
            </w:r>
          </w:p>
          <w:p w14:paraId="51EE7A9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（4分）</w:t>
            </w:r>
          </w:p>
        </w:tc>
        <w:tc>
          <w:tcPr>
            <w:tcW w:w="5342" w:type="dxa"/>
            <w:vAlign w:val="center"/>
          </w:tcPr>
          <w:p w14:paraId="2C8F40C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日常训练或应急救援行动预警响应时间提升情况。以应急响应信息送达时间为核心指标，送达≤5分钟（参照《应急叫应系统地方建设任务书》要求）该项得4分，每超1分钟扣0.5分。</w:t>
            </w:r>
          </w:p>
        </w:tc>
      </w:tr>
      <w:tr w14:paraId="2D7B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680" w:type="dxa"/>
            <w:vMerge w:val="continue"/>
            <w:vAlign w:val="center"/>
          </w:tcPr>
          <w:p w14:paraId="07E7FC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Align w:val="center"/>
          </w:tcPr>
          <w:p w14:paraId="1046681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产出成本</w:t>
            </w:r>
            <w:r>
              <w:rPr>
                <w:rFonts w:hint="eastAsia" w:ascii="仿宋" w:hAnsi="仿宋" w:eastAsia="仿宋" w:cs="仿宋"/>
                <w:sz w:val="21"/>
                <w:szCs w:val="21"/>
                <w:highlight w:val="none"/>
                <w:vertAlign w:val="baseline"/>
                <w:lang w:val="en-US" w:eastAsia="zh-CN"/>
              </w:rPr>
              <w:t>（4分）</w:t>
            </w:r>
          </w:p>
        </w:tc>
        <w:tc>
          <w:tcPr>
            <w:tcW w:w="1280" w:type="dxa"/>
            <w:vAlign w:val="center"/>
          </w:tcPr>
          <w:p w14:paraId="7251F66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采购成本节约率（4分）</w:t>
            </w:r>
          </w:p>
        </w:tc>
        <w:tc>
          <w:tcPr>
            <w:tcW w:w="5342" w:type="dxa"/>
            <w:vAlign w:val="center"/>
          </w:tcPr>
          <w:p w14:paraId="4C8F0F9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成本节约率=（计划成本-实际成本）/计划成本×100%。成本节约率≥15%得</w:t>
            </w:r>
            <w:r>
              <w:rPr>
                <w:rFonts w:hint="eastAsia" w:ascii="仿宋" w:hAnsi="仿宋" w:eastAsia="仿宋" w:cs="仿宋"/>
                <w:sz w:val="21"/>
                <w:szCs w:val="21"/>
                <w:highlight w:val="none"/>
                <w:vertAlign w:val="baseline"/>
                <w:lang w:val="en-US" w:eastAsia="zh-CN"/>
              </w:rPr>
              <w:t>4</w:t>
            </w:r>
            <w:r>
              <w:rPr>
                <w:rFonts w:hint="eastAsia" w:ascii="仿宋" w:hAnsi="仿宋" w:eastAsia="仿宋" w:cs="仿宋"/>
                <w:sz w:val="21"/>
                <w:szCs w:val="21"/>
                <w:highlight w:val="none"/>
                <w:vertAlign w:val="baseline"/>
              </w:rPr>
              <w:t>分，15%&gt;成本节约率≥10%得</w:t>
            </w:r>
            <w:r>
              <w:rPr>
                <w:rFonts w:hint="eastAsia" w:ascii="仿宋" w:hAnsi="仿宋" w:eastAsia="仿宋" w:cs="仿宋"/>
                <w:sz w:val="21"/>
                <w:szCs w:val="21"/>
                <w:highlight w:val="none"/>
                <w:vertAlign w:val="baseline"/>
                <w:lang w:val="en-US" w:eastAsia="zh-CN"/>
              </w:rPr>
              <w:t>3</w:t>
            </w:r>
            <w:r>
              <w:rPr>
                <w:rFonts w:hint="eastAsia" w:ascii="仿宋" w:hAnsi="仿宋" w:eastAsia="仿宋" w:cs="仿宋"/>
                <w:sz w:val="21"/>
                <w:szCs w:val="21"/>
                <w:highlight w:val="none"/>
                <w:vertAlign w:val="baseline"/>
              </w:rPr>
              <w:t>分，10%&gt;成本节约率≥5%得</w:t>
            </w: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rPr>
              <w:t>分，5%&gt;成本节约率&gt;0得</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分，成本节约率为负数不得分。</w:t>
            </w:r>
          </w:p>
        </w:tc>
      </w:tr>
      <w:tr w14:paraId="645A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restart"/>
            <w:vAlign w:val="center"/>
          </w:tcPr>
          <w:p w14:paraId="443FDDE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效益（34分）</w:t>
            </w:r>
          </w:p>
        </w:tc>
        <w:tc>
          <w:tcPr>
            <w:tcW w:w="1220" w:type="dxa"/>
            <w:vAlign w:val="center"/>
          </w:tcPr>
          <w:p w14:paraId="40A7E8A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社会效益</w:t>
            </w:r>
            <w:r>
              <w:rPr>
                <w:rFonts w:hint="eastAsia" w:ascii="仿宋" w:hAnsi="仿宋" w:eastAsia="仿宋" w:cs="仿宋"/>
                <w:sz w:val="21"/>
                <w:szCs w:val="21"/>
                <w:highlight w:val="none"/>
                <w:vertAlign w:val="baseline"/>
                <w:lang w:val="en-US" w:eastAsia="zh-CN"/>
              </w:rPr>
              <w:t>（5分）</w:t>
            </w:r>
          </w:p>
        </w:tc>
        <w:tc>
          <w:tcPr>
            <w:tcW w:w="1280" w:type="dxa"/>
            <w:vAlign w:val="center"/>
          </w:tcPr>
          <w:p w14:paraId="2E6F732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lang w:val="en-US" w:eastAsia="zh-CN"/>
              </w:rPr>
              <w:t>应急救援能力覆盖情况</w:t>
            </w:r>
            <w:r>
              <w:rPr>
                <w:rFonts w:hint="eastAsia" w:ascii="仿宋" w:hAnsi="仿宋" w:eastAsia="仿宋" w:cs="仿宋"/>
                <w:sz w:val="21"/>
                <w:szCs w:val="21"/>
                <w:highlight w:val="none"/>
                <w:vertAlign w:val="baseline"/>
                <w:lang w:val="en-US" w:eastAsia="zh-CN"/>
              </w:rPr>
              <w:t>（5分）</w:t>
            </w:r>
          </w:p>
        </w:tc>
        <w:tc>
          <w:tcPr>
            <w:tcW w:w="5342" w:type="dxa"/>
            <w:vAlign w:val="center"/>
          </w:tcPr>
          <w:p w14:paraId="562B3F4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rPr>
              <w:t>①辖区内</w:t>
            </w:r>
            <w:r>
              <w:rPr>
                <w:rFonts w:hint="eastAsia" w:ascii="仿宋" w:hAnsi="仿宋" w:eastAsia="仿宋" w:cs="仿宋"/>
                <w:sz w:val="21"/>
                <w:szCs w:val="21"/>
                <w:highlight w:val="none"/>
                <w:vertAlign w:val="baseline"/>
                <w:lang w:val="en-US" w:eastAsia="zh-CN"/>
              </w:rPr>
              <w:t>街道、乡镇应急救援队伍装备已做到全覆盖，</w:t>
            </w:r>
            <w:r>
              <w:rPr>
                <w:rFonts w:hint="eastAsia" w:ascii="仿宋" w:hAnsi="仿宋" w:eastAsia="仿宋" w:cs="仿宋"/>
                <w:sz w:val="21"/>
                <w:szCs w:val="21"/>
                <w:highlight w:val="none"/>
                <w:lang w:val="en-US" w:eastAsia="zh-CN"/>
              </w:rPr>
              <w:t>该项得2.5分，反之按比例扣分。</w:t>
            </w:r>
          </w:p>
          <w:p w14:paraId="49E699D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rPr>
              <w:t>②</w:t>
            </w:r>
            <w:r>
              <w:rPr>
                <w:rFonts w:hint="eastAsia" w:ascii="仿宋" w:hAnsi="仿宋" w:eastAsia="仿宋" w:cs="仿宋"/>
                <w:sz w:val="21"/>
                <w:szCs w:val="21"/>
                <w:highlight w:val="none"/>
                <w:vertAlign w:val="baseline"/>
                <w:lang w:val="en-US" w:eastAsia="zh-CN"/>
              </w:rPr>
              <w:t>监控预警方面，可实现全天候（7</w:t>
            </w: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vertAlign w:val="baseline"/>
                <w:lang w:val="en-US" w:eastAsia="zh-CN"/>
              </w:rPr>
              <w:t>24小时）实时监控，</w:t>
            </w:r>
            <w:r>
              <w:rPr>
                <w:rFonts w:hint="eastAsia" w:ascii="仿宋" w:hAnsi="仿宋" w:eastAsia="仿宋" w:cs="仿宋"/>
                <w:sz w:val="21"/>
                <w:szCs w:val="21"/>
                <w:highlight w:val="none"/>
                <w:lang w:val="en-US" w:eastAsia="zh-CN"/>
              </w:rPr>
              <w:t>该项得2.5分，反之不得分。</w:t>
            </w:r>
          </w:p>
        </w:tc>
      </w:tr>
      <w:tr w14:paraId="15CB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80" w:type="dxa"/>
            <w:vMerge w:val="continue"/>
            <w:vAlign w:val="center"/>
          </w:tcPr>
          <w:p w14:paraId="6E1C54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restart"/>
            <w:vAlign w:val="center"/>
          </w:tcPr>
          <w:p w14:paraId="7428D81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可持续影响</w:t>
            </w:r>
          </w:p>
          <w:p w14:paraId="6A15190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lang w:val="en-US" w:eastAsia="zh-CN"/>
              </w:rPr>
              <w:t>（17分）</w:t>
            </w:r>
          </w:p>
        </w:tc>
        <w:tc>
          <w:tcPr>
            <w:tcW w:w="1280" w:type="dxa"/>
            <w:vAlign w:val="center"/>
          </w:tcPr>
          <w:p w14:paraId="5284824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后续运行持续发挥成效（5分）</w:t>
            </w:r>
          </w:p>
        </w:tc>
        <w:tc>
          <w:tcPr>
            <w:tcW w:w="5342" w:type="dxa"/>
            <w:vAlign w:val="center"/>
          </w:tcPr>
          <w:p w14:paraId="7E4F72F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eastAsia="zh-CN"/>
              </w:rPr>
            </w:pPr>
            <w:r>
              <w:rPr>
                <w:rFonts w:hint="eastAsia" w:ascii="仿宋" w:hAnsi="仿宋" w:eastAsia="仿宋" w:cs="仿宋"/>
                <w:sz w:val="21"/>
                <w:szCs w:val="21"/>
                <w:highlight w:val="none"/>
                <w:lang w:val="en-US" w:eastAsia="zh-CN"/>
              </w:rPr>
              <w:t>项目长效运维管理机制健全、完善，该项得5分，反之不得分。</w:t>
            </w:r>
          </w:p>
        </w:tc>
      </w:tr>
      <w:tr w14:paraId="4AE5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80" w:type="dxa"/>
            <w:vMerge w:val="continue"/>
            <w:vAlign w:val="center"/>
          </w:tcPr>
          <w:p w14:paraId="777E936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Merge w:val="continue"/>
            <w:vAlign w:val="center"/>
          </w:tcPr>
          <w:p w14:paraId="7D8BAB9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p>
        </w:tc>
        <w:tc>
          <w:tcPr>
            <w:tcW w:w="1280" w:type="dxa"/>
            <w:vAlign w:val="center"/>
          </w:tcPr>
          <w:p w14:paraId="5B99CA8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应急预案制定情况及机制健全性</w:t>
            </w:r>
          </w:p>
          <w:p w14:paraId="075B443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（5分）</w:t>
            </w:r>
          </w:p>
        </w:tc>
        <w:tc>
          <w:tcPr>
            <w:tcW w:w="5342" w:type="dxa"/>
            <w:vAlign w:val="center"/>
          </w:tcPr>
          <w:p w14:paraId="5174889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①项目</w:t>
            </w:r>
            <w:r>
              <w:rPr>
                <w:rFonts w:hint="eastAsia" w:ascii="仿宋" w:hAnsi="仿宋" w:eastAsia="仿宋" w:cs="仿宋"/>
                <w:sz w:val="21"/>
                <w:szCs w:val="21"/>
                <w:highlight w:val="none"/>
                <w:vertAlign w:val="baseline"/>
                <w:lang w:val="en-US" w:eastAsia="zh-CN"/>
              </w:rPr>
              <w:t>已</w:t>
            </w:r>
            <w:r>
              <w:rPr>
                <w:rFonts w:hint="eastAsia" w:ascii="仿宋" w:hAnsi="仿宋" w:eastAsia="仿宋" w:cs="仿宋"/>
                <w:sz w:val="21"/>
                <w:szCs w:val="21"/>
                <w:highlight w:val="none"/>
                <w:vertAlign w:val="baseline"/>
              </w:rPr>
              <w:t>制定应急响应预案及应急响应流程，</w:t>
            </w:r>
            <w:r>
              <w:rPr>
                <w:rFonts w:hint="eastAsia" w:ascii="仿宋" w:hAnsi="仿宋" w:eastAsia="仿宋" w:cs="仿宋"/>
                <w:sz w:val="21"/>
                <w:szCs w:val="21"/>
                <w:highlight w:val="none"/>
                <w:lang w:val="en-US" w:eastAsia="zh-CN"/>
              </w:rPr>
              <w:t>该项</w:t>
            </w:r>
            <w:r>
              <w:rPr>
                <w:rFonts w:hint="eastAsia" w:ascii="仿宋" w:hAnsi="仿宋" w:eastAsia="仿宋" w:cs="仿宋"/>
                <w:sz w:val="21"/>
                <w:szCs w:val="21"/>
                <w:highlight w:val="none"/>
                <w:vertAlign w:val="baseline"/>
              </w:rPr>
              <w:t>得</w:t>
            </w:r>
            <w:r>
              <w:rPr>
                <w:rFonts w:hint="eastAsia" w:ascii="仿宋" w:hAnsi="仿宋" w:eastAsia="仿宋" w:cs="仿宋"/>
                <w:sz w:val="21"/>
                <w:szCs w:val="21"/>
                <w:highlight w:val="none"/>
                <w:vertAlign w:val="baseline"/>
                <w:lang w:val="en-US" w:eastAsia="zh-CN"/>
              </w:rPr>
              <w:t>2.5</w:t>
            </w:r>
            <w:r>
              <w:rPr>
                <w:rFonts w:hint="eastAsia" w:ascii="仿宋" w:hAnsi="仿宋" w:eastAsia="仿宋" w:cs="仿宋"/>
                <w:sz w:val="21"/>
                <w:szCs w:val="21"/>
                <w:highlight w:val="none"/>
                <w:vertAlign w:val="baseline"/>
              </w:rPr>
              <w:t>分;</w:t>
            </w:r>
            <w:r>
              <w:rPr>
                <w:rFonts w:hint="eastAsia" w:ascii="仿宋" w:hAnsi="仿宋" w:eastAsia="仿宋" w:cs="仿宋"/>
                <w:sz w:val="21"/>
                <w:szCs w:val="21"/>
                <w:highlight w:val="none"/>
                <w:vertAlign w:val="baseline"/>
                <w:lang w:val="en-US" w:eastAsia="zh-CN"/>
              </w:rPr>
              <w:t>反之</w:t>
            </w:r>
            <w:r>
              <w:rPr>
                <w:rFonts w:hint="eastAsia" w:ascii="仿宋" w:hAnsi="仿宋" w:eastAsia="仿宋" w:cs="仿宋"/>
                <w:sz w:val="21"/>
                <w:szCs w:val="21"/>
                <w:highlight w:val="none"/>
                <w:vertAlign w:val="baseline"/>
              </w:rPr>
              <w:t>不得分。</w:t>
            </w:r>
          </w:p>
          <w:p w14:paraId="0349047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rPr>
              <w:t>②</w:t>
            </w:r>
            <w:r>
              <w:rPr>
                <w:rFonts w:hint="eastAsia" w:ascii="仿宋" w:hAnsi="仿宋" w:eastAsia="仿宋" w:cs="仿宋"/>
                <w:sz w:val="21"/>
                <w:szCs w:val="21"/>
                <w:highlight w:val="none"/>
                <w:vertAlign w:val="baseline"/>
                <w:lang w:val="en-US" w:eastAsia="zh-CN"/>
              </w:rPr>
              <w:t>项目</w:t>
            </w:r>
            <w:r>
              <w:rPr>
                <w:rFonts w:hint="eastAsia" w:ascii="仿宋" w:hAnsi="仿宋" w:eastAsia="仿宋" w:cs="仿宋"/>
                <w:sz w:val="21"/>
                <w:szCs w:val="21"/>
                <w:highlight w:val="none"/>
                <w:vertAlign w:val="baseline"/>
              </w:rPr>
              <w:t>应急预案机制</w:t>
            </w:r>
            <w:r>
              <w:rPr>
                <w:rFonts w:hint="eastAsia" w:ascii="仿宋" w:hAnsi="仿宋" w:eastAsia="仿宋" w:cs="仿宋"/>
                <w:sz w:val="21"/>
                <w:szCs w:val="21"/>
                <w:highlight w:val="none"/>
                <w:vertAlign w:val="baseline"/>
                <w:lang w:val="en-US" w:eastAsia="zh-CN"/>
              </w:rPr>
              <w:t>内容合理、</w:t>
            </w:r>
            <w:r>
              <w:rPr>
                <w:rFonts w:hint="eastAsia" w:ascii="仿宋" w:hAnsi="仿宋" w:eastAsia="仿宋" w:cs="仿宋"/>
                <w:sz w:val="21"/>
                <w:szCs w:val="21"/>
                <w:highlight w:val="none"/>
                <w:vertAlign w:val="baseline"/>
              </w:rPr>
              <w:t>健全</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lang w:val="en-US" w:eastAsia="zh-CN"/>
              </w:rPr>
              <w:t>该项</w:t>
            </w:r>
            <w:r>
              <w:rPr>
                <w:rFonts w:hint="eastAsia" w:ascii="仿宋" w:hAnsi="仿宋" w:eastAsia="仿宋" w:cs="仿宋"/>
                <w:sz w:val="21"/>
                <w:szCs w:val="21"/>
                <w:highlight w:val="none"/>
                <w:vertAlign w:val="baseline"/>
              </w:rPr>
              <w:t>得</w:t>
            </w:r>
            <w:r>
              <w:rPr>
                <w:rFonts w:hint="eastAsia" w:ascii="仿宋" w:hAnsi="仿宋" w:eastAsia="仿宋" w:cs="仿宋"/>
                <w:sz w:val="21"/>
                <w:szCs w:val="21"/>
                <w:highlight w:val="none"/>
                <w:vertAlign w:val="baseline"/>
                <w:lang w:val="en-US" w:eastAsia="zh-CN"/>
              </w:rPr>
              <w:t>2.5</w:t>
            </w:r>
            <w:r>
              <w:rPr>
                <w:rFonts w:hint="eastAsia" w:ascii="仿宋" w:hAnsi="仿宋" w:eastAsia="仿宋" w:cs="仿宋"/>
                <w:sz w:val="21"/>
                <w:szCs w:val="21"/>
                <w:highlight w:val="none"/>
                <w:vertAlign w:val="baseline"/>
              </w:rPr>
              <w:t>分</w:t>
            </w:r>
            <w:r>
              <w:rPr>
                <w:rFonts w:hint="eastAsia" w:ascii="仿宋" w:hAnsi="仿宋" w:eastAsia="仿宋" w:cs="仿宋"/>
                <w:sz w:val="21"/>
                <w:szCs w:val="21"/>
                <w:highlight w:val="none"/>
                <w:vertAlign w:val="baseline"/>
                <w:lang w:val="en-US" w:eastAsia="zh-CN"/>
              </w:rPr>
              <w:t>;反之</w:t>
            </w:r>
            <w:r>
              <w:rPr>
                <w:rFonts w:hint="eastAsia" w:ascii="仿宋" w:hAnsi="仿宋" w:eastAsia="仿宋" w:cs="仿宋"/>
                <w:sz w:val="21"/>
                <w:szCs w:val="21"/>
                <w:highlight w:val="none"/>
                <w:vertAlign w:val="baseline"/>
              </w:rPr>
              <w:t>不得分。</w:t>
            </w:r>
          </w:p>
        </w:tc>
      </w:tr>
      <w:tr w14:paraId="61DB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80" w:type="dxa"/>
            <w:vMerge w:val="continue"/>
            <w:vAlign w:val="center"/>
          </w:tcPr>
          <w:p w14:paraId="6603F81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rPr>
            </w:pPr>
          </w:p>
        </w:tc>
        <w:tc>
          <w:tcPr>
            <w:tcW w:w="1220" w:type="dxa"/>
            <w:vMerge w:val="continue"/>
            <w:vAlign w:val="center"/>
          </w:tcPr>
          <w:p w14:paraId="4A29F69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rPr>
            </w:pPr>
          </w:p>
        </w:tc>
        <w:tc>
          <w:tcPr>
            <w:tcW w:w="1280" w:type="dxa"/>
            <w:vAlign w:val="center"/>
          </w:tcPr>
          <w:p w14:paraId="5932CCE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救援队伍应急救援能力提升情况</w:t>
            </w:r>
          </w:p>
          <w:p w14:paraId="4435084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lang w:val="en-US" w:eastAsia="zh-CN"/>
              </w:rPr>
              <w:t>（7分）</w:t>
            </w:r>
          </w:p>
        </w:tc>
        <w:tc>
          <w:tcPr>
            <w:tcW w:w="5342" w:type="dxa"/>
            <w:vAlign w:val="center"/>
          </w:tcPr>
          <w:p w14:paraId="02330C6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相较于未配备新装备前，救援队伍应急响应速度及协作联动能力切实得到提升，该项</w:t>
            </w:r>
            <w:r>
              <w:rPr>
                <w:rFonts w:hint="eastAsia" w:ascii="仿宋" w:hAnsi="仿宋" w:eastAsia="仿宋" w:cs="仿宋"/>
                <w:sz w:val="21"/>
                <w:szCs w:val="21"/>
                <w:highlight w:val="none"/>
                <w:vertAlign w:val="baseline"/>
              </w:rPr>
              <w:t>得</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分</w:t>
            </w:r>
            <w:r>
              <w:rPr>
                <w:rFonts w:hint="eastAsia" w:ascii="仿宋" w:hAnsi="仿宋" w:eastAsia="仿宋" w:cs="仿宋"/>
                <w:sz w:val="21"/>
                <w:szCs w:val="21"/>
                <w:highlight w:val="none"/>
                <w:vertAlign w:val="baseline"/>
                <w:lang w:val="en-US" w:eastAsia="zh-CN"/>
              </w:rPr>
              <w:t>;反之视具体情况扣分</w:t>
            </w:r>
            <w:r>
              <w:rPr>
                <w:rFonts w:hint="eastAsia" w:ascii="仿宋" w:hAnsi="仿宋" w:eastAsia="仿宋" w:cs="仿宋"/>
                <w:sz w:val="21"/>
                <w:szCs w:val="21"/>
                <w:highlight w:val="none"/>
                <w:vertAlign w:val="baseline"/>
              </w:rPr>
              <w:t>。</w:t>
            </w:r>
          </w:p>
        </w:tc>
      </w:tr>
      <w:tr w14:paraId="30F5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14:paraId="36FEBA4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rPr>
            </w:pPr>
          </w:p>
        </w:tc>
        <w:tc>
          <w:tcPr>
            <w:tcW w:w="1220" w:type="dxa"/>
            <w:vAlign w:val="center"/>
          </w:tcPr>
          <w:p w14:paraId="0C05B6F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应急队伍满意度</w:t>
            </w:r>
          </w:p>
          <w:p w14:paraId="09B387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lang w:val="en-US" w:eastAsia="zh-CN"/>
              </w:rPr>
              <w:t>（12分）</w:t>
            </w:r>
          </w:p>
        </w:tc>
        <w:tc>
          <w:tcPr>
            <w:tcW w:w="1280" w:type="dxa"/>
            <w:vAlign w:val="center"/>
          </w:tcPr>
          <w:p w14:paraId="743A8EF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基层防灾及预警指挥应急能力提升满意度</w:t>
            </w:r>
          </w:p>
          <w:p w14:paraId="3F5ABF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（12分）</w:t>
            </w:r>
          </w:p>
        </w:tc>
        <w:tc>
          <w:tcPr>
            <w:tcW w:w="5342" w:type="dxa"/>
            <w:vAlign w:val="center"/>
          </w:tcPr>
          <w:p w14:paraId="0BADDC2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应急救援队伍</w:t>
            </w:r>
            <w:r>
              <w:rPr>
                <w:rFonts w:hint="eastAsia" w:ascii="仿宋" w:hAnsi="仿宋" w:eastAsia="仿宋" w:cs="仿宋"/>
                <w:sz w:val="21"/>
                <w:szCs w:val="21"/>
                <w:highlight w:val="none"/>
                <w:vertAlign w:val="baseline"/>
              </w:rPr>
              <w:t>对</w:t>
            </w:r>
            <w:r>
              <w:rPr>
                <w:rFonts w:hint="eastAsia" w:ascii="仿宋" w:hAnsi="仿宋" w:eastAsia="仿宋" w:cs="仿宋"/>
                <w:sz w:val="21"/>
                <w:szCs w:val="21"/>
                <w:highlight w:val="none"/>
                <w:lang w:val="en-US" w:eastAsia="zh-CN"/>
              </w:rPr>
              <w:t>基层防灾及预警指挥应急能力提升</w:t>
            </w:r>
            <w:r>
              <w:rPr>
                <w:rFonts w:hint="eastAsia" w:ascii="仿宋" w:hAnsi="仿宋" w:eastAsia="仿宋" w:cs="仿宋"/>
                <w:sz w:val="21"/>
                <w:szCs w:val="21"/>
                <w:highlight w:val="none"/>
                <w:vertAlign w:val="baseline"/>
              </w:rPr>
              <w:t>的满意度</w:t>
            </w:r>
            <w:r>
              <w:rPr>
                <w:rFonts w:hint="eastAsia" w:ascii="仿宋" w:hAnsi="仿宋" w:eastAsia="仿宋" w:cs="仿宋"/>
                <w:sz w:val="21"/>
                <w:szCs w:val="21"/>
                <w:highlight w:val="none"/>
                <w:vertAlign w:val="baseline"/>
                <w:lang w:eastAsia="zh-CN"/>
              </w:rPr>
              <w:t>。</w:t>
            </w:r>
            <w:r>
              <w:rPr>
                <w:rFonts w:hint="eastAsia" w:ascii="仿宋" w:hAnsi="仿宋" w:eastAsia="仿宋" w:cs="仿宋"/>
                <w:sz w:val="21"/>
                <w:szCs w:val="21"/>
                <w:highlight w:val="none"/>
                <w:vertAlign w:val="baseline"/>
              </w:rPr>
              <w:t>通过调查问卷收集</w:t>
            </w:r>
            <w:r>
              <w:rPr>
                <w:rFonts w:hint="eastAsia" w:ascii="仿宋" w:hAnsi="仿宋" w:eastAsia="仿宋" w:cs="仿宋"/>
                <w:sz w:val="21"/>
                <w:szCs w:val="21"/>
                <w:highlight w:val="none"/>
                <w:vertAlign w:val="baseline"/>
                <w:lang w:val="en-US" w:eastAsia="zh-CN"/>
              </w:rPr>
              <w:t>相关应急救援队伍</w:t>
            </w:r>
            <w:r>
              <w:rPr>
                <w:rFonts w:hint="eastAsia" w:ascii="仿宋" w:hAnsi="仿宋" w:eastAsia="仿宋" w:cs="仿宋"/>
                <w:sz w:val="21"/>
                <w:szCs w:val="21"/>
                <w:highlight w:val="none"/>
                <w:vertAlign w:val="baseline"/>
              </w:rPr>
              <w:t>满意度数据，满意度</w:t>
            </w:r>
            <w:r>
              <w:rPr>
                <w:rFonts w:hint="eastAsia" w:ascii="仿宋" w:hAnsi="仿宋" w:eastAsia="仿宋" w:cs="仿宋"/>
                <w:sz w:val="21"/>
                <w:szCs w:val="21"/>
                <w:highlight w:val="none"/>
                <w:vertAlign w:val="baseline"/>
                <w:lang w:val="en-US" w:eastAsia="zh-CN"/>
              </w:rPr>
              <w:t>≥</w:t>
            </w:r>
            <w:r>
              <w:rPr>
                <w:rFonts w:hint="eastAsia" w:ascii="仿宋" w:hAnsi="仿宋" w:eastAsia="仿宋" w:cs="仿宋"/>
                <w:sz w:val="21"/>
                <w:szCs w:val="21"/>
                <w:highlight w:val="none"/>
                <w:vertAlign w:val="baseline"/>
              </w:rPr>
              <w:t>90%得</w:t>
            </w:r>
            <w:r>
              <w:rPr>
                <w:rFonts w:hint="eastAsia" w:ascii="仿宋" w:hAnsi="仿宋" w:eastAsia="仿宋" w:cs="仿宋"/>
                <w:sz w:val="21"/>
                <w:szCs w:val="21"/>
                <w:highlight w:val="none"/>
                <w:vertAlign w:val="baseline"/>
                <w:lang w:val="en-US" w:eastAsia="zh-CN"/>
              </w:rPr>
              <w:t>12</w:t>
            </w:r>
            <w:r>
              <w:rPr>
                <w:rFonts w:hint="eastAsia" w:ascii="仿宋" w:hAnsi="仿宋" w:eastAsia="仿宋" w:cs="仿宋"/>
                <w:sz w:val="21"/>
                <w:szCs w:val="21"/>
                <w:highlight w:val="none"/>
                <w:vertAlign w:val="baseline"/>
              </w:rPr>
              <w:t>分，满意度&lt;90%每降低5%扣1分，不足5%，按比例扣分，扣完为止。</w:t>
            </w:r>
          </w:p>
        </w:tc>
      </w:tr>
      <w:bookmarkEnd w:id="234"/>
      <w:bookmarkEnd w:id="235"/>
      <w:bookmarkEnd w:id="236"/>
      <w:bookmarkEnd w:id="237"/>
      <w:bookmarkEnd w:id="239"/>
      <w:bookmarkEnd w:id="240"/>
    </w:tbl>
    <w:p w14:paraId="75C37262">
      <w:pPr>
        <w:widowControl/>
        <w:jc w:val="left"/>
        <w:rPr>
          <w:rFonts w:hint="default" w:ascii="Times New Roman" w:hAnsi="Times New Roman" w:cs="Times New Roman"/>
          <w:highlight w:val="none"/>
        </w:rPr>
      </w:pPr>
      <w:r>
        <w:rPr>
          <w:rFonts w:hint="default" w:ascii="Times New Roman" w:hAnsi="Times New Roman" w:cs="Times New Roman"/>
          <w:highlight w:val="none"/>
        </w:rPr>
        <w:br w:type="page"/>
      </w:r>
    </w:p>
    <w:p w14:paraId="087ACBD3">
      <w:pPr>
        <w:keepNext w:val="0"/>
        <w:keepLines w:val="0"/>
        <w:pageBreakBefore w:val="0"/>
        <w:widowControl w:val="0"/>
        <w:kinsoku/>
        <w:wordWrap/>
        <w:overflowPunct/>
        <w:topLinePunct w:val="0"/>
        <w:autoSpaceDE/>
        <w:autoSpaceDN/>
        <w:bidi w:val="0"/>
        <w:adjustRightInd/>
        <w:snapToGrid/>
        <w:spacing w:line="360" w:lineRule="auto"/>
        <w:ind w:firstLine="281" w:firstLineChars="100"/>
        <w:jc w:val="center"/>
        <w:textAlignment w:val="auto"/>
        <w:outlineLvl w:val="0"/>
        <w:rPr>
          <w:rFonts w:hint="default" w:ascii="Times New Roman" w:hAnsi="Times New Roman" w:eastAsia="仿宋" w:cs="Times New Roman"/>
          <w:b/>
          <w:bCs/>
          <w:sz w:val="28"/>
          <w:szCs w:val="28"/>
          <w:highlight w:val="none"/>
          <w:lang w:val="zh-CN" w:eastAsia="zh-CN"/>
        </w:rPr>
      </w:pPr>
      <w:bookmarkStart w:id="241" w:name="_Toc1773"/>
      <w:bookmarkStart w:id="242" w:name="_Toc27055"/>
      <w:bookmarkStart w:id="243" w:name="_Toc184981083"/>
      <w:bookmarkStart w:id="244" w:name="_Toc184981321"/>
      <w:bookmarkStart w:id="245" w:name="_Toc1021"/>
      <w:r>
        <w:rPr>
          <w:rFonts w:hint="default" w:ascii="Times New Roman" w:hAnsi="Times New Roman" w:eastAsia="仿宋" w:cs="Times New Roman"/>
          <w:b/>
          <w:bCs/>
          <w:sz w:val="28"/>
          <w:szCs w:val="28"/>
          <w:highlight w:val="none"/>
          <w:lang w:val="zh-CN" w:eastAsia="zh-CN"/>
        </w:rPr>
        <w:t>附录</w:t>
      </w:r>
      <w:r>
        <w:rPr>
          <w:rFonts w:hint="default" w:ascii="Times New Roman" w:hAnsi="Times New Roman" w:eastAsia="仿宋" w:cs="Times New Roman"/>
          <w:b/>
          <w:bCs/>
          <w:sz w:val="28"/>
          <w:szCs w:val="28"/>
          <w:highlight w:val="none"/>
          <w:lang w:val="en-US" w:eastAsia="zh-CN"/>
        </w:rPr>
        <w:t xml:space="preserve">  石狮</w:t>
      </w:r>
      <w:r>
        <w:rPr>
          <w:rFonts w:hint="default" w:ascii="Times New Roman" w:hAnsi="Times New Roman" w:eastAsia="仿宋" w:cs="Times New Roman"/>
          <w:b/>
          <w:bCs/>
          <w:sz w:val="28"/>
          <w:szCs w:val="28"/>
          <w:highlight w:val="none"/>
          <w:lang w:val="zh-CN" w:eastAsia="zh-CN"/>
        </w:rPr>
        <w:t>市202</w:t>
      </w:r>
      <w:r>
        <w:rPr>
          <w:rFonts w:hint="default" w:ascii="Times New Roman" w:hAnsi="Times New Roman" w:eastAsia="仿宋" w:cs="Times New Roman"/>
          <w:b/>
          <w:bCs/>
          <w:sz w:val="28"/>
          <w:szCs w:val="28"/>
          <w:highlight w:val="none"/>
          <w:lang w:val="en-US" w:eastAsia="zh-CN"/>
        </w:rPr>
        <w:t>4</w:t>
      </w:r>
      <w:r>
        <w:rPr>
          <w:rFonts w:hint="default" w:ascii="Times New Roman" w:hAnsi="Times New Roman" w:eastAsia="仿宋" w:cs="Times New Roman"/>
          <w:b/>
          <w:bCs/>
          <w:sz w:val="28"/>
          <w:szCs w:val="28"/>
          <w:highlight w:val="none"/>
          <w:lang w:val="zh-CN" w:eastAsia="zh-CN"/>
        </w:rPr>
        <w:t>年自然灾害应急能力提升工程项目</w:t>
      </w:r>
      <w:bookmarkEnd w:id="241"/>
      <w:bookmarkEnd w:id="242"/>
    </w:p>
    <w:p w14:paraId="6809361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仿宋" w:cs="Times New Roman"/>
          <w:b/>
          <w:bCs/>
          <w:sz w:val="28"/>
          <w:szCs w:val="28"/>
          <w:highlight w:val="none"/>
          <w:lang w:val="en-US" w:eastAsia="zh-CN"/>
        </w:rPr>
      </w:pPr>
      <w:bookmarkStart w:id="246" w:name="_Toc17568"/>
      <w:bookmarkStart w:id="247" w:name="_Toc31467"/>
      <w:r>
        <w:rPr>
          <w:rFonts w:hint="default" w:ascii="Times New Roman" w:hAnsi="Times New Roman" w:eastAsia="仿宋" w:cs="Times New Roman"/>
          <w:b/>
          <w:bCs/>
          <w:sz w:val="28"/>
          <w:szCs w:val="28"/>
          <w:highlight w:val="none"/>
          <w:lang w:val="en-US" w:eastAsia="zh-CN"/>
        </w:rPr>
        <w:t>应急救援队伍</w:t>
      </w:r>
      <w:r>
        <w:rPr>
          <w:rFonts w:hint="default" w:ascii="Times New Roman" w:hAnsi="Times New Roman" w:eastAsia="仿宋" w:cs="Times New Roman"/>
          <w:b/>
          <w:bCs/>
          <w:sz w:val="28"/>
          <w:szCs w:val="28"/>
          <w:highlight w:val="none"/>
          <w:lang w:val="zh-CN" w:eastAsia="zh-CN"/>
        </w:rPr>
        <w:t>满意度调查</w:t>
      </w:r>
      <w:bookmarkEnd w:id="243"/>
      <w:bookmarkEnd w:id="244"/>
      <w:bookmarkEnd w:id="245"/>
      <w:r>
        <w:rPr>
          <w:rFonts w:hint="default" w:ascii="Times New Roman" w:hAnsi="Times New Roman" w:eastAsia="仿宋" w:cs="Times New Roman"/>
          <w:b/>
          <w:bCs/>
          <w:sz w:val="28"/>
          <w:szCs w:val="28"/>
          <w:highlight w:val="none"/>
          <w:lang w:val="en-US" w:eastAsia="zh-CN"/>
        </w:rPr>
        <w:t>问卷</w:t>
      </w:r>
      <w:bookmarkEnd w:id="246"/>
      <w:bookmarkEnd w:id="247"/>
    </w:p>
    <w:p w14:paraId="783AC1C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9"/>
        <w:rPr>
          <w:rFonts w:hint="default" w:ascii="Times New Roman" w:hAnsi="Times New Roman" w:eastAsia="仿宋" w:cs="Times New Roman"/>
          <w:b/>
          <w:bCs/>
          <w:sz w:val="28"/>
          <w:szCs w:val="28"/>
          <w:highlight w:val="none"/>
          <w:lang w:val="en-US" w:eastAsia="zh-CN"/>
        </w:rPr>
      </w:pPr>
      <w:r>
        <w:rPr>
          <w:rFonts w:hint="default" w:ascii="Times New Roman" w:hAnsi="Times New Roman" w:eastAsia="仿宋_GB2312" w:cs="Times New Roman"/>
          <w:sz w:val="28"/>
          <w:szCs w:val="28"/>
          <w:highlight w:val="none"/>
          <w:lang w:val="en-US" w:eastAsia="zh-CN"/>
        </w:rPr>
        <w:t>本问卷旨在了解石狮市、镇两级相关应急救援队对石狮市自然灾害应急能力提升工程项目的满意度，包括装备配置与使用体验、应急响应与协作效果、综合满意度与建议等方面。问卷采用匿名形式，所收集数据仅用于项目改进，感谢您的参与！</w:t>
      </w:r>
      <w:r>
        <w:rPr>
          <w:rFonts w:hint="default" w:ascii="Times New Roman" w:hAnsi="Times New Roman" w:cs="Times New Roman"/>
          <w:sz w:val="28"/>
          <w:szCs w:val="28"/>
          <w:highlight w:val="none"/>
        </w:rPr>
        <w:t xml:space="preserve"> </w:t>
      </w:r>
    </w:p>
    <w:p w14:paraId="0B44C762">
      <w:pPr>
        <w:rPr>
          <w:rFonts w:hint="default" w:ascii="Times New Roman" w:hAnsi="Times New Roman" w:cs="Times New Roman"/>
          <w:b w:val="0"/>
          <w:color w:val="000000"/>
          <w:sz w:val="24"/>
          <w:highlight w:val="none"/>
        </w:rPr>
      </w:pPr>
      <w:r>
        <w:rPr>
          <w:rFonts w:hint="default" w:ascii="Times New Roman" w:hAnsi="Times New Roman" w:cs="Times New Roman"/>
          <w:b w:val="0"/>
          <w:color w:val="000000"/>
          <w:sz w:val="24"/>
          <w:highlight w:val="none"/>
        </w:rPr>
        <w:t>一、基本信息</w:t>
      </w:r>
    </w:p>
    <w:p w14:paraId="7C4AA4E2">
      <w:pPr>
        <w:rPr>
          <w:rFonts w:hint="default" w:ascii="Times New Roman" w:hAnsi="Times New Roman" w:cs="Times New Roman"/>
          <w:highlight w:val="none"/>
        </w:rPr>
      </w:pPr>
    </w:p>
    <w:p w14:paraId="070AD776">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第1题   您所属的救援队伍类型：      </w:t>
      </w:r>
      <w:r>
        <w:rPr>
          <w:rFonts w:hint="default" w:ascii="Times New Roman" w:hAnsi="Times New Roman" w:cs="Times New Roman"/>
          <w:b w:val="0"/>
          <w:color w:val="0066FF"/>
          <w:sz w:val="24"/>
          <w:highlight w:val="none"/>
        </w:rPr>
        <w:t>[单选题]</w:t>
      </w:r>
    </w:p>
    <w:p w14:paraId="1C7AC475">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2470ACF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6364D5B1">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48F6AC7B">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5552225D">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3AA78DB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109F6BFD">
            <w:pPr>
              <w:jc w:val="left"/>
              <w:rPr>
                <w:rFonts w:hint="default" w:ascii="Times New Roman" w:hAnsi="Times New Roman" w:cs="Times New Roman"/>
                <w:highlight w:val="none"/>
              </w:rPr>
            </w:pPr>
            <w:r>
              <w:rPr>
                <w:rFonts w:hint="default" w:ascii="Times New Roman" w:hAnsi="Times New Roman" w:cs="Times New Roman"/>
                <w:highlight w:val="none"/>
              </w:rPr>
              <w:t>市级综合应急救援队</w:t>
            </w:r>
          </w:p>
        </w:tc>
        <w:tc>
          <w:tcPr>
            <w:tcW w:w="1000" w:type="dxa"/>
            <w:shd w:val="clear" w:color="auto" w:fill="FFFFFF"/>
            <w:vAlign w:val="center"/>
          </w:tcPr>
          <w:p w14:paraId="63827C2A">
            <w:pPr>
              <w:jc w:val="center"/>
              <w:rPr>
                <w:rFonts w:hint="default" w:ascii="Times New Roman" w:hAnsi="Times New Roman" w:cs="Times New Roman"/>
                <w:highlight w:val="none"/>
              </w:rPr>
            </w:pPr>
            <w:r>
              <w:rPr>
                <w:rFonts w:hint="default" w:ascii="Times New Roman" w:hAnsi="Times New Roman" w:cs="Times New Roman"/>
                <w:highlight w:val="none"/>
              </w:rPr>
              <w:t>2</w:t>
            </w:r>
          </w:p>
        </w:tc>
        <w:tc>
          <w:tcPr>
            <w:tcW w:w="3106" w:type="dxa"/>
            <w:shd w:val="clear" w:color="auto" w:fill="FFFFFF"/>
            <w:vAlign w:val="center"/>
          </w:tcPr>
          <w:p w14:paraId="3099E05F">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47625" cy="114300"/>
                  <wp:effectExtent l="0" t="0" r="13335" b="762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47632"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304925" cy="114300"/>
                  <wp:effectExtent l="0" t="0" r="5715" b="762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1305107" cy="114316"/>
                          </a:xfrm>
                          <a:prstGeom prst="rect">
                            <a:avLst/>
                          </a:prstGeom>
                        </pic:spPr>
                      </pic:pic>
                    </a:graphicData>
                  </a:graphic>
                </wp:inline>
              </w:drawing>
            </w:r>
            <w:r>
              <w:rPr>
                <w:rFonts w:hint="default" w:ascii="Times New Roman" w:hAnsi="Times New Roman" w:cs="Times New Roman"/>
                <w:highlight w:val="none"/>
              </w:rPr>
              <w:t>4%</w:t>
            </w:r>
          </w:p>
        </w:tc>
      </w:tr>
      <w:tr w14:paraId="603A0AF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7035A182">
            <w:pPr>
              <w:jc w:val="left"/>
              <w:rPr>
                <w:rFonts w:hint="default" w:ascii="Times New Roman" w:hAnsi="Times New Roman" w:cs="Times New Roman"/>
                <w:highlight w:val="none"/>
              </w:rPr>
            </w:pPr>
            <w:r>
              <w:rPr>
                <w:rFonts w:hint="default" w:ascii="Times New Roman" w:hAnsi="Times New Roman" w:cs="Times New Roman"/>
                <w:highlight w:val="none"/>
              </w:rPr>
              <w:t>镇/街道综合应急救援队</w:t>
            </w:r>
          </w:p>
        </w:tc>
        <w:tc>
          <w:tcPr>
            <w:tcW w:w="1000" w:type="dxa"/>
            <w:shd w:val="clear" w:color="auto" w:fill="FAFAFA"/>
            <w:vAlign w:val="center"/>
          </w:tcPr>
          <w:p w14:paraId="3EB18BD0">
            <w:pPr>
              <w:jc w:val="center"/>
              <w:rPr>
                <w:rFonts w:hint="default" w:ascii="Times New Roman" w:hAnsi="Times New Roman" w:cs="Times New Roman"/>
                <w:highlight w:val="none"/>
              </w:rPr>
            </w:pPr>
            <w:r>
              <w:rPr>
                <w:rFonts w:hint="default" w:ascii="Times New Roman" w:hAnsi="Times New Roman" w:cs="Times New Roman"/>
                <w:highlight w:val="none"/>
              </w:rPr>
              <w:t>48</w:t>
            </w:r>
          </w:p>
        </w:tc>
        <w:tc>
          <w:tcPr>
            <w:tcW w:w="3106" w:type="dxa"/>
            <w:shd w:val="clear" w:color="auto" w:fill="FAFAFA"/>
            <w:vAlign w:val="center"/>
          </w:tcPr>
          <w:p w14:paraId="122B7DA6">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295400" cy="114300"/>
                  <wp:effectExtent l="0" t="0" r="0" b="762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295581"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57150" cy="114300"/>
                  <wp:effectExtent l="0" t="0" r="3810" b="762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57158" cy="114316"/>
                          </a:xfrm>
                          <a:prstGeom prst="rect">
                            <a:avLst/>
                          </a:prstGeom>
                        </pic:spPr>
                      </pic:pic>
                    </a:graphicData>
                  </a:graphic>
                </wp:inline>
              </w:drawing>
            </w:r>
            <w:r>
              <w:rPr>
                <w:rFonts w:hint="default" w:ascii="Times New Roman" w:hAnsi="Times New Roman" w:cs="Times New Roman"/>
                <w:highlight w:val="none"/>
              </w:rPr>
              <w:t>96%</w:t>
            </w:r>
          </w:p>
        </w:tc>
      </w:tr>
      <w:tr w14:paraId="1D04A58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6C684795">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1DC8B8FC">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4EC5DE1E">
            <w:pPr>
              <w:jc w:val="left"/>
              <w:rPr>
                <w:rFonts w:hint="default" w:ascii="Times New Roman" w:hAnsi="Times New Roman" w:cs="Times New Roman"/>
                <w:highlight w:val="none"/>
              </w:rPr>
            </w:pPr>
          </w:p>
        </w:tc>
      </w:tr>
    </w:tbl>
    <w:p w14:paraId="5699F4C9">
      <w:pPr>
        <w:rPr>
          <w:rFonts w:hint="default" w:ascii="Times New Roman" w:hAnsi="Times New Roman" w:cs="Times New Roman"/>
          <w:highlight w:val="none"/>
        </w:rPr>
      </w:pPr>
    </w:p>
    <w:p w14:paraId="150363EF">
      <w:pPr>
        <w:rPr>
          <w:rFonts w:hint="default" w:ascii="Times New Roman" w:hAnsi="Times New Roman" w:cs="Times New Roman"/>
          <w:highlight w:val="none"/>
        </w:rPr>
      </w:pPr>
    </w:p>
    <w:p w14:paraId="35A5FD6D">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第2题   您在所属救援队伍中的主要职责:      </w:t>
      </w:r>
      <w:r>
        <w:rPr>
          <w:rFonts w:hint="default" w:ascii="Times New Roman" w:hAnsi="Times New Roman" w:cs="Times New Roman"/>
          <w:b w:val="0"/>
          <w:color w:val="0066FF"/>
          <w:sz w:val="24"/>
          <w:highlight w:val="none"/>
        </w:rPr>
        <w:t>[单选题]</w:t>
      </w:r>
    </w:p>
    <w:p w14:paraId="7FFE5368">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07C99A4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B80FAE6">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1E51C432">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757F54E8">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2E8F81A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7E1E9C1">
            <w:pPr>
              <w:jc w:val="left"/>
              <w:rPr>
                <w:rFonts w:hint="default" w:ascii="Times New Roman" w:hAnsi="Times New Roman" w:cs="Times New Roman"/>
                <w:highlight w:val="none"/>
              </w:rPr>
            </w:pPr>
            <w:r>
              <w:rPr>
                <w:rFonts w:hint="default" w:ascii="Times New Roman" w:hAnsi="Times New Roman" w:cs="Times New Roman"/>
                <w:highlight w:val="none"/>
              </w:rPr>
              <w:t>队伍负责人</w:t>
            </w:r>
          </w:p>
        </w:tc>
        <w:tc>
          <w:tcPr>
            <w:tcW w:w="1000" w:type="dxa"/>
            <w:shd w:val="clear" w:color="auto" w:fill="FFFFFF"/>
            <w:vAlign w:val="center"/>
          </w:tcPr>
          <w:p w14:paraId="626646D2">
            <w:pPr>
              <w:jc w:val="center"/>
              <w:rPr>
                <w:rFonts w:hint="default" w:ascii="Times New Roman" w:hAnsi="Times New Roman" w:cs="Times New Roman"/>
                <w:highlight w:val="none"/>
              </w:rPr>
            </w:pPr>
            <w:r>
              <w:rPr>
                <w:rFonts w:hint="default" w:ascii="Times New Roman" w:hAnsi="Times New Roman" w:cs="Times New Roman"/>
                <w:highlight w:val="none"/>
              </w:rPr>
              <w:t>8</w:t>
            </w:r>
          </w:p>
        </w:tc>
        <w:tc>
          <w:tcPr>
            <w:tcW w:w="3106" w:type="dxa"/>
            <w:shd w:val="clear" w:color="auto" w:fill="FFFFFF"/>
            <w:vAlign w:val="center"/>
          </w:tcPr>
          <w:p w14:paraId="19B320AE">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09550" cy="114300"/>
                  <wp:effectExtent l="0" t="0" r="3810" b="762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209579"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43000" cy="114300"/>
                  <wp:effectExtent l="0" t="0" r="0" b="762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143160" cy="114316"/>
                          </a:xfrm>
                          <a:prstGeom prst="rect">
                            <a:avLst/>
                          </a:prstGeom>
                        </pic:spPr>
                      </pic:pic>
                    </a:graphicData>
                  </a:graphic>
                </wp:inline>
              </w:drawing>
            </w:r>
            <w:r>
              <w:rPr>
                <w:rFonts w:hint="default" w:ascii="Times New Roman" w:hAnsi="Times New Roman" w:cs="Times New Roman"/>
                <w:highlight w:val="none"/>
              </w:rPr>
              <w:t>16%</w:t>
            </w:r>
          </w:p>
        </w:tc>
      </w:tr>
      <w:tr w14:paraId="5037263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7A5FA36">
            <w:pPr>
              <w:jc w:val="left"/>
              <w:rPr>
                <w:rFonts w:hint="default" w:ascii="Times New Roman" w:hAnsi="Times New Roman" w:cs="Times New Roman"/>
                <w:highlight w:val="none"/>
              </w:rPr>
            </w:pPr>
            <w:r>
              <w:rPr>
                <w:rFonts w:hint="default" w:ascii="Times New Roman" w:hAnsi="Times New Roman" w:cs="Times New Roman"/>
                <w:highlight w:val="none"/>
              </w:rPr>
              <w:t>指挥调度员</w:t>
            </w:r>
          </w:p>
        </w:tc>
        <w:tc>
          <w:tcPr>
            <w:tcW w:w="1000" w:type="dxa"/>
            <w:shd w:val="clear" w:color="auto" w:fill="FAFAFA"/>
            <w:vAlign w:val="center"/>
          </w:tcPr>
          <w:p w14:paraId="64947B32">
            <w:pPr>
              <w:jc w:val="center"/>
              <w:rPr>
                <w:rFonts w:hint="default" w:ascii="Times New Roman" w:hAnsi="Times New Roman" w:cs="Times New Roman"/>
                <w:highlight w:val="none"/>
              </w:rPr>
            </w:pPr>
            <w:r>
              <w:rPr>
                <w:rFonts w:hint="default" w:ascii="Times New Roman" w:hAnsi="Times New Roman" w:cs="Times New Roman"/>
                <w:highlight w:val="none"/>
              </w:rPr>
              <w:t>2</w:t>
            </w:r>
          </w:p>
        </w:tc>
        <w:tc>
          <w:tcPr>
            <w:tcW w:w="3106" w:type="dxa"/>
            <w:shd w:val="clear" w:color="auto" w:fill="FAFAFA"/>
            <w:vAlign w:val="center"/>
          </w:tcPr>
          <w:p w14:paraId="531D0FC0">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47625" cy="114300"/>
                  <wp:effectExtent l="0" t="0" r="13335" b="762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47632"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304925" cy="114300"/>
                  <wp:effectExtent l="0" t="0" r="5715" b="762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05107" cy="114316"/>
                          </a:xfrm>
                          <a:prstGeom prst="rect">
                            <a:avLst/>
                          </a:prstGeom>
                        </pic:spPr>
                      </pic:pic>
                    </a:graphicData>
                  </a:graphic>
                </wp:inline>
              </w:drawing>
            </w:r>
            <w:r>
              <w:rPr>
                <w:rFonts w:hint="default" w:ascii="Times New Roman" w:hAnsi="Times New Roman" w:cs="Times New Roman"/>
                <w:highlight w:val="none"/>
              </w:rPr>
              <w:t>4%</w:t>
            </w:r>
          </w:p>
        </w:tc>
      </w:tr>
      <w:tr w14:paraId="594A850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E603147">
            <w:pPr>
              <w:jc w:val="left"/>
              <w:rPr>
                <w:rFonts w:hint="default" w:ascii="Times New Roman" w:hAnsi="Times New Roman" w:cs="Times New Roman"/>
                <w:highlight w:val="none"/>
              </w:rPr>
            </w:pPr>
            <w:r>
              <w:rPr>
                <w:rFonts w:hint="default" w:ascii="Times New Roman" w:hAnsi="Times New Roman" w:cs="Times New Roman"/>
                <w:highlight w:val="none"/>
              </w:rPr>
              <w:t>装备操作员</w:t>
            </w:r>
          </w:p>
        </w:tc>
        <w:tc>
          <w:tcPr>
            <w:tcW w:w="1000" w:type="dxa"/>
            <w:shd w:val="clear" w:color="auto" w:fill="FFFFFF"/>
            <w:vAlign w:val="center"/>
          </w:tcPr>
          <w:p w14:paraId="7F490235">
            <w:pPr>
              <w:jc w:val="center"/>
              <w:rPr>
                <w:rFonts w:hint="default" w:ascii="Times New Roman" w:hAnsi="Times New Roman" w:cs="Times New Roman"/>
                <w:highlight w:val="none"/>
              </w:rPr>
            </w:pPr>
            <w:r>
              <w:rPr>
                <w:rFonts w:hint="default" w:ascii="Times New Roman" w:hAnsi="Times New Roman" w:cs="Times New Roman"/>
                <w:highlight w:val="none"/>
              </w:rPr>
              <w:t>15</w:t>
            </w:r>
          </w:p>
        </w:tc>
        <w:tc>
          <w:tcPr>
            <w:tcW w:w="3106" w:type="dxa"/>
            <w:shd w:val="clear" w:color="auto" w:fill="FFFFFF"/>
            <w:vAlign w:val="center"/>
          </w:tcPr>
          <w:p w14:paraId="2BBD557B">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400050" cy="114300"/>
                  <wp:effectExtent l="0" t="0" r="11430" b="762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400106"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952500" cy="114300"/>
                  <wp:effectExtent l="0" t="0" r="7620" b="762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a:stretch>
                            <a:fillRect/>
                          </a:stretch>
                        </pic:blipFill>
                        <pic:spPr>
                          <a:xfrm>
                            <a:off x="0" y="0"/>
                            <a:ext cx="952633" cy="114316"/>
                          </a:xfrm>
                          <a:prstGeom prst="rect">
                            <a:avLst/>
                          </a:prstGeom>
                        </pic:spPr>
                      </pic:pic>
                    </a:graphicData>
                  </a:graphic>
                </wp:inline>
              </w:drawing>
            </w:r>
            <w:r>
              <w:rPr>
                <w:rFonts w:hint="default" w:ascii="Times New Roman" w:hAnsi="Times New Roman" w:cs="Times New Roman"/>
                <w:highlight w:val="none"/>
              </w:rPr>
              <w:t>30%</w:t>
            </w:r>
          </w:p>
        </w:tc>
      </w:tr>
      <w:tr w14:paraId="648A5C3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9009404">
            <w:pPr>
              <w:jc w:val="left"/>
              <w:rPr>
                <w:rFonts w:hint="default" w:ascii="Times New Roman" w:hAnsi="Times New Roman" w:cs="Times New Roman"/>
                <w:highlight w:val="none"/>
              </w:rPr>
            </w:pPr>
            <w:r>
              <w:rPr>
                <w:rFonts w:hint="default" w:ascii="Times New Roman" w:hAnsi="Times New Roman" w:cs="Times New Roman"/>
                <w:highlight w:val="none"/>
              </w:rPr>
              <w:t>后勤保障人员</w:t>
            </w:r>
          </w:p>
        </w:tc>
        <w:tc>
          <w:tcPr>
            <w:tcW w:w="1000" w:type="dxa"/>
            <w:shd w:val="clear" w:color="auto" w:fill="FAFAFA"/>
            <w:vAlign w:val="center"/>
          </w:tcPr>
          <w:p w14:paraId="5FD1D624">
            <w:pPr>
              <w:jc w:val="center"/>
              <w:rPr>
                <w:rFonts w:hint="default" w:ascii="Times New Roman" w:hAnsi="Times New Roman" w:cs="Times New Roman"/>
                <w:highlight w:val="none"/>
              </w:rPr>
            </w:pPr>
            <w:r>
              <w:rPr>
                <w:rFonts w:hint="default" w:ascii="Times New Roman" w:hAnsi="Times New Roman" w:cs="Times New Roman"/>
                <w:highlight w:val="none"/>
              </w:rPr>
              <w:t>15</w:t>
            </w:r>
          </w:p>
        </w:tc>
        <w:tc>
          <w:tcPr>
            <w:tcW w:w="3106" w:type="dxa"/>
            <w:shd w:val="clear" w:color="auto" w:fill="FAFAFA"/>
            <w:vAlign w:val="center"/>
          </w:tcPr>
          <w:p w14:paraId="7A8A8BF1">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400050" cy="114300"/>
                  <wp:effectExtent l="0" t="0" r="11430" b="762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400106"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952500" cy="114300"/>
                  <wp:effectExtent l="0" t="0" r="7620" b="762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952633" cy="114316"/>
                          </a:xfrm>
                          <a:prstGeom prst="rect">
                            <a:avLst/>
                          </a:prstGeom>
                        </pic:spPr>
                      </pic:pic>
                    </a:graphicData>
                  </a:graphic>
                </wp:inline>
              </w:drawing>
            </w:r>
            <w:r>
              <w:rPr>
                <w:rFonts w:hint="default" w:ascii="Times New Roman" w:hAnsi="Times New Roman" w:cs="Times New Roman"/>
                <w:highlight w:val="none"/>
              </w:rPr>
              <w:t>30%</w:t>
            </w:r>
          </w:p>
        </w:tc>
      </w:tr>
      <w:tr w14:paraId="017A696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4CB227CE">
            <w:pPr>
              <w:jc w:val="left"/>
              <w:rPr>
                <w:rFonts w:hint="default" w:ascii="Times New Roman" w:hAnsi="Times New Roman" w:cs="Times New Roman"/>
                <w:highlight w:val="none"/>
              </w:rPr>
            </w:pPr>
            <w:r>
              <w:rPr>
                <w:rFonts w:hint="default" w:ascii="Times New Roman" w:hAnsi="Times New Roman" w:cs="Times New Roman"/>
                <w:highlight w:val="none"/>
              </w:rPr>
              <w:t>其他</w:t>
            </w:r>
          </w:p>
        </w:tc>
        <w:tc>
          <w:tcPr>
            <w:tcW w:w="1000" w:type="dxa"/>
            <w:shd w:val="clear" w:color="auto" w:fill="FFFFFF"/>
            <w:vAlign w:val="center"/>
          </w:tcPr>
          <w:p w14:paraId="40B17E50">
            <w:pPr>
              <w:jc w:val="center"/>
              <w:rPr>
                <w:rFonts w:hint="default" w:ascii="Times New Roman" w:hAnsi="Times New Roman" w:cs="Times New Roman"/>
                <w:highlight w:val="none"/>
              </w:rPr>
            </w:pPr>
            <w:r>
              <w:rPr>
                <w:rFonts w:hint="default" w:ascii="Times New Roman" w:hAnsi="Times New Roman" w:cs="Times New Roman"/>
                <w:highlight w:val="none"/>
              </w:rPr>
              <w:t>10</w:t>
            </w:r>
          </w:p>
        </w:tc>
        <w:tc>
          <w:tcPr>
            <w:tcW w:w="3106" w:type="dxa"/>
            <w:shd w:val="clear" w:color="auto" w:fill="FFFFFF"/>
            <w:vAlign w:val="center"/>
          </w:tcPr>
          <w:p w14:paraId="717FC4A1">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66700" cy="114300"/>
                  <wp:effectExtent l="0" t="0" r="7620" b="762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266737"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085850" cy="114300"/>
                  <wp:effectExtent l="0" t="0" r="11430" b="762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a:stretch>
                            <a:fillRect/>
                          </a:stretch>
                        </pic:blipFill>
                        <pic:spPr>
                          <a:xfrm>
                            <a:off x="0" y="0"/>
                            <a:ext cx="1086002" cy="114316"/>
                          </a:xfrm>
                          <a:prstGeom prst="rect">
                            <a:avLst/>
                          </a:prstGeom>
                        </pic:spPr>
                      </pic:pic>
                    </a:graphicData>
                  </a:graphic>
                </wp:inline>
              </w:drawing>
            </w:r>
            <w:r>
              <w:rPr>
                <w:rFonts w:hint="default" w:ascii="Times New Roman" w:hAnsi="Times New Roman" w:cs="Times New Roman"/>
                <w:highlight w:val="none"/>
              </w:rPr>
              <w:t>20%</w:t>
            </w:r>
          </w:p>
        </w:tc>
      </w:tr>
      <w:tr w14:paraId="46259EF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59C35F7">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54E5D85D">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549A1AD2">
            <w:pPr>
              <w:jc w:val="left"/>
              <w:rPr>
                <w:rFonts w:hint="default" w:ascii="Times New Roman" w:hAnsi="Times New Roman" w:cs="Times New Roman"/>
                <w:highlight w:val="none"/>
              </w:rPr>
            </w:pPr>
          </w:p>
        </w:tc>
      </w:tr>
    </w:tbl>
    <w:p w14:paraId="007FE81B">
      <w:pPr>
        <w:rPr>
          <w:rFonts w:hint="default" w:ascii="Times New Roman" w:hAnsi="Times New Roman" w:cs="Times New Roman"/>
          <w:highlight w:val="none"/>
        </w:rPr>
      </w:pPr>
    </w:p>
    <w:p w14:paraId="2FCA4EDB">
      <w:pPr>
        <w:rPr>
          <w:rFonts w:hint="default" w:ascii="Times New Roman" w:hAnsi="Times New Roman" w:cs="Times New Roman"/>
          <w:highlight w:val="none"/>
        </w:rPr>
      </w:pPr>
    </w:p>
    <w:p w14:paraId="2981253C">
      <w:pPr>
        <w:rPr>
          <w:rFonts w:hint="default" w:ascii="Times New Roman" w:hAnsi="Times New Roman" w:cs="Times New Roman"/>
          <w:b w:val="0"/>
          <w:color w:val="000000"/>
          <w:sz w:val="24"/>
          <w:highlight w:val="none"/>
        </w:rPr>
      </w:pPr>
      <w:r>
        <w:rPr>
          <w:rFonts w:hint="default" w:ascii="Times New Roman" w:hAnsi="Times New Roman" w:cs="Times New Roman"/>
          <w:b w:val="0"/>
          <w:color w:val="000000"/>
          <w:sz w:val="24"/>
          <w:highlight w:val="none"/>
        </w:rPr>
        <w:t>二、装备配置与使用体验</w:t>
      </w:r>
    </w:p>
    <w:p w14:paraId="527855BF">
      <w:pPr>
        <w:rPr>
          <w:rFonts w:hint="default" w:ascii="Times New Roman" w:hAnsi="Times New Roman" w:cs="Times New Roman"/>
          <w:highlight w:val="none"/>
        </w:rPr>
      </w:pPr>
    </w:p>
    <w:p w14:paraId="23FBC0B2">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第3题   您对新配备的救援装备（如森林火灾扑救、水域救援装备等）是否满意?      </w:t>
      </w:r>
      <w:r>
        <w:rPr>
          <w:rFonts w:hint="default" w:ascii="Times New Roman" w:hAnsi="Times New Roman" w:cs="Times New Roman"/>
          <w:b w:val="0"/>
          <w:color w:val="0066FF"/>
          <w:sz w:val="24"/>
          <w:highlight w:val="none"/>
        </w:rPr>
        <w:t>[单选题]</w:t>
      </w:r>
    </w:p>
    <w:p w14:paraId="1E5559D5">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1231790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31840441">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7A79CBC4">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74FCCCF4">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7A27F4F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5F5CED2">
            <w:pPr>
              <w:jc w:val="left"/>
              <w:rPr>
                <w:rFonts w:hint="default" w:ascii="Times New Roman" w:hAnsi="Times New Roman" w:cs="Times New Roman"/>
                <w:highlight w:val="none"/>
              </w:rPr>
            </w:pPr>
            <w:r>
              <w:rPr>
                <w:rFonts w:hint="default" w:ascii="Times New Roman" w:hAnsi="Times New Roman" w:cs="Times New Roman"/>
                <w:highlight w:val="none"/>
              </w:rPr>
              <w:t>非常满意</w:t>
            </w:r>
          </w:p>
        </w:tc>
        <w:tc>
          <w:tcPr>
            <w:tcW w:w="1000" w:type="dxa"/>
            <w:shd w:val="clear" w:color="auto" w:fill="FFFFFF"/>
            <w:vAlign w:val="center"/>
          </w:tcPr>
          <w:p w14:paraId="6FBA2E1F">
            <w:pPr>
              <w:jc w:val="center"/>
              <w:rPr>
                <w:rFonts w:hint="default" w:ascii="Times New Roman" w:hAnsi="Times New Roman" w:cs="Times New Roman"/>
                <w:highlight w:val="none"/>
              </w:rPr>
            </w:pPr>
            <w:r>
              <w:rPr>
                <w:rFonts w:hint="default" w:ascii="Times New Roman" w:hAnsi="Times New Roman" w:cs="Times New Roman"/>
                <w:highlight w:val="none"/>
              </w:rPr>
              <w:t>41</w:t>
            </w:r>
          </w:p>
        </w:tc>
        <w:tc>
          <w:tcPr>
            <w:tcW w:w="3106" w:type="dxa"/>
            <w:shd w:val="clear" w:color="auto" w:fill="FFFFFF"/>
            <w:vAlign w:val="center"/>
          </w:tcPr>
          <w:p w14:paraId="3D6A74BE">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104900" cy="114300"/>
                  <wp:effectExtent l="0" t="0" r="7620" b="762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0"/>
                          <a:stretch>
                            <a:fillRect/>
                          </a:stretch>
                        </pic:blipFill>
                        <pic:spPr>
                          <a:xfrm>
                            <a:off x="0" y="0"/>
                            <a:ext cx="1105054"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247650" cy="114300"/>
                  <wp:effectExtent l="0" t="0" r="11430" b="762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1"/>
                          <a:stretch>
                            <a:fillRect/>
                          </a:stretch>
                        </pic:blipFill>
                        <pic:spPr>
                          <a:xfrm>
                            <a:off x="0" y="0"/>
                            <a:ext cx="247685" cy="114316"/>
                          </a:xfrm>
                          <a:prstGeom prst="rect">
                            <a:avLst/>
                          </a:prstGeom>
                        </pic:spPr>
                      </pic:pic>
                    </a:graphicData>
                  </a:graphic>
                </wp:inline>
              </w:drawing>
            </w:r>
            <w:r>
              <w:rPr>
                <w:rFonts w:hint="default" w:ascii="Times New Roman" w:hAnsi="Times New Roman" w:cs="Times New Roman"/>
                <w:highlight w:val="none"/>
              </w:rPr>
              <w:t>82%</w:t>
            </w:r>
          </w:p>
        </w:tc>
      </w:tr>
      <w:tr w14:paraId="3C303F5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65ADFEFA">
            <w:pPr>
              <w:jc w:val="left"/>
              <w:rPr>
                <w:rFonts w:hint="default" w:ascii="Times New Roman" w:hAnsi="Times New Roman" w:cs="Times New Roman"/>
                <w:highlight w:val="none"/>
              </w:rPr>
            </w:pPr>
            <w:r>
              <w:rPr>
                <w:rFonts w:hint="default" w:ascii="Times New Roman" w:hAnsi="Times New Roman" w:cs="Times New Roman"/>
                <w:highlight w:val="none"/>
              </w:rPr>
              <w:t>满意</w:t>
            </w:r>
          </w:p>
        </w:tc>
        <w:tc>
          <w:tcPr>
            <w:tcW w:w="1000" w:type="dxa"/>
            <w:shd w:val="clear" w:color="auto" w:fill="FAFAFA"/>
            <w:vAlign w:val="center"/>
          </w:tcPr>
          <w:p w14:paraId="39A08810">
            <w:pPr>
              <w:jc w:val="center"/>
              <w:rPr>
                <w:rFonts w:hint="default" w:ascii="Times New Roman" w:hAnsi="Times New Roman" w:cs="Times New Roman"/>
                <w:highlight w:val="none"/>
              </w:rPr>
            </w:pPr>
            <w:r>
              <w:rPr>
                <w:rFonts w:hint="default" w:ascii="Times New Roman" w:hAnsi="Times New Roman" w:cs="Times New Roman"/>
                <w:highlight w:val="none"/>
              </w:rPr>
              <w:t>9</w:t>
            </w:r>
          </w:p>
        </w:tc>
        <w:tc>
          <w:tcPr>
            <w:tcW w:w="3106" w:type="dxa"/>
            <w:shd w:val="clear" w:color="auto" w:fill="FAFAFA"/>
            <w:vAlign w:val="center"/>
          </w:tcPr>
          <w:p w14:paraId="7A1CAC3F">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38125" cy="114300"/>
                  <wp:effectExtent l="0" t="0" r="5715" b="762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2"/>
                          <a:stretch>
                            <a:fillRect/>
                          </a:stretch>
                        </pic:blipFill>
                        <pic:spPr>
                          <a:xfrm>
                            <a:off x="0" y="0"/>
                            <a:ext cx="238158"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14425" cy="114300"/>
                  <wp:effectExtent l="0" t="0" r="13335" b="762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3"/>
                          <a:stretch>
                            <a:fillRect/>
                          </a:stretch>
                        </pic:blipFill>
                        <pic:spPr>
                          <a:xfrm>
                            <a:off x="0" y="0"/>
                            <a:ext cx="1114581" cy="114316"/>
                          </a:xfrm>
                          <a:prstGeom prst="rect">
                            <a:avLst/>
                          </a:prstGeom>
                        </pic:spPr>
                      </pic:pic>
                    </a:graphicData>
                  </a:graphic>
                </wp:inline>
              </w:drawing>
            </w:r>
            <w:r>
              <w:rPr>
                <w:rFonts w:hint="default" w:ascii="Times New Roman" w:hAnsi="Times New Roman" w:cs="Times New Roman"/>
                <w:highlight w:val="none"/>
              </w:rPr>
              <w:t>18%</w:t>
            </w:r>
          </w:p>
        </w:tc>
      </w:tr>
      <w:tr w14:paraId="6E9901A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2E558713">
            <w:pPr>
              <w:jc w:val="left"/>
              <w:rPr>
                <w:rFonts w:hint="default" w:ascii="Times New Roman" w:hAnsi="Times New Roman" w:cs="Times New Roman"/>
                <w:highlight w:val="none"/>
              </w:rPr>
            </w:pPr>
            <w:r>
              <w:rPr>
                <w:rFonts w:hint="default" w:ascii="Times New Roman" w:hAnsi="Times New Roman" w:cs="Times New Roman"/>
                <w:highlight w:val="none"/>
              </w:rPr>
              <w:t>一般</w:t>
            </w:r>
          </w:p>
        </w:tc>
        <w:tc>
          <w:tcPr>
            <w:tcW w:w="1000" w:type="dxa"/>
            <w:shd w:val="clear" w:color="auto" w:fill="FFFFFF"/>
            <w:vAlign w:val="center"/>
          </w:tcPr>
          <w:p w14:paraId="1B36FFD0">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FFFFF"/>
            <w:vAlign w:val="center"/>
          </w:tcPr>
          <w:p w14:paraId="273A5AFA">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4AEA0EB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21AC5EA1">
            <w:pPr>
              <w:jc w:val="left"/>
              <w:rPr>
                <w:rFonts w:hint="default" w:ascii="Times New Roman" w:hAnsi="Times New Roman" w:cs="Times New Roman"/>
                <w:highlight w:val="none"/>
              </w:rPr>
            </w:pPr>
            <w:r>
              <w:rPr>
                <w:rFonts w:hint="default" w:ascii="Times New Roman" w:hAnsi="Times New Roman" w:cs="Times New Roman"/>
                <w:highlight w:val="none"/>
              </w:rPr>
              <w:t>不满意</w:t>
            </w:r>
          </w:p>
        </w:tc>
        <w:tc>
          <w:tcPr>
            <w:tcW w:w="1000" w:type="dxa"/>
            <w:shd w:val="clear" w:color="auto" w:fill="FAFAFA"/>
            <w:vAlign w:val="center"/>
          </w:tcPr>
          <w:p w14:paraId="09898781">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2169A8AD">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4EA489DB">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253964EB">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759C2D15">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2ACB3334">
            <w:pPr>
              <w:jc w:val="left"/>
              <w:rPr>
                <w:rFonts w:hint="default" w:ascii="Times New Roman" w:hAnsi="Times New Roman" w:cs="Times New Roman"/>
                <w:highlight w:val="none"/>
              </w:rPr>
            </w:pPr>
          </w:p>
        </w:tc>
      </w:tr>
    </w:tbl>
    <w:p w14:paraId="4463D82C">
      <w:pPr>
        <w:rPr>
          <w:rFonts w:hint="default" w:ascii="Times New Roman" w:hAnsi="Times New Roman" w:cs="Times New Roman"/>
          <w:highlight w:val="none"/>
        </w:rPr>
      </w:pPr>
    </w:p>
    <w:p w14:paraId="2648A3A2">
      <w:pPr>
        <w:rPr>
          <w:rFonts w:hint="default" w:ascii="Times New Roman" w:hAnsi="Times New Roman" w:cs="Times New Roman"/>
          <w:highlight w:val="none"/>
        </w:rPr>
      </w:pPr>
    </w:p>
    <w:p w14:paraId="2BAA91E0">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第4题   新装备的性能是否能满足实际救援需求?      </w:t>
      </w:r>
      <w:r>
        <w:rPr>
          <w:rFonts w:hint="default" w:ascii="Times New Roman" w:hAnsi="Times New Roman" w:cs="Times New Roman"/>
          <w:b w:val="0"/>
          <w:color w:val="0066FF"/>
          <w:sz w:val="24"/>
          <w:highlight w:val="none"/>
        </w:rPr>
        <w:t>[单选题]</w:t>
      </w:r>
    </w:p>
    <w:p w14:paraId="095DF0A7">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254FC5A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025DAB32">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5C2FFD76">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0E2E21BA">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40F8DF0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D398F62">
            <w:pPr>
              <w:jc w:val="left"/>
              <w:rPr>
                <w:rFonts w:hint="default" w:ascii="Times New Roman" w:hAnsi="Times New Roman" w:cs="Times New Roman"/>
                <w:highlight w:val="none"/>
              </w:rPr>
            </w:pPr>
            <w:r>
              <w:rPr>
                <w:rFonts w:hint="default" w:ascii="Times New Roman" w:hAnsi="Times New Roman" w:cs="Times New Roman"/>
                <w:highlight w:val="none"/>
              </w:rPr>
              <w:t>完全满足</w:t>
            </w:r>
          </w:p>
        </w:tc>
        <w:tc>
          <w:tcPr>
            <w:tcW w:w="1000" w:type="dxa"/>
            <w:shd w:val="clear" w:color="auto" w:fill="FFFFFF"/>
            <w:vAlign w:val="center"/>
          </w:tcPr>
          <w:p w14:paraId="125FF008">
            <w:pPr>
              <w:jc w:val="center"/>
              <w:rPr>
                <w:rFonts w:hint="default" w:ascii="Times New Roman" w:hAnsi="Times New Roman" w:cs="Times New Roman"/>
                <w:highlight w:val="none"/>
              </w:rPr>
            </w:pPr>
            <w:r>
              <w:rPr>
                <w:rFonts w:hint="default" w:ascii="Times New Roman" w:hAnsi="Times New Roman" w:cs="Times New Roman"/>
                <w:highlight w:val="none"/>
              </w:rPr>
              <w:t>40</w:t>
            </w:r>
          </w:p>
        </w:tc>
        <w:tc>
          <w:tcPr>
            <w:tcW w:w="3106" w:type="dxa"/>
            <w:shd w:val="clear" w:color="auto" w:fill="FFFFFF"/>
            <w:vAlign w:val="center"/>
          </w:tcPr>
          <w:p w14:paraId="430C7FE1">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076325" cy="114300"/>
                  <wp:effectExtent l="0" t="0" r="5715" b="762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5"/>
                          <a:stretch>
                            <a:fillRect/>
                          </a:stretch>
                        </pic:blipFill>
                        <pic:spPr>
                          <a:xfrm>
                            <a:off x="0" y="0"/>
                            <a:ext cx="1076475"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276225" cy="114300"/>
                  <wp:effectExtent l="0" t="0" r="13335" b="762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6"/>
                          <a:stretch>
                            <a:fillRect/>
                          </a:stretch>
                        </pic:blipFill>
                        <pic:spPr>
                          <a:xfrm>
                            <a:off x="0" y="0"/>
                            <a:ext cx="276264" cy="114316"/>
                          </a:xfrm>
                          <a:prstGeom prst="rect">
                            <a:avLst/>
                          </a:prstGeom>
                        </pic:spPr>
                      </pic:pic>
                    </a:graphicData>
                  </a:graphic>
                </wp:inline>
              </w:drawing>
            </w:r>
            <w:r>
              <w:rPr>
                <w:rFonts w:hint="default" w:ascii="Times New Roman" w:hAnsi="Times New Roman" w:cs="Times New Roman"/>
                <w:highlight w:val="none"/>
              </w:rPr>
              <w:t>80%</w:t>
            </w:r>
          </w:p>
        </w:tc>
      </w:tr>
      <w:tr w14:paraId="56F3130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081B86E3">
            <w:pPr>
              <w:jc w:val="left"/>
              <w:rPr>
                <w:rFonts w:hint="default" w:ascii="Times New Roman" w:hAnsi="Times New Roman" w:cs="Times New Roman"/>
                <w:highlight w:val="none"/>
              </w:rPr>
            </w:pPr>
            <w:r>
              <w:rPr>
                <w:rFonts w:hint="default" w:ascii="Times New Roman" w:hAnsi="Times New Roman" w:cs="Times New Roman"/>
                <w:highlight w:val="none"/>
              </w:rPr>
              <w:t>基本满足</w:t>
            </w:r>
          </w:p>
        </w:tc>
        <w:tc>
          <w:tcPr>
            <w:tcW w:w="1000" w:type="dxa"/>
            <w:shd w:val="clear" w:color="auto" w:fill="FAFAFA"/>
            <w:vAlign w:val="center"/>
          </w:tcPr>
          <w:p w14:paraId="39E2395E">
            <w:pPr>
              <w:jc w:val="center"/>
              <w:rPr>
                <w:rFonts w:hint="default" w:ascii="Times New Roman" w:hAnsi="Times New Roman" w:cs="Times New Roman"/>
                <w:highlight w:val="none"/>
              </w:rPr>
            </w:pPr>
            <w:r>
              <w:rPr>
                <w:rFonts w:hint="default" w:ascii="Times New Roman" w:hAnsi="Times New Roman" w:cs="Times New Roman"/>
                <w:highlight w:val="none"/>
              </w:rPr>
              <w:t>10</w:t>
            </w:r>
          </w:p>
        </w:tc>
        <w:tc>
          <w:tcPr>
            <w:tcW w:w="3106" w:type="dxa"/>
            <w:shd w:val="clear" w:color="auto" w:fill="FAFAFA"/>
            <w:vAlign w:val="center"/>
          </w:tcPr>
          <w:p w14:paraId="792B6A1B">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66700" cy="114300"/>
                  <wp:effectExtent l="0" t="0" r="7620" b="762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266737"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085850" cy="114300"/>
                  <wp:effectExtent l="0" t="0" r="11430" b="762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9"/>
                          <a:stretch>
                            <a:fillRect/>
                          </a:stretch>
                        </pic:blipFill>
                        <pic:spPr>
                          <a:xfrm>
                            <a:off x="0" y="0"/>
                            <a:ext cx="1086002" cy="114316"/>
                          </a:xfrm>
                          <a:prstGeom prst="rect">
                            <a:avLst/>
                          </a:prstGeom>
                        </pic:spPr>
                      </pic:pic>
                    </a:graphicData>
                  </a:graphic>
                </wp:inline>
              </w:drawing>
            </w:r>
            <w:r>
              <w:rPr>
                <w:rFonts w:hint="default" w:ascii="Times New Roman" w:hAnsi="Times New Roman" w:cs="Times New Roman"/>
                <w:highlight w:val="none"/>
              </w:rPr>
              <w:t>20%</w:t>
            </w:r>
          </w:p>
        </w:tc>
      </w:tr>
      <w:tr w14:paraId="34AAA6E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48DB72DB">
            <w:pPr>
              <w:jc w:val="left"/>
              <w:rPr>
                <w:rFonts w:hint="default" w:ascii="Times New Roman" w:hAnsi="Times New Roman" w:cs="Times New Roman"/>
                <w:highlight w:val="none"/>
              </w:rPr>
            </w:pPr>
            <w:r>
              <w:rPr>
                <w:rFonts w:hint="default" w:ascii="Times New Roman" w:hAnsi="Times New Roman" w:cs="Times New Roman"/>
                <w:highlight w:val="none"/>
              </w:rPr>
              <w:t>部分满足</w:t>
            </w:r>
          </w:p>
        </w:tc>
        <w:tc>
          <w:tcPr>
            <w:tcW w:w="1000" w:type="dxa"/>
            <w:shd w:val="clear" w:color="auto" w:fill="FFFFFF"/>
            <w:vAlign w:val="center"/>
          </w:tcPr>
          <w:p w14:paraId="06B7C478">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FFFFF"/>
            <w:vAlign w:val="center"/>
          </w:tcPr>
          <w:p w14:paraId="1A7F682C">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2D83C9E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69D2829">
            <w:pPr>
              <w:jc w:val="left"/>
              <w:rPr>
                <w:rFonts w:hint="default" w:ascii="Times New Roman" w:hAnsi="Times New Roman" w:cs="Times New Roman"/>
                <w:highlight w:val="none"/>
              </w:rPr>
            </w:pPr>
            <w:r>
              <w:rPr>
                <w:rFonts w:hint="default" w:ascii="Times New Roman" w:hAnsi="Times New Roman" w:cs="Times New Roman"/>
                <w:highlight w:val="none"/>
              </w:rPr>
              <w:t>无法满足</w:t>
            </w:r>
          </w:p>
        </w:tc>
        <w:tc>
          <w:tcPr>
            <w:tcW w:w="1000" w:type="dxa"/>
            <w:shd w:val="clear" w:color="auto" w:fill="FAFAFA"/>
            <w:vAlign w:val="center"/>
          </w:tcPr>
          <w:p w14:paraId="075ACDDA">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526E64E7">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372C5CD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2D3AECD7">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090A97DF">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057A1145">
            <w:pPr>
              <w:jc w:val="left"/>
              <w:rPr>
                <w:rFonts w:hint="default" w:ascii="Times New Roman" w:hAnsi="Times New Roman" w:cs="Times New Roman"/>
                <w:highlight w:val="none"/>
              </w:rPr>
            </w:pPr>
          </w:p>
        </w:tc>
      </w:tr>
    </w:tbl>
    <w:p w14:paraId="664FC440">
      <w:pPr>
        <w:rPr>
          <w:rFonts w:hint="default" w:ascii="Times New Roman" w:hAnsi="Times New Roman" w:cs="Times New Roman"/>
          <w:highlight w:val="none"/>
        </w:rPr>
      </w:pPr>
    </w:p>
    <w:p w14:paraId="4823A12E">
      <w:pPr>
        <w:rPr>
          <w:rFonts w:hint="default" w:ascii="Times New Roman" w:hAnsi="Times New Roman" w:cs="Times New Roman"/>
          <w:highlight w:val="none"/>
        </w:rPr>
      </w:pPr>
    </w:p>
    <w:p w14:paraId="484030F0">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第5题   您是否接受过新装备的操作培训?      </w:t>
      </w:r>
      <w:r>
        <w:rPr>
          <w:rFonts w:hint="default" w:ascii="Times New Roman" w:hAnsi="Times New Roman" w:cs="Times New Roman"/>
          <w:b w:val="0"/>
          <w:color w:val="0066FF"/>
          <w:sz w:val="24"/>
          <w:highlight w:val="none"/>
        </w:rPr>
        <w:t>[单选题]</w:t>
      </w:r>
    </w:p>
    <w:p w14:paraId="59CC4A0B">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4AE585E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1DC67819">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757283A5">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2D930653">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70D19CD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785164F">
            <w:pPr>
              <w:jc w:val="left"/>
              <w:rPr>
                <w:rFonts w:hint="default" w:ascii="Times New Roman" w:hAnsi="Times New Roman" w:cs="Times New Roman"/>
                <w:highlight w:val="none"/>
              </w:rPr>
            </w:pPr>
            <w:r>
              <w:rPr>
                <w:rFonts w:hint="default" w:ascii="Times New Roman" w:hAnsi="Times New Roman" w:cs="Times New Roman"/>
                <w:highlight w:val="none"/>
              </w:rPr>
              <w:t>是</w:t>
            </w:r>
          </w:p>
        </w:tc>
        <w:tc>
          <w:tcPr>
            <w:tcW w:w="1000" w:type="dxa"/>
            <w:shd w:val="clear" w:color="auto" w:fill="FFFFFF"/>
            <w:vAlign w:val="center"/>
          </w:tcPr>
          <w:p w14:paraId="0CF3B038">
            <w:pPr>
              <w:jc w:val="center"/>
              <w:rPr>
                <w:rFonts w:hint="default" w:ascii="Times New Roman" w:hAnsi="Times New Roman" w:cs="Times New Roman"/>
                <w:highlight w:val="none"/>
              </w:rPr>
            </w:pPr>
            <w:r>
              <w:rPr>
                <w:rFonts w:hint="default" w:ascii="Times New Roman" w:hAnsi="Times New Roman" w:cs="Times New Roman"/>
                <w:highlight w:val="none"/>
              </w:rPr>
              <w:t>47</w:t>
            </w:r>
          </w:p>
        </w:tc>
        <w:tc>
          <w:tcPr>
            <w:tcW w:w="3106" w:type="dxa"/>
            <w:shd w:val="clear" w:color="auto" w:fill="FFFFFF"/>
            <w:vAlign w:val="center"/>
          </w:tcPr>
          <w:p w14:paraId="1CDA7F19">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266825" cy="114300"/>
                  <wp:effectExtent l="0" t="0" r="13335" b="762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7"/>
                          <a:stretch>
                            <a:fillRect/>
                          </a:stretch>
                        </pic:blipFill>
                        <pic:spPr>
                          <a:xfrm>
                            <a:off x="0" y="0"/>
                            <a:ext cx="1267002"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85725" cy="114300"/>
                  <wp:effectExtent l="0" t="0" r="5715" b="762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28"/>
                          <a:stretch>
                            <a:fillRect/>
                          </a:stretch>
                        </pic:blipFill>
                        <pic:spPr>
                          <a:xfrm>
                            <a:off x="0" y="0"/>
                            <a:ext cx="85737" cy="114316"/>
                          </a:xfrm>
                          <a:prstGeom prst="rect">
                            <a:avLst/>
                          </a:prstGeom>
                        </pic:spPr>
                      </pic:pic>
                    </a:graphicData>
                  </a:graphic>
                </wp:inline>
              </w:drawing>
            </w:r>
            <w:r>
              <w:rPr>
                <w:rFonts w:hint="default" w:ascii="Times New Roman" w:hAnsi="Times New Roman" w:cs="Times New Roman"/>
                <w:highlight w:val="none"/>
              </w:rPr>
              <w:t>94%</w:t>
            </w:r>
          </w:p>
        </w:tc>
      </w:tr>
      <w:tr w14:paraId="250E2B8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4CDB8841">
            <w:pPr>
              <w:jc w:val="left"/>
              <w:rPr>
                <w:rFonts w:hint="default" w:ascii="Times New Roman" w:hAnsi="Times New Roman" w:cs="Times New Roman"/>
                <w:highlight w:val="none"/>
              </w:rPr>
            </w:pPr>
            <w:r>
              <w:rPr>
                <w:rFonts w:hint="default" w:ascii="Times New Roman" w:hAnsi="Times New Roman" w:cs="Times New Roman"/>
                <w:highlight w:val="none"/>
              </w:rPr>
              <w:t>否</w:t>
            </w:r>
          </w:p>
        </w:tc>
        <w:tc>
          <w:tcPr>
            <w:tcW w:w="1000" w:type="dxa"/>
            <w:shd w:val="clear" w:color="auto" w:fill="FAFAFA"/>
            <w:vAlign w:val="center"/>
          </w:tcPr>
          <w:p w14:paraId="516C6CF5">
            <w:pPr>
              <w:jc w:val="center"/>
              <w:rPr>
                <w:rFonts w:hint="default" w:ascii="Times New Roman" w:hAnsi="Times New Roman" w:cs="Times New Roman"/>
                <w:highlight w:val="none"/>
              </w:rPr>
            </w:pPr>
            <w:r>
              <w:rPr>
                <w:rFonts w:hint="default" w:ascii="Times New Roman" w:hAnsi="Times New Roman" w:cs="Times New Roman"/>
                <w:highlight w:val="none"/>
              </w:rPr>
              <w:t>3</w:t>
            </w:r>
          </w:p>
        </w:tc>
        <w:tc>
          <w:tcPr>
            <w:tcW w:w="3106" w:type="dxa"/>
            <w:shd w:val="clear" w:color="auto" w:fill="FAFAFA"/>
            <w:vAlign w:val="center"/>
          </w:tcPr>
          <w:p w14:paraId="6720CA40">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76200" cy="114300"/>
                  <wp:effectExtent l="0" t="0" r="0" b="762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9"/>
                          <a:stretch>
                            <a:fillRect/>
                          </a:stretch>
                        </pic:blipFill>
                        <pic:spPr>
                          <a:xfrm>
                            <a:off x="0" y="0"/>
                            <a:ext cx="76211"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276350" cy="114300"/>
                  <wp:effectExtent l="0" t="0" r="3810" b="762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30"/>
                          <a:stretch>
                            <a:fillRect/>
                          </a:stretch>
                        </pic:blipFill>
                        <pic:spPr>
                          <a:xfrm>
                            <a:off x="0" y="0"/>
                            <a:ext cx="1276528" cy="114316"/>
                          </a:xfrm>
                          <a:prstGeom prst="rect">
                            <a:avLst/>
                          </a:prstGeom>
                        </pic:spPr>
                      </pic:pic>
                    </a:graphicData>
                  </a:graphic>
                </wp:inline>
              </w:drawing>
            </w:r>
            <w:r>
              <w:rPr>
                <w:rFonts w:hint="default" w:ascii="Times New Roman" w:hAnsi="Times New Roman" w:cs="Times New Roman"/>
                <w:highlight w:val="none"/>
              </w:rPr>
              <w:t>6%</w:t>
            </w:r>
          </w:p>
        </w:tc>
      </w:tr>
      <w:tr w14:paraId="0032D68E">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71C8AAAA">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2695B8E6">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68E53133">
            <w:pPr>
              <w:jc w:val="left"/>
              <w:rPr>
                <w:rFonts w:hint="default" w:ascii="Times New Roman" w:hAnsi="Times New Roman" w:cs="Times New Roman"/>
                <w:highlight w:val="none"/>
              </w:rPr>
            </w:pPr>
          </w:p>
        </w:tc>
      </w:tr>
    </w:tbl>
    <w:p w14:paraId="5C59FFAF">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第6题   培训内容是否覆盖了装备的日常维护和应急使用场景?      </w:t>
      </w:r>
      <w:r>
        <w:rPr>
          <w:rFonts w:hint="default" w:ascii="Times New Roman" w:hAnsi="Times New Roman" w:cs="Times New Roman"/>
          <w:b w:val="0"/>
          <w:color w:val="0066FF"/>
          <w:sz w:val="24"/>
          <w:highlight w:val="none"/>
        </w:rPr>
        <w:t>[单选题]</w:t>
      </w:r>
    </w:p>
    <w:p w14:paraId="6805B267">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6892A63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2653E49F">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3ECF053E">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7E3B1B94">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5118E95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54DEF086">
            <w:pPr>
              <w:jc w:val="left"/>
              <w:rPr>
                <w:rFonts w:hint="default" w:ascii="Times New Roman" w:hAnsi="Times New Roman" w:cs="Times New Roman"/>
                <w:highlight w:val="none"/>
              </w:rPr>
            </w:pPr>
            <w:r>
              <w:rPr>
                <w:rFonts w:hint="default" w:ascii="Times New Roman" w:hAnsi="Times New Roman" w:cs="Times New Roman"/>
                <w:highlight w:val="none"/>
              </w:rPr>
              <w:t>全面覆盖</w:t>
            </w:r>
          </w:p>
        </w:tc>
        <w:tc>
          <w:tcPr>
            <w:tcW w:w="1000" w:type="dxa"/>
            <w:shd w:val="clear" w:color="auto" w:fill="FFFFFF"/>
            <w:vAlign w:val="center"/>
          </w:tcPr>
          <w:p w14:paraId="4086F27B">
            <w:pPr>
              <w:jc w:val="center"/>
              <w:rPr>
                <w:rFonts w:hint="default" w:ascii="Times New Roman" w:hAnsi="Times New Roman" w:cs="Times New Roman"/>
                <w:highlight w:val="none"/>
              </w:rPr>
            </w:pPr>
            <w:r>
              <w:rPr>
                <w:rFonts w:hint="default" w:ascii="Times New Roman" w:hAnsi="Times New Roman" w:cs="Times New Roman"/>
                <w:highlight w:val="none"/>
              </w:rPr>
              <w:t>42</w:t>
            </w:r>
          </w:p>
        </w:tc>
        <w:tc>
          <w:tcPr>
            <w:tcW w:w="3106" w:type="dxa"/>
            <w:shd w:val="clear" w:color="auto" w:fill="FFFFFF"/>
            <w:vAlign w:val="center"/>
          </w:tcPr>
          <w:p w14:paraId="17787AEE">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133475" cy="114300"/>
                  <wp:effectExtent l="0" t="0" r="9525" b="762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31"/>
                          <a:stretch>
                            <a:fillRect/>
                          </a:stretch>
                        </pic:blipFill>
                        <pic:spPr>
                          <a:xfrm>
                            <a:off x="0" y="0"/>
                            <a:ext cx="1133633"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219075" cy="114300"/>
                  <wp:effectExtent l="0" t="0" r="9525" b="762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2"/>
                          <a:stretch>
                            <a:fillRect/>
                          </a:stretch>
                        </pic:blipFill>
                        <pic:spPr>
                          <a:xfrm>
                            <a:off x="0" y="0"/>
                            <a:ext cx="219106" cy="114316"/>
                          </a:xfrm>
                          <a:prstGeom prst="rect">
                            <a:avLst/>
                          </a:prstGeom>
                        </pic:spPr>
                      </pic:pic>
                    </a:graphicData>
                  </a:graphic>
                </wp:inline>
              </w:drawing>
            </w:r>
            <w:r>
              <w:rPr>
                <w:rFonts w:hint="default" w:ascii="Times New Roman" w:hAnsi="Times New Roman" w:cs="Times New Roman"/>
                <w:highlight w:val="none"/>
              </w:rPr>
              <w:t>84%</w:t>
            </w:r>
          </w:p>
        </w:tc>
      </w:tr>
      <w:tr w14:paraId="269EA56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7E73B629">
            <w:pPr>
              <w:jc w:val="left"/>
              <w:rPr>
                <w:rFonts w:hint="default" w:ascii="Times New Roman" w:hAnsi="Times New Roman" w:cs="Times New Roman"/>
                <w:highlight w:val="none"/>
              </w:rPr>
            </w:pPr>
            <w:r>
              <w:rPr>
                <w:rFonts w:hint="default" w:ascii="Times New Roman" w:hAnsi="Times New Roman" w:cs="Times New Roman"/>
                <w:highlight w:val="none"/>
              </w:rPr>
              <w:t>部分覆盖</w:t>
            </w:r>
          </w:p>
        </w:tc>
        <w:tc>
          <w:tcPr>
            <w:tcW w:w="1000" w:type="dxa"/>
            <w:shd w:val="clear" w:color="auto" w:fill="FAFAFA"/>
            <w:vAlign w:val="center"/>
          </w:tcPr>
          <w:p w14:paraId="3DF6A547">
            <w:pPr>
              <w:jc w:val="center"/>
              <w:rPr>
                <w:rFonts w:hint="default" w:ascii="Times New Roman" w:hAnsi="Times New Roman" w:cs="Times New Roman"/>
                <w:highlight w:val="none"/>
              </w:rPr>
            </w:pPr>
            <w:r>
              <w:rPr>
                <w:rFonts w:hint="default" w:ascii="Times New Roman" w:hAnsi="Times New Roman" w:cs="Times New Roman"/>
                <w:highlight w:val="none"/>
              </w:rPr>
              <w:t>8</w:t>
            </w:r>
          </w:p>
        </w:tc>
        <w:tc>
          <w:tcPr>
            <w:tcW w:w="3106" w:type="dxa"/>
            <w:shd w:val="clear" w:color="auto" w:fill="FAFAFA"/>
            <w:vAlign w:val="center"/>
          </w:tcPr>
          <w:p w14:paraId="1BFCA03D">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09550" cy="114300"/>
                  <wp:effectExtent l="0" t="0" r="3810" b="762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a:stretch>
                            <a:fillRect/>
                          </a:stretch>
                        </pic:blipFill>
                        <pic:spPr>
                          <a:xfrm>
                            <a:off x="0" y="0"/>
                            <a:ext cx="209579"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43000" cy="114300"/>
                  <wp:effectExtent l="0" t="0" r="0" b="762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5"/>
                          <a:stretch>
                            <a:fillRect/>
                          </a:stretch>
                        </pic:blipFill>
                        <pic:spPr>
                          <a:xfrm>
                            <a:off x="0" y="0"/>
                            <a:ext cx="1143160" cy="114316"/>
                          </a:xfrm>
                          <a:prstGeom prst="rect">
                            <a:avLst/>
                          </a:prstGeom>
                        </pic:spPr>
                      </pic:pic>
                    </a:graphicData>
                  </a:graphic>
                </wp:inline>
              </w:drawing>
            </w:r>
            <w:r>
              <w:rPr>
                <w:rFonts w:hint="default" w:ascii="Times New Roman" w:hAnsi="Times New Roman" w:cs="Times New Roman"/>
                <w:highlight w:val="none"/>
              </w:rPr>
              <w:t>16%</w:t>
            </w:r>
          </w:p>
        </w:tc>
      </w:tr>
      <w:tr w14:paraId="0C44F91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2D3BB759">
            <w:pPr>
              <w:jc w:val="left"/>
              <w:rPr>
                <w:rFonts w:hint="default" w:ascii="Times New Roman" w:hAnsi="Times New Roman" w:cs="Times New Roman"/>
                <w:highlight w:val="none"/>
              </w:rPr>
            </w:pPr>
            <w:r>
              <w:rPr>
                <w:rFonts w:hint="default" w:ascii="Times New Roman" w:hAnsi="Times New Roman" w:cs="Times New Roman"/>
                <w:highlight w:val="none"/>
              </w:rPr>
              <w:t>未覆盖</w:t>
            </w:r>
          </w:p>
        </w:tc>
        <w:tc>
          <w:tcPr>
            <w:tcW w:w="1000" w:type="dxa"/>
            <w:shd w:val="clear" w:color="auto" w:fill="FFFFFF"/>
            <w:vAlign w:val="center"/>
          </w:tcPr>
          <w:p w14:paraId="7E7FF8FD">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FFFFF"/>
            <w:vAlign w:val="center"/>
          </w:tcPr>
          <w:p w14:paraId="14F585C3">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61D1995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27E5E2B">
            <w:pPr>
              <w:jc w:val="left"/>
              <w:rPr>
                <w:rFonts w:hint="default" w:ascii="Times New Roman" w:hAnsi="Times New Roman" w:cs="Times New Roman"/>
                <w:highlight w:val="none"/>
              </w:rPr>
            </w:pPr>
            <w:r>
              <w:rPr>
                <w:rFonts w:hint="default" w:ascii="Times New Roman" w:hAnsi="Times New Roman" w:cs="Times New Roman"/>
                <w:highlight w:val="none"/>
              </w:rPr>
              <w:t>未参与培训</w:t>
            </w:r>
          </w:p>
        </w:tc>
        <w:tc>
          <w:tcPr>
            <w:tcW w:w="1000" w:type="dxa"/>
            <w:shd w:val="clear" w:color="auto" w:fill="FAFAFA"/>
            <w:vAlign w:val="center"/>
          </w:tcPr>
          <w:p w14:paraId="021A35FA">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7FC7781C">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2F32CCB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645EB3D1">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326486E4">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097D06ED">
            <w:pPr>
              <w:jc w:val="left"/>
              <w:rPr>
                <w:rFonts w:hint="default" w:ascii="Times New Roman" w:hAnsi="Times New Roman" w:cs="Times New Roman"/>
                <w:highlight w:val="none"/>
              </w:rPr>
            </w:pPr>
          </w:p>
        </w:tc>
      </w:tr>
    </w:tbl>
    <w:p w14:paraId="62E76DF9">
      <w:pPr>
        <w:rPr>
          <w:rFonts w:hint="default" w:ascii="Times New Roman" w:hAnsi="Times New Roman" w:cs="Times New Roman"/>
          <w:highlight w:val="none"/>
        </w:rPr>
      </w:pPr>
    </w:p>
    <w:p w14:paraId="3707E011">
      <w:pPr>
        <w:rPr>
          <w:rFonts w:hint="default" w:ascii="Times New Roman" w:hAnsi="Times New Roman" w:cs="Times New Roman"/>
          <w:highlight w:val="none"/>
        </w:rPr>
      </w:pPr>
    </w:p>
    <w:p w14:paraId="61EEB1DE">
      <w:pPr>
        <w:rPr>
          <w:rFonts w:hint="default" w:ascii="Times New Roman" w:hAnsi="Times New Roman" w:cs="Times New Roman"/>
          <w:b w:val="0"/>
          <w:color w:val="000000"/>
          <w:sz w:val="24"/>
          <w:highlight w:val="none"/>
        </w:rPr>
      </w:pPr>
      <w:r>
        <w:rPr>
          <w:rFonts w:hint="default" w:ascii="Times New Roman" w:hAnsi="Times New Roman" w:cs="Times New Roman"/>
          <w:b w:val="0"/>
          <w:color w:val="000000"/>
          <w:sz w:val="24"/>
          <w:highlight w:val="none"/>
        </w:rPr>
        <w:t>三、应急响应与协作效果</w:t>
      </w:r>
    </w:p>
    <w:p w14:paraId="413D1D83">
      <w:pPr>
        <w:rPr>
          <w:rFonts w:hint="default" w:ascii="Times New Roman" w:hAnsi="Times New Roman" w:cs="Times New Roman"/>
          <w:highlight w:val="none"/>
        </w:rPr>
      </w:pPr>
    </w:p>
    <w:p w14:paraId="3B9BAB7D">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第7题   与过去相比，新增装备是否提升了队伍的应急响应速度?      </w:t>
      </w:r>
      <w:r>
        <w:rPr>
          <w:rFonts w:hint="default" w:ascii="Times New Roman" w:hAnsi="Times New Roman" w:cs="Times New Roman"/>
          <w:b w:val="0"/>
          <w:color w:val="0066FF"/>
          <w:sz w:val="24"/>
          <w:highlight w:val="none"/>
        </w:rPr>
        <w:t>[单选题]</w:t>
      </w:r>
    </w:p>
    <w:p w14:paraId="7D438866">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1A469A86">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54AD6F9D">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660A3244">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7B7E3F0D">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7E19577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470D74BF">
            <w:pPr>
              <w:jc w:val="left"/>
              <w:rPr>
                <w:rFonts w:hint="default" w:ascii="Times New Roman" w:hAnsi="Times New Roman" w:cs="Times New Roman"/>
                <w:highlight w:val="none"/>
              </w:rPr>
            </w:pPr>
            <w:r>
              <w:rPr>
                <w:rFonts w:hint="default" w:ascii="Times New Roman" w:hAnsi="Times New Roman" w:cs="Times New Roman"/>
                <w:highlight w:val="none"/>
              </w:rPr>
              <w:t>显著提升</w:t>
            </w:r>
          </w:p>
        </w:tc>
        <w:tc>
          <w:tcPr>
            <w:tcW w:w="1000" w:type="dxa"/>
            <w:shd w:val="clear" w:color="auto" w:fill="FFFFFF"/>
            <w:vAlign w:val="center"/>
          </w:tcPr>
          <w:p w14:paraId="59B3EAC8">
            <w:pPr>
              <w:jc w:val="center"/>
              <w:rPr>
                <w:rFonts w:hint="default" w:ascii="Times New Roman" w:hAnsi="Times New Roman" w:cs="Times New Roman"/>
                <w:highlight w:val="none"/>
              </w:rPr>
            </w:pPr>
            <w:r>
              <w:rPr>
                <w:rFonts w:hint="default" w:ascii="Times New Roman" w:hAnsi="Times New Roman" w:cs="Times New Roman"/>
                <w:highlight w:val="none"/>
              </w:rPr>
              <w:t>43</w:t>
            </w:r>
          </w:p>
        </w:tc>
        <w:tc>
          <w:tcPr>
            <w:tcW w:w="3106" w:type="dxa"/>
            <w:shd w:val="clear" w:color="auto" w:fill="FFFFFF"/>
            <w:vAlign w:val="center"/>
          </w:tcPr>
          <w:p w14:paraId="7C2AFC41">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162050" cy="114300"/>
                  <wp:effectExtent l="0" t="0" r="11430" b="762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33"/>
                          <a:stretch>
                            <a:fillRect/>
                          </a:stretch>
                        </pic:blipFill>
                        <pic:spPr>
                          <a:xfrm>
                            <a:off x="0" y="0"/>
                            <a:ext cx="1162212"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90500" cy="114300"/>
                  <wp:effectExtent l="0" t="0" r="7620" b="762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34"/>
                          <a:stretch>
                            <a:fillRect/>
                          </a:stretch>
                        </pic:blipFill>
                        <pic:spPr>
                          <a:xfrm>
                            <a:off x="0" y="0"/>
                            <a:ext cx="190527" cy="114316"/>
                          </a:xfrm>
                          <a:prstGeom prst="rect">
                            <a:avLst/>
                          </a:prstGeom>
                        </pic:spPr>
                      </pic:pic>
                    </a:graphicData>
                  </a:graphic>
                </wp:inline>
              </w:drawing>
            </w:r>
            <w:r>
              <w:rPr>
                <w:rFonts w:hint="default" w:ascii="Times New Roman" w:hAnsi="Times New Roman" w:cs="Times New Roman"/>
                <w:highlight w:val="none"/>
              </w:rPr>
              <w:t>86%</w:t>
            </w:r>
          </w:p>
        </w:tc>
      </w:tr>
      <w:tr w14:paraId="3C008CB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6D1137E1">
            <w:pPr>
              <w:jc w:val="left"/>
              <w:rPr>
                <w:rFonts w:hint="default" w:ascii="Times New Roman" w:hAnsi="Times New Roman" w:cs="Times New Roman"/>
                <w:highlight w:val="none"/>
              </w:rPr>
            </w:pPr>
            <w:r>
              <w:rPr>
                <w:rFonts w:hint="default" w:ascii="Times New Roman" w:hAnsi="Times New Roman" w:cs="Times New Roman"/>
                <w:highlight w:val="none"/>
              </w:rPr>
              <w:t>略有提升</w:t>
            </w:r>
          </w:p>
        </w:tc>
        <w:tc>
          <w:tcPr>
            <w:tcW w:w="1000" w:type="dxa"/>
            <w:shd w:val="clear" w:color="auto" w:fill="FAFAFA"/>
            <w:vAlign w:val="center"/>
          </w:tcPr>
          <w:p w14:paraId="55D9C450">
            <w:pPr>
              <w:jc w:val="center"/>
              <w:rPr>
                <w:rFonts w:hint="default" w:ascii="Times New Roman" w:hAnsi="Times New Roman" w:cs="Times New Roman"/>
                <w:highlight w:val="none"/>
              </w:rPr>
            </w:pPr>
            <w:r>
              <w:rPr>
                <w:rFonts w:hint="default" w:ascii="Times New Roman" w:hAnsi="Times New Roman" w:cs="Times New Roman"/>
                <w:highlight w:val="none"/>
              </w:rPr>
              <w:t>7</w:t>
            </w:r>
          </w:p>
        </w:tc>
        <w:tc>
          <w:tcPr>
            <w:tcW w:w="3106" w:type="dxa"/>
            <w:shd w:val="clear" w:color="auto" w:fill="FAFAFA"/>
            <w:vAlign w:val="center"/>
          </w:tcPr>
          <w:p w14:paraId="68E5D40D">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80975" cy="114300"/>
                  <wp:effectExtent l="0" t="0" r="1905" b="762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35"/>
                          <a:stretch>
                            <a:fillRect/>
                          </a:stretch>
                        </pic:blipFill>
                        <pic:spPr>
                          <a:xfrm>
                            <a:off x="0" y="0"/>
                            <a:ext cx="181000"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71575" cy="114300"/>
                  <wp:effectExtent l="0" t="0" r="1905" b="762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36"/>
                          <a:stretch>
                            <a:fillRect/>
                          </a:stretch>
                        </pic:blipFill>
                        <pic:spPr>
                          <a:xfrm>
                            <a:off x="0" y="0"/>
                            <a:ext cx="1171739" cy="114316"/>
                          </a:xfrm>
                          <a:prstGeom prst="rect">
                            <a:avLst/>
                          </a:prstGeom>
                        </pic:spPr>
                      </pic:pic>
                    </a:graphicData>
                  </a:graphic>
                </wp:inline>
              </w:drawing>
            </w:r>
            <w:r>
              <w:rPr>
                <w:rFonts w:hint="default" w:ascii="Times New Roman" w:hAnsi="Times New Roman" w:cs="Times New Roman"/>
                <w:highlight w:val="none"/>
              </w:rPr>
              <w:t>14%</w:t>
            </w:r>
          </w:p>
        </w:tc>
      </w:tr>
      <w:tr w14:paraId="53239F1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8DB7385">
            <w:pPr>
              <w:jc w:val="left"/>
              <w:rPr>
                <w:rFonts w:hint="default" w:ascii="Times New Roman" w:hAnsi="Times New Roman" w:cs="Times New Roman"/>
                <w:highlight w:val="none"/>
              </w:rPr>
            </w:pPr>
            <w:r>
              <w:rPr>
                <w:rFonts w:hint="default" w:ascii="Times New Roman" w:hAnsi="Times New Roman" w:cs="Times New Roman"/>
                <w:highlight w:val="none"/>
              </w:rPr>
              <w:t>无变化</w:t>
            </w:r>
          </w:p>
        </w:tc>
        <w:tc>
          <w:tcPr>
            <w:tcW w:w="1000" w:type="dxa"/>
            <w:shd w:val="clear" w:color="auto" w:fill="FFFFFF"/>
            <w:vAlign w:val="center"/>
          </w:tcPr>
          <w:p w14:paraId="2BA92CEF">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FFFFF"/>
            <w:vAlign w:val="center"/>
          </w:tcPr>
          <w:p w14:paraId="4BA041D0">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5A08E9C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41252C6">
            <w:pPr>
              <w:jc w:val="left"/>
              <w:rPr>
                <w:rFonts w:hint="default" w:ascii="Times New Roman" w:hAnsi="Times New Roman" w:cs="Times New Roman"/>
                <w:highlight w:val="none"/>
              </w:rPr>
            </w:pPr>
            <w:r>
              <w:rPr>
                <w:rFonts w:hint="default" w:ascii="Times New Roman" w:hAnsi="Times New Roman" w:cs="Times New Roman"/>
                <w:highlight w:val="none"/>
              </w:rPr>
              <w:t>下降</w:t>
            </w:r>
          </w:p>
        </w:tc>
        <w:tc>
          <w:tcPr>
            <w:tcW w:w="1000" w:type="dxa"/>
            <w:shd w:val="clear" w:color="auto" w:fill="FAFAFA"/>
            <w:vAlign w:val="center"/>
          </w:tcPr>
          <w:p w14:paraId="51D21DA9">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77FC43C4">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066FBE4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466148BC">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2CD6FB3D">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4AF20737">
            <w:pPr>
              <w:jc w:val="left"/>
              <w:rPr>
                <w:rFonts w:hint="default" w:ascii="Times New Roman" w:hAnsi="Times New Roman" w:cs="Times New Roman"/>
                <w:highlight w:val="none"/>
              </w:rPr>
            </w:pPr>
          </w:p>
        </w:tc>
      </w:tr>
    </w:tbl>
    <w:p w14:paraId="7F339C5A">
      <w:pPr>
        <w:rPr>
          <w:rFonts w:hint="default" w:ascii="Times New Roman" w:hAnsi="Times New Roman" w:cs="Times New Roman"/>
          <w:highlight w:val="none"/>
        </w:rPr>
      </w:pPr>
    </w:p>
    <w:p w14:paraId="5173929D">
      <w:pPr>
        <w:rPr>
          <w:rFonts w:hint="default" w:ascii="Times New Roman" w:hAnsi="Times New Roman" w:cs="Times New Roman"/>
          <w:highlight w:val="none"/>
        </w:rPr>
      </w:pPr>
    </w:p>
    <w:p w14:paraId="21604A39">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第8题   在近期演练或实际救援任务中，新装备的调度和使用是否顺畅?      </w:t>
      </w:r>
      <w:r>
        <w:rPr>
          <w:rFonts w:hint="default" w:ascii="Times New Roman" w:hAnsi="Times New Roman" w:cs="Times New Roman"/>
          <w:b w:val="0"/>
          <w:color w:val="0066FF"/>
          <w:sz w:val="24"/>
          <w:highlight w:val="none"/>
        </w:rPr>
        <w:t>[单选题]</w:t>
      </w:r>
    </w:p>
    <w:p w14:paraId="32588A20">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486E3E2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6B7DD3F8">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633E8C98">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3E634D04">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1DE92E0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6E8C8358">
            <w:pPr>
              <w:jc w:val="left"/>
              <w:rPr>
                <w:rFonts w:hint="default" w:ascii="Times New Roman" w:hAnsi="Times New Roman" w:cs="Times New Roman"/>
                <w:highlight w:val="none"/>
              </w:rPr>
            </w:pPr>
            <w:r>
              <w:rPr>
                <w:rFonts w:hint="default" w:ascii="Times New Roman" w:hAnsi="Times New Roman" w:cs="Times New Roman"/>
                <w:highlight w:val="none"/>
              </w:rPr>
              <w:t>非常顺畅</w:t>
            </w:r>
          </w:p>
        </w:tc>
        <w:tc>
          <w:tcPr>
            <w:tcW w:w="1000" w:type="dxa"/>
            <w:shd w:val="clear" w:color="auto" w:fill="FFFFFF"/>
            <w:vAlign w:val="center"/>
          </w:tcPr>
          <w:p w14:paraId="4E617BDC">
            <w:pPr>
              <w:jc w:val="center"/>
              <w:rPr>
                <w:rFonts w:hint="default" w:ascii="Times New Roman" w:hAnsi="Times New Roman" w:cs="Times New Roman"/>
                <w:highlight w:val="none"/>
              </w:rPr>
            </w:pPr>
            <w:r>
              <w:rPr>
                <w:rFonts w:hint="default" w:ascii="Times New Roman" w:hAnsi="Times New Roman" w:cs="Times New Roman"/>
                <w:highlight w:val="none"/>
              </w:rPr>
              <w:t>41</w:t>
            </w:r>
          </w:p>
        </w:tc>
        <w:tc>
          <w:tcPr>
            <w:tcW w:w="3106" w:type="dxa"/>
            <w:shd w:val="clear" w:color="auto" w:fill="FFFFFF"/>
            <w:vAlign w:val="center"/>
          </w:tcPr>
          <w:p w14:paraId="396B2E56">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104900" cy="114300"/>
                  <wp:effectExtent l="0" t="0" r="7620" b="762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0"/>
                          <a:stretch>
                            <a:fillRect/>
                          </a:stretch>
                        </pic:blipFill>
                        <pic:spPr>
                          <a:xfrm>
                            <a:off x="0" y="0"/>
                            <a:ext cx="1105054"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247650" cy="114300"/>
                  <wp:effectExtent l="0" t="0" r="11430" b="762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21"/>
                          <a:stretch>
                            <a:fillRect/>
                          </a:stretch>
                        </pic:blipFill>
                        <pic:spPr>
                          <a:xfrm>
                            <a:off x="0" y="0"/>
                            <a:ext cx="247685" cy="114316"/>
                          </a:xfrm>
                          <a:prstGeom prst="rect">
                            <a:avLst/>
                          </a:prstGeom>
                        </pic:spPr>
                      </pic:pic>
                    </a:graphicData>
                  </a:graphic>
                </wp:inline>
              </w:drawing>
            </w:r>
            <w:r>
              <w:rPr>
                <w:rFonts w:hint="default" w:ascii="Times New Roman" w:hAnsi="Times New Roman" w:cs="Times New Roman"/>
                <w:highlight w:val="none"/>
              </w:rPr>
              <w:t>82%</w:t>
            </w:r>
          </w:p>
        </w:tc>
      </w:tr>
      <w:tr w14:paraId="7FF6528D">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56BF78C8">
            <w:pPr>
              <w:jc w:val="left"/>
              <w:rPr>
                <w:rFonts w:hint="default" w:ascii="Times New Roman" w:hAnsi="Times New Roman" w:cs="Times New Roman"/>
                <w:highlight w:val="none"/>
              </w:rPr>
            </w:pPr>
            <w:r>
              <w:rPr>
                <w:rFonts w:hint="default" w:ascii="Times New Roman" w:hAnsi="Times New Roman" w:cs="Times New Roman"/>
                <w:highlight w:val="none"/>
              </w:rPr>
              <w:t>基本顺畅</w:t>
            </w:r>
          </w:p>
        </w:tc>
        <w:tc>
          <w:tcPr>
            <w:tcW w:w="1000" w:type="dxa"/>
            <w:shd w:val="clear" w:color="auto" w:fill="FAFAFA"/>
            <w:vAlign w:val="center"/>
          </w:tcPr>
          <w:p w14:paraId="0ADD79C3">
            <w:pPr>
              <w:jc w:val="center"/>
              <w:rPr>
                <w:rFonts w:hint="default" w:ascii="Times New Roman" w:hAnsi="Times New Roman" w:cs="Times New Roman"/>
                <w:highlight w:val="none"/>
              </w:rPr>
            </w:pPr>
            <w:r>
              <w:rPr>
                <w:rFonts w:hint="default" w:ascii="Times New Roman" w:hAnsi="Times New Roman" w:cs="Times New Roman"/>
                <w:highlight w:val="none"/>
              </w:rPr>
              <w:t>9</w:t>
            </w:r>
          </w:p>
        </w:tc>
        <w:tc>
          <w:tcPr>
            <w:tcW w:w="3106" w:type="dxa"/>
            <w:shd w:val="clear" w:color="auto" w:fill="FAFAFA"/>
            <w:vAlign w:val="center"/>
          </w:tcPr>
          <w:p w14:paraId="6F61993C">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38125" cy="114300"/>
                  <wp:effectExtent l="0" t="0" r="5715" b="762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2"/>
                          <a:stretch>
                            <a:fillRect/>
                          </a:stretch>
                        </pic:blipFill>
                        <pic:spPr>
                          <a:xfrm>
                            <a:off x="0" y="0"/>
                            <a:ext cx="238158"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14425" cy="114300"/>
                  <wp:effectExtent l="0" t="0" r="13335" b="7620"/>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23"/>
                          <a:stretch>
                            <a:fillRect/>
                          </a:stretch>
                        </pic:blipFill>
                        <pic:spPr>
                          <a:xfrm>
                            <a:off x="0" y="0"/>
                            <a:ext cx="1114581" cy="114316"/>
                          </a:xfrm>
                          <a:prstGeom prst="rect">
                            <a:avLst/>
                          </a:prstGeom>
                        </pic:spPr>
                      </pic:pic>
                    </a:graphicData>
                  </a:graphic>
                </wp:inline>
              </w:drawing>
            </w:r>
            <w:r>
              <w:rPr>
                <w:rFonts w:hint="default" w:ascii="Times New Roman" w:hAnsi="Times New Roman" w:cs="Times New Roman"/>
                <w:highlight w:val="none"/>
              </w:rPr>
              <w:t>18%</w:t>
            </w:r>
          </w:p>
        </w:tc>
      </w:tr>
      <w:tr w14:paraId="2147B9F4">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000F434">
            <w:pPr>
              <w:jc w:val="left"/>
              <w:rPr>
                <w:rFonts w:hint="default" w:ascii="Times New Roman" w:hAnsi="Times New Roman" w:cs="Times New Roman"/>
                <w:highlight w:val="none"/>
              </w:rPr>
            </w:pPr>
            <w:r>
              <w:rPr>
                <w:rFonts w:hint="default" w:ascii="Times New Roman" w:hAnsi="Times New Roman" w:cs="Times New Roman"/>
                <w:highlight w:val="none"/>
              </w:rPr>
              <w:t>存在障碍</w:t>
            </w:r>
          </w:p>
        </w:tc>
        <w:tc>
          <w:tcPr>
            <w:tcW w:w="1000" w:type="dxa"/>
            <w:shd w:val="clear" w:color="auto" w:fill="FFFFFF"/>
            <w:vAlign w:val="center"/>
          </w:tcPr>
          <w:p w14:paraId="3554C168">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FFFFF"/>
            <w:vAlign w:val="center"/>
          </w:tcPr>
          <w:p w14:paraId="1600F9B0">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758B614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37236359">
            <w:pPr>
              <w:jc w:val="left"/>
              <w:rPr>
                <w:rFonts w:hint="default" w:ascii="Times New Roman" w:hAnsi="Times New Roman" w:cs="Times New Roman"/>
                <w:highlight w:val="none"/>
              </w:rPr>
            </w:pPr>
            <w:r>
              <w:rPr>
                <w:rFonts w:hint="default" w:ascii="Times New Roman" w:hAnsi="Times New Roman" w:cs="Times New Roman"/>
                <w:highlight w:val="none"/>
              </w:rPr>
              <w:t>有严重问题:</w:t>
            </w:r>
          </w:p>
        </w:tc>
        <w:tc>
          <w:tcPr>
            <w:tcW w:w="1000" w:type="dxa"/>
            <w:shd w:val="clear" w:color="auto" w:fill="FAFAFA"/>
            <w:vAlign w:val="center"/>
          </w:tcPr>
          <w:p w14:paraId="643A1491">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55734F79">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2984710C">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5AD6EDCB">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2D7EBB2F">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1BE75DA0">
            <w:pPr>
              <w:jc w:val="left"/>
              <w:rPr>
                <w:rFonts w:hint="default" w:ascii="Times New Roman" w:hAnsi="Times New Roman" w:cs="Times New Roman"/>
                <w:highlight w:val="none"/>
              </w:rPr>
            </w:pPr>
          </w:p>
        </w:tc>
      </w:tr>
    </w:tbl>
    <w:p w14:paraId="203A0364">
      <w:pPr>
        <w:rPr>
          <w:rFonts w:hint="default" w:ascii="Times New Roman" w:hAnsi="Times New Roman" w:cs="Times New Roman"/>
          <w:highlight w:val="none"/>
        </w:rPr>
      </w:pPr>
    </w:p>
    <w:p w14:paraId="7D8BB6DD">
      <w:pPr>
        <w:rPr>
          <w:rFonts w:hint="default" w:ascii="Times New Roman" w:hAnsi="Times New Roman" w:cs="Times New Roman"/>
          <w:highlight w:val="none"/>
        </w:rPr>
      </w:pPr>
    </w:p>
    <w:p w14:paraId="7E7B5CD2">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第9题   您认为队伍的协调联动能力（如跨队伍协作、指挥沟通）是否有所增强?      </w:t>
      </w:r>
      <w:r>
        <w:rPr>
          <w:rFonts w:hint="default" w:ascii="Times New Roman" w:hAnsi="Times New Roman" w:cs="Times New Roman"/>
          <w:b w:val="0"/>
          <w:color w:val="0066FF"/>
          <w:sz w:val="24"/>
          <w:highlight w:val="none"/>
        </w:rPr>
        <w:t>[单选题]</w:t>
      </w:r>
    </w:p>
    <w:p w14:paraId="550862BC">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10219D4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38B6989A">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2FCE3A2F">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18D35E16">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444EDB91">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911C152">
            <w:pPr>
              <w:jc w:val="left"/>
              <w:rPr>
                <w:rFonts w:hint="default" w:ascii="Times New Roman" w:hAnsi="Times New Roman" w:cs="Times New Roman"/>
                <w:highlight w:val="none"/>
              </w:rPr>
            </w:pPr>
            <w:r>
              <w:rPr>
                <w:rFonts w:hint="default" w:ascii="Times New Roman" w:hAnsi="Times New Roman" w:cs="Times New Roman"/>
                <w:highlight w:val="none"/>
              </w:rPr>
              <w:t>明显增强</w:t>
            </w:r>
          </w:p>
        </w:tc>
        <w:tc>
          <w:tcPr>
            <w:tcW w:w="1000" w:type="dxa"/>
            <w:shd w:val="clear" w:color="auto" w:fill="FFFFFF"/>
            <w:vAlign w:val="center"/>
          </w:tcPr>
          <w:p w14:paraId="772F00A8">
            <w:pPr>
              <w:jc w:val="center"/>
              <w:rPr>
                <w:rFonts w:hint="default" w:ascii="Times New Roman" w:hAnsi="Times New Roman" w:cs="Times New Roman"/>
                <w:highlight w:val="none"/>
              </w:rPr>
            </w:pPr>
            <w:r>
              <w:rPr>
                <w:rFonts w:hint="default" w:ascii="Times New Roman" w:hAnsi="Times New Roman" w:cs="Times New Roman"/>
                <w:highlight w:val="none"/>
              </w:rPr>
              <w:t>44</w:t>
            </w:r>
          </w:p>
        </w:tc>
        <w:tc>
          <w:tcPr>
            <w:tcW w:w="3106" w:type="dxa"/>
            <w:shd w:val="clear" w:color="auto" w:fill="FFFFFF"/>
            <w:vAlign w:val="center"/>
          </w:tcPr>
          <w:p w14:paraId="4009E083">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181100" cy="114300"/>
                  <wp:effectExtent l="0" t="0" r="7620" b="762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37"/>
                          <a:stretch>
                            <a:fillRect/>
                          </a:stretch>
                        </pic:blipFill>
                        <pic:spPr>
                          <a:xfrm>
                            <a:off x="0" y="0"/>
                            <a:ext cx="1181265"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71450" cy="114300"/>
                  <wp:effectExtent l="0" t="0" r="11430" b="7620"/>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38"/>
                          <a:stretch>
                            <a:fillRect/>
                          </a:stretch>
                        </pic:blipFill>
                        <pic:spPr>
                          <a:xfrm>
                            <a:off x="0" y="0"/>
                            <a:ext cx="171474" cy="114316"/>
                          </a:xfrm>
                          <a:prstGeom prst="rect">
                            <a:avLst/>
                          </a:prstGeom>
                        </pic:spPr>
                      </pic:pic>
                    </a:graphicData>
                  </a:graphic>
                </wp:inline>
              </w:drawing>
            </w:r>
            <w:r>
              <w:rPr>
                <w:rFonts w:hint="default" w:ascii="Times New Roman" w:hAnsi="Times New Roman" w:cs="Times New Roman"/>
                <w:highlight w:val="none"/>
              </w:rPr>
              <w:t>88%</w:t>
            </w:r>
          </w:p>
        </w:tc>
      </w:tr>
      <w:tr w14:paraId="7A373E8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0EEBB702">
            <w:pPr>
              <w:jc w:val="left"/>
              <w:rPr>
                <w:rFonts w:hint="default" w:ascii="Times New Roman" w:hAnsi="Times New Roman" w:cs="Times New Roman"/>
                <w:highlight w:val="none"/>
              </w:rPr>
            </w:pPr>
            <w:r>
              <w:rPr>
                <w:rFonts w:hint="default" w:ascii="Times New Roman" w:hAnsi="Times New Roman" w:cs="Times New Roman"/>
                <w:highlight w:val="none"/>
              </w:rPr>
              <w:t>略有增强</w:t>
            </w:r>
          </w:p>
        </w:tc>
        <w:tc>
          <w:tcPr>
            <w:tcW w:w="1000" w:type="dxa"/>
            <w:shd w:val="clear" w:color="auto" w:fill="FAFAFA"/>
            <w:vAlign w:val="center"/>
          </w:tcPr>
          <w:p w14:paraId="07249F6B">
            <w:pPr>
              <w:jc w:val="center"/>
              <w:rPr>
                <w:rFonts w:hint="default" w:ascii="Times New Roman" w:hAnsi="Times New Roman" w:cs="Times New Roman"/>
                <w:highlight w:val="none"/>
              </w:rPr>
            </w:pPr>
            <w:r>
              <w:rPr>
                <w:rFonts w:hint="default" w:ascii="Times New Roman" w:hAnsi="Times New Roman" w:cs="Times New Roman"/>
                <w:highlight w:val="none"/>
              </w:rPr>
              <w:t>6</w:t>
            </w:r>
          </w:p>
        </w:tc>
        <w:tc>
          <w:tcPr>
            <w:tcW w:w="3106" w:type="dxa"/>
            <w:shd w:val="clear" w:color="auto" w:fill="FAFAFA"/>
            <w:vAlign w:val="center"/>
          </w:tcPr>
          <w:p w14:paraId="7E8AC255">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61925" cy="114300"/>
                  <wp:effectExtent l="0" t="0" r="5715" b="762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39"/>
                          <a:stretch>
                            <a:fillRect/>
                          </a:stretch>
                        </pic:blipFill>
                        <pic:spPr>
                          <a:xfrm>
                            <a:off x="0" y="0"/>
                            <a:ext cx="161948"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90625" cy="114300"/>
                  <wp:effectExtent l="0" t="0" r="13335" b="7620"/>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40"/>
                          <a:stretch>
                            <a:fillRect/>
                          </a:stretch>
                        </pic:blipFill>
                        <pic:spPr>
                          <a:xfrm>
                            <a:off x="0" y="0"/>
                            <a:ext cx="1190791" cy="114316"/>
                          </a:xfrm>
                          <a:prstGeom prst="rect">
                            <a:avLst/>
                          </a:prstGeom>
                        </pic:spPr>
                      </pic:pic>
                    </a:graphicData>
                  </a:graphic>
                </wp:inline>
              </w:drawing>
            </w:r>
            <w:r>
              <w:rPr>
                <w:rFonts w:hint="default" w:ascii="Times New Roman" w:hAnsi="Times New Roman" w:cs="Times New Roman"/>
                <w:highlight w:val="none"/>
              </w:rPr>
              <w:t>12%</w:t>
            </w:r>
          </w:p>
        </w:tc>
      </w:tr>
      <w:tr w14:paraId="51376B5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112D77E4">
            <w:pPr>
              <w:jc w:val="left"/>
              <w:rPr>
                <w:rFonts w:hint="default" w:ascii="Times New Roman" w:hAnsi="Times New Roman" w:cs="Times New Roman"/>
                <w:highlight w:val="none"/>
              </w:rPr>
            </w:pPr>
            <w:r>
              <w:rPr>
                <w:rFonts w:hint="default" w:ascii="Times New Roman" w:hAnsi="Times New Roman" w:cs="Times New Roman"/>
                <w:highlight w:val="none"/>
              </w:rPr>
              <w:t>无变化</w:t>
            </w:r>
          </w:p>
        </w:tc>
        <w:tc>
          <w:tcPr>
            <w:tcW w:w="1000" w:type="dxa"/>
            <w:shd w:val="clear" w:color="auto" w:fill="FFFFFF"/>
            <w:vAlign w:val="center"/>
          </w:tcPr>
          <w:p w14:paraId="39D473D5">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FFFFF"/>
            <w:vAlign w:val="center"/>
          </w:tcPr>
          <w:p w14:paraId="4A315BAC">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142E2E1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25D2B513">
            <w:pPr>
              <w:jc w:val="left"/>
              <w:rPr>
                <w:rFonts w:hint="default" w:ascii="Times New Roman" w:hAnsi="Times New Roman" w:cs="Times New Roman"/>
                <w:highlight w:val="none"/>
              </w:rPr>
            </w:pPr>
            <w:r>
              <w:rPr>
                <w:rFonts w:hint="default" w:ascii="Times New Roman" w:hAnsi="Times New Roman" w:cs="Times New Roman"/>
                <w:highlight w:val="none"/>
              </w:rPr>
              <w:t>减弱</w:t>
            </w:r>
          </w:p>
        </w:tc>
        <w:tc>
          <w:tcPr>
            <w:tcW w:w="1000" w:type="dxa"/>
            <w:shd w:val="clear" w:color="auto" w:fill="FAFAFA"/>
            <w:vAlign w:val="center"/>
          </w:tcPr>
          <w:p w14:paraId="0935E170">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662959C6">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7093AFA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074722C0">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6C462A11">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7E6B8AF0">
            <w:pPr>
              <w:jc w:val="left"/>
              <w:rPr>
                <w:rFonts w:hint="default" w:ascii="Times New Roman" w:hAnsi="Times New Roman" w:cs="Times New Roman"/>
                <w:highlight w:val="none"/>
              </w:rPr>
            </w:pPr>
          </w:p>
        </w:tc>
      </w:tr>
    </w:tbl>
    <w:p w14:paraId="297B038C">
      <w:pPr>
        <w:rPr>
          <w:rFonts w:hint="default" w:ascii="Times New Roman" w:hAnsi="Times New Roman" w:cs="Times New Roman"/>
          <w:highlight w:val="none"/>
        </w:rPr>
      </w:pPr>
    </w:p>
    <w:p w14:paraId="5DE9A60C">
      <w:pPr>
        <w:rPr>
          <w:rFonts w:hint="default" w:ascii="Times New Roman" w:hAnsi="Times New Roman" w:cs="Times New Roman"/>
          <w:highlight w:val="none"/>
        </w:rPr>
      </w:pPr>
    </w:p>
    <w:p w14:paraId="4042FCD0">
      <w:pPr>
        <w:rPr>
          <w:rFonts w:hint="default" w:ascii="Times New Roman" w:hAnsi="Times New Roman" w:cs="Times New Roman"/>
          <w:b w:val="0"/>
          <w:color w:val="000000"/>
          <w:sz w:val="24"/>
          <w:highlight w:val="none"/>
        </w:rPr>
      </w:pPr>
      <w:r>
        <w:rPr>
          <w:rFonts w:hint="default" w:ascii="Times New Roman" w:hAnsi="Times New Roman" w:cs="Times New Roman"/>
          <w:b w:val="0"/>
          <w:color w:val="000000"/>
          <w:sz w:val="24"/>
          <w:highlight w:val="none"/>
        </w:rPr>
        <w:t>四、综合满意度与建议</w:t>
      </w:r>
    </w:p>
    <w:p w14:paraId="42DC3CC7">
      <w:pPr>
        <w:rPr>
          <w:rFonts w:hint="default" w:ascii="Times New Roman" w:hAnsi="Times New Roman" w:cs="Times New Roman"/>
          <w:highlight w:val="none"/>
        </w:rPr>
      </w:pPr>
    </w:p>
    <w:p w14:paraId="78F21280">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第10题   您认为当前最需要改进的方面是?（可多选）      </w:t>
      </w:r>
      <w:r>
        <w:rPr>
          <w:rFonts w:hint="default" w:ascii="Times New Roman" w:hAnsi="Times New Roman" w:cs="Times New Roman"/>
          <w:b w:val="0"/>
          <w:color w:val="0066FF"/>
          <w:sz w:val="24"/>
          <w:highlight w:val="none"/>
        </w:rPr>
        <w:t>[多选题]</w:t>
      </w:r>
    </w:p>
    <w:p w14:paraId="0BB8B015">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20F4AF9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5893A430">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32F40E3A">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44E54997">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65DFA95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20D369DF">
            <w:pPr>
              <w:jc w:val="left"/>
              <w:rPr>
                <w:rFonts w:hint="default" w:ascii="Times New Roman" w:hAnsi="Times New Roman" w:cs="Times New Roman"/>
                <w:highlight w:val="none"/>
              </w:rPr>
            </w:pPr>
            <w:r>
              <w:rPr>
                <w:rFonts w:hint="default" w:ascii="Times New Roman" w:hAnsi="Times New Roman" w:cs="Times New Roman"/>
                <w:highlight w:val="none"/>
              </w:rPr>
              <w:t>装备种类不足</w:t>
            </w:r>
          </w:p>
        </w:tc>
        <w:tc>
          <w:tcPr>
            <w:tcW w:w="1000" w:type="dxa"/>
            <w:shd w:val="clear" w:color="auto" w:fill="FFFFFF"/>
            <w:vAlign w:val="center"/>
          </w:tcPr>
          <w:p w14:paraId="72F1DBCD">
            <w:pPr>
              <w:jc w:val="center"/>
              <w:rPr>
                <w:rFonts w:hint="default" w:ascii="Times New Roman" w:hAnsi="Times New Roman" w:cs="Times New Roman"/>
                <w:highlight w:val="none"/>
              </w:rPr>
            </w:pPr>
            <w:r>
              <w:rPr>
                <w:rFonts w:hint="default" w:ascii="Times New Roman" w:hAnsi="Times New Roman" w:cs="Times New Roman"/>
                <w:highlight w:val="none"/>
              </w:rPr>
              <w:t>21</w:t>
            </w:r>
          </w:p>
        </w:tc>
        <w:tc>
          <w:tcPr>
            <w:tcW w:w="3106" w:type="dxa"/>
            <w:shd w:val="clear" w:color="auto" w:fill="FFFFFF"/>
            <w:vAlign w:val="center"/>
          </w:tcPr>
          <w:p w14:paraId="15697C0A">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561975" cy="114300"/>
                  <wp:effectExtent l="0" t="0" r="1905" b="762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41"/>
                          <a:stretch>
                            <a:fillRect/>
                          </a:stretch>
                        </pic:blipFill>
                        <pic:spPr>
                          <a:xfrm>
                            <a:off x="0" y="0"/>
                            <a:ext cx="562053"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790575" cy="114300"/>
                  <wp:effectExtent l="0" t="0" r="1905" b="7620"/>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42"/>
                          <a:stretch>
                            <a:fillRect/>
                          </a:stretch>
                        </pic:blipFill>
                        <pic:spPr>
                          <a:xfrm>
                            <a:off x="0" y="0"/>
                            <a:ext cx="790685" cy="114316"/>
                          </a:xfrm>
                          <a:prstGeom prst="rect">
                            <a:avLst/>
                          </a:prstGeom>
                        </pic:spPr>
                      </pic:pic>
                    </a:graphicData>
                  </a:graphic>
                </wp:inline>
              </w:drawing>
            </w:r>
            <w:r>
              <w:rPr>
                <w:rFonts w:hint="default" w:ascii="Times New Roman" w:hAnsi="Times New Roman" w:cs="Times New Roman"/>
                <w:highlight w:val="none"/>
              </w:rPr>
              <w:t>42%</w:t>
            </w:r>
          </w:p>
        </w:tc>
      </w:tr>
      <w:tr w14:paraId="4C5104D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2D43FB10">
            <w:pPr>
              <w:jc w:val="left"/>
              <w:rPr>
                <w:rFonts w:hint="default" w:ascii="Times New Roman" w:hAnsi="Times New Roman" w:cs="Times New Roman"/>
                <w:highlight w:val="none"/>
              </w:rPr>
            </w:pPr>
            <w:r>
              <w:rPr>
                <w:rFonts w:hint="default" w:ascii="Times New Roman" w:hAnsi="Times New Roman" w:cs="Times New Roman"/>
                <w:highlight w:val="none"/>
              </w:rPr>
              <w:t>装备分布不合理</w:t>
            </w:r>
          </w:p>
        </w:tc>
        <w:tc>
          <w:tcPr>
            <w:tcW w:w="1000" w:type="dxa"/>
            <w:shd w:val="clear" w:color="auto" w:fill="FAFAFA"/>
            <w:vAlign w:val="center"/>
          </w:tcPr>
          <w:p w14:paraId="04C68394">
            <w:pPr>
              <w:jc w:val="center"/>
              <w:rPr>
                <w:rFonts w:hint="default" w:ascii="Times New Roman" w:hAnsi="Times New Roman" w:cs="Times New Roman"/>
                <w:highlight w:val="none"/>
              </w:rPr>
            </w:pPr>
            <w:r>
              <w:rPr>
                <w:rFonts w:hint="default" w:ascii="Times New Roman" w:hAnsi="Times New Roman" w:cs="Times New Roman"/>
                <w:highlight w:val="none"/>
              </w:rPr>
              <w:t>7</w:t>
            </w:r>
          </w:p>
        </w:tc>
        <w:tc>
          <w:tcPr>
            <w:tcW w:w="3106" w:type="dxa"/>
            <w:shd w:val="clear" w:color="auto" w:fill="FAFAFA"/>
            <w:vAlign w:val="center"/>
          </w:tcPr>
          <w:p w14:paraId="1702B617">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80975" cy="114300"/>
                  <wp:effectExtent l="0" t="0" r="1905" b="762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35"/>
                          <a:stretch>
                            <a:fillRect/>
                          </a:stretch>
                        </pic:blipFill>
                        <pic:spPr>
                          <a:xfrm>
                            <a:off x="0" y="0"/>
                            <a:ext cx="181000"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71575" cy="114300"/>
                  <wp:effectExtent l="0" t="0" r="1905" b="7620"/>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36"/>
                          <a:stretch>
                            <a:fillRect/>
                          </a:stretch>
                        </pic:blipFill>
                        <pic:spPr>
                          <a:xfrm>
                            <a:off x="0" y="0"/>
                            <a:ext cx="1171739" cy="114316"/>
                          </a:xfrm>
                          <a:prstGeom prst="rect">
                            <a:avLst/>
                          </a:prstGeom>
                        </pic:spPr>
                      </pic:pic>
                    </a:graphicData>
                  </a:graphic>
                </wp:inline>
              </w:drawing>
            </w:r>
            <w:r>
              <w:rPr>
                <w:rFonts w:hint="default" w:ascii="Times New Roman" w:hAnsi="Times New Roman" w:cs="Times New Roman"/>
                <w:highlight w:val="none"/>
              </w:rPr>
              <w:t>14%</w:t>
            </w:r>
          </w:p>
        </w:tc>
      </w:tr>
      <w:tr w14:paraId="325D842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672A983">
            <w:pPr>
              <w:jc w:val="left"/>
              <w:rPr>
                <w:rFonts w:hint="default" w:ascii="Times New Roman" w:hAnsi="Times New Roman" w:cs="Times New Roman"/>
                <w:highlight w:val="none"/>
              </w:rPr>
            </w:pPr>
            <w:r>
              <w:rPr>
                <w:rFonts w:hint="default" w:ascii="Times New Roman" w:hAnsi="Times New Roman" w:cs="Times New Roman"/>
                <w:highlight w:val="none"/>
              </w:rPr>
              <w:t>培训频率低</w:t>
            </w:r>
          </w:p>
        </w:tc>
        <w:tc>
          <w:tcPr>
            <w:tcW w:w="1000" w:type="dxa"/>
            <w:shd w:val="clear" w:color="auto" w:fill="FFFFFF"/>
            <w:vAlign w:val="center"/>
          </w:tcPr>
          <w:p w14:paraId="5E0B7E40">
            <w:pPr>
              <w:jc w:val="center"/>
              <w:rPr>
                <w:rFonts w:hint="default" w:ascii="Times New Roman" w:hAnsi="Times New Roman" w:cs="Times New Roman"/>
                <w:highlight w:val="none"/>
              </w:rPr>
            </w:pPr>
            <w:r>
              <w:rPr>
                <w:rFonts w:hint="default" w:ascii="Times New Roman" w:hAnsi="Times New Roman" w:cs="Times New Roman"/>
                <w:highlight w:val="none"/>
              </w:rPr>
              <w:t>22</w:t>
            </w:r>
          </w:p>
        </w:tc>
        <w:tc>
          <w:tcPr>
            <w:tcW w:w="3106" w:type="dxa"/>
            <w:shd w:val="clear" w:color="auto" w:fill="FFFFFF"/>
            <w:vAlign w:val="center"/>
          </w:tcPr>
          <w:p w14:paraId="3B8EE79F">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590550" cy="114300"/>
                  <wp:effectExtent l="0" t="0" r="3810" b="762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43"/>
                          <a:stretch>
                            <a:fillRect/>
                          </a:stretch>
                        </pic:blipFill>
                        <pic:spPr>
                          <a:xfrm>
                            <a:off x="0" y="0"/>
                            <a:ext cx="590632"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762000" cy="114300"/>
                  <wp:effectExtent l="0" t="0" r="0" b="7620"/>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44"/>
                          <a:stretch>
                            <a:fillRect/>
                          </a:stretch>
                        </pic:blipFill>
                        <pic:spPr>
                          <a:xfrm>
                            <a:off x="0" y="0"/>
                            <a:ext cx="762106" cy="114316"/>
                          </a:xfrm>
                          <a:prstGeom prst="rect">
                            <a:avLst/>
                          </a:prstGeom>
                        </pic:spPr>
                      </pic:pic>
                    </a:graphicData>
                  </a:graphic>
                </wp:inline>
              </w:drawing>
            </w:r>
            <w:r>
              <w:rPr>
                <w:rFonts w:hint="default" w:ascii="Times New Roman" w:hAnsi="Times New Roman" w:cs="Times New Roman"/>
                <w:highlight w:val="none"/>
              </w:rPr>
              <w:t>44%</w:t>
            </w:r>
          </w:p>
        </w:tc>
      </w:tr>
      <w:tr w14:paraId="6F80A99A">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496E88C1">
            <w:pPr>
              <w:jc w:val="left"/>
              <w:rPr>
                <w:rFonts w:hint="default" w:ascii="Times New Roman" w:hAnsi="Times New Roman" w:cs="Times New Roman"/>
                <w:highlight w:val="none"/>
              </w:rPr>
            </w:pPr>
            <w:r>
              <w:rPr>
                <w:rFonts w:hint="default" w:ascii="Times New Roman" w:hAnsi="Times New Roman" w:cs="Times New Roman"/>
                <w:highlight w:val="none"/>
              </w:rPr>
              <w:t>指挥系统效率</w:t>
            </w:r>
          </w:p>
        </w:tc>
        <w:tc>
          <w:tcPr>
            <w:tcW w:w="1000" w:type="dxa"/>
            <w:shd w:val="clear" w:color="auto" w:fill="FAFAFA"/>
            <w:vAlign w:val="center"/>
          </w:tcPr>
          <w:p w14:paraId="26873693">
            <w:pPr>
              <w:jc w:val="center"/>
              <w:rPr>
                <w:rFonts w:hint="default" w:ascii="Times New Roman" w:hAnsi="Times New Roman" w:cs="Times New Roman"/>
                <w:highlight w:val="none"/>
              </w:rPr>
            </w:pPr>
            <w:r>
              <w:rPr>
                <w:rFonts w:hint="default" w:ascii="Times New Roman" w:hAnsi="Times New Roman" w:cs="Times New Roman"/>
                <w:highlight w:val="none"/>
              </w:rPr>
              <w:t>9</w:t>
            </w:r>
          </w:p>
        </w:tc>
        <w:tc>
          <w:tcPr>
            <w:tcW w:w="3106" w:type="dxa"/>
            <w:shd w:val="clear" w:color="auto" w:fill="FAFAFA"/>
            <w:vAlign w:val="center"/>
          </w:tcPr>
          <w:p w14:paraId="613FFAB3">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238125" cy="114300"/>
                  <wp:effectExtent l="0" t="0" r="5715" b="762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2"/>
                          <a:stretch>
                            <a:fillRect/>
                          </a:stretch>
                        </pic:blipFill>
                        <pic:spPr>
                          <a:xfrm>
                            <a:off x="0" y="0"/>
                            <a:ext cx="238158"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114425" cy="114300"/>
                  <wp:effectExtent l="0" t="0" r="13335" b="7620"/>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23"/>
                          <a:stretch>
                            <a:fillRect/>
                          </a:stretch>
                        </pic:blipFill>
                        <pic:spPr>
                          <a:xfrm>
                            <a:off x="0" y="0"/>
                            <a:ext cx="1114581" cy="114316"/>
                          </a:xfrm>
                          <a:prstGeom prst="rect">
                            <a:avLst/>
                          </a:prstGeom>
                        </pic:spPr>
                      </pic:pic>
                    </a:graphicData>
                  </a:graphic>
                </wp:inline>
              </w:drawing>
            </w:r>
            <w:r>
              <w:rPr>
                <w:rFonts w:hint="default" w:ascii="Times New Roman" w:hAnsi="Times New Roman" w:cs="Times New Roman"/>
                <w:highlight w:val="none"/>
              </w:rPr>
              <w:t>18%</w:t>
            </w:r>
          </w:p>
        </w:tc>
      </w:tr>
      <w:tr w14:paraId="61E03618">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7C2A0035">
            <w:pPr>
              <w:jc w:val="left"/>
              <w:rPr>
                <w:rFonts w:hint="default" w:ascii="Times New Roman" w:hAnsi="Times New Roman" w:cs="Times New Roman"/>
                <w:highlight w:val="none"/>
              </w:rPr>
            </w:pPr>
            <w:r>
              <w:rPr>
                <w:rFonts w:hint="default" w:ascii="Times New Roman" w:hAnsi="Times New Roman" w:cs="Times New Roman"/>
                <w:highlight w:val="none"/>
              </w:rPr>
              <w:t>其他</w:t>
            </w:r>
          </w:p>
        </w:tc>
        <w:tc>
          <w:tcPr>
            <w:tcW w:w="1000" w:type="dxa"/>
            <w:shd w:val="clear" w:color="auto" w:fill="FFFFFF"/>
            <w:vAlign w:val="center"/>
          </w:tcPr>
          <w:p w14:paraId="7462FE3F">
            <w:pPr>
              <w:jc w:val="center"/>
              <w:rPr>
                <w:rFonts w:hint="default" w:ascii="Times New Roman" w:hAnsi="Times New Roman" w:cs="Times New Roman"/>
                <w:highlight w:val="none"/>
              </w:rPr>
            </w:pPr>
            <w:r>
              <w:rPr>
                <w:rFonts w:hint="default" w:ascii="Times New Roman" w:hAnsi="Times New Roman" w:cs="Times New Roman"/>
                <w:highlight w:val="none"/>
              </w:rPr>
              <w:t>3</w:t>
            </w:r>
          </w:p>
        </w:tc>
        <w:tc>
          <w:tcPr>
            <w:tcW w:w="3106" w:type="dxa"/>
            <w:shd w:val="clear" w:color="auto" w:fill="FFFFFF"/>
            <w:vAlign w:val="center"/>
          </w:tcPr>
          <w:p w14:paraId="368D8501">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76200" cy="114300"/>
                  <wp:effectExtent l="0" t="0" r="0" b="762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9"/>
                          <a:stretch>
                            <a:fillRect/>
                          </a:stretch>
                        </pic:blipFill>
                        <pic:spPr>
                          <a:xfrm>
                            <a:off x="0" y="0"/>
                            <a:ext cx="76211"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276350" cy="114300"/>
                  <wp:effectExtent l="0" t="0" r="3810" b="7620"/>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30"/>
                          <a:stretch>
                            <a:fillRect/>
                          </a:stretch>
                        </pic:blipFill>
                        <pic:spPr>
                          <a:xfrm>
                            <a:off x="0" y="0"/>
                            <a:ext cx="1276528" cy="114316"/>
                          </a:xfrm>
                          <a:prstGeom prst="rect">
                            <a:avLst/>
                          </a:prstGeom>
                        </pic:spPr>
                      </pic:pic>
                    </a:graphicData>
                  </a:graphic>
                </wp:inline>
              </w:drawing>
            </w:r>
            <w:r>
              <w:rPr>
                <w:rFonts w:hint="default" w:ascii="Times New Roman" w:hAnsi="Times New Roman" w:cs="Times New Roman"/>
                <w:highlight w:val="none"/>
              </w:rPr>
              <w:t>6%</w:t>
            </w:r>
          </w:p>
        </w:tc>
      </w:tr>
      <w:tr w14:paraId="186C3C2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51A005D8">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2A866A6A">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162ADE1A">
            <w:pPr>
              <w:jc w:val="left"/>
              <w:rPr>
                <w:rFonts w:hint="default" w:ascii="Times New Roman" w:hAnsi="Times New Roman" w:cs="Times New Roman"/>
                <w:highlight w:val="none"/>
              </w:rPr>
            </w:pPr>
          </w:p>
        </w:tc>
      </w:tr>
    </w:tbl>
    <w:p w14:paraId="7FBB38F4">
      <w:pPr>
        <w:rPr>
          <w:rFonts w:hint="default" w:ascii="Times New Roman" w:hAnsi="Times New Roman" w:cs="Times New Roman"/>
          <w:highlight w:val="none"/>
        </w:rPr>
      </w:pPr>
    </w:p>
    <w:p w14:paraId="544B920E">
      <w:pPr>
        <w:rPr>
          <w:rFonts w:hint="default" w:ascii="Times New Roman" w:hAnsi="Times New Roman" w:cs="Times New Roman"/>
          <w:highlight w:val="none"/>
        </w:rPr>
      </w:pPr>
    </w:p>
    <w:p w14:paraId="4A970E6E">
      <w:pPr>
        <w:rPr>
          <w:rFonts w:hint="default" w:ascii="Times New Roman" w:hAnsi="Times New Roman" w:cs="Times New Roman"/>
          <w:b w:val="0"/>
          <w:color w:val="000000"/>
          <w:sz w:val="24"/>
          <w:highlight w:val="none"/>
        </w:rPr>
      </w:pPr>
    </w:p>
    <w:p w14:paraId="3686FE41">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第11题   您对本次应急能力提升项目的整体效果评分（1-5分，5分为最优）:      </w:t>
      </w:r>
      <w:r>
        <w:rPr>
          <w:rFonts w:hint="default" w:ascii="Times New Roman" w:hAnsi="Times New Roman" w:cs="Times New Roman"/>
          <w:b w:val="0"/>
          <w:color w:val="0066FF"/>
          <w:sz w:val="24"/>
          <w:highlight w:val="none"/>
        </w:rPr>
        <w:t>[单选题]</w:t>
      </w:r>
    </w:p>
    <w:p w14:paraId="6CBA7B4A">
      <w:pPr>
        <w:rPr>
          <w:rFonts w:hint="default" w:ascii="Times New Roman" w:hAnsi="Times New Roman" w:cs="Times New Roman"/>
          <w:highlight w:val="none"/>
        </w:rPr>
      </w:pPr>
    </w:p>
    <w:tbl>
      <w:tblPr>
        <w:tblStyle w:val="14"/>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495"/>
        <w:gridCol w:w="1070"/>
        <w:gridCol w:w="3325"/>
      </w:tblGrid>
      <w:tr w14:paraId="78A82E5F">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2FF2DD6C">
            <w:pPr>
              <w:jc w:val="left"/>
              <w:rPr>
                <w:rFonts w:hint="default" w:ascii="Times New Roman" w:hAnsi="Times New Roman" w:cs="Times New Roman"/>
                <w:highlight w:val="none"/>
              </w:rPr>
            </w:pPr>
            <w:r>
              <w:rPr>
                <w:rFonts w:hint="default" w:ascii="Times New Roman" w:hAnsi="Times New Roman" w:cs="Times New Roman"/>
                <w:highlight w:val="none"/>
              </w:rPr>
              <w:t>选项</w:t>
            </w:r>
          </w:p>
        </w:tc>
        <w:tc>
          <w:tcPr>
            <w:tcW w:w="1000" w:type="dxa"/>
            <w:shd w:val="clear" w:color="auto" w:fill="F5F5F5"/>
            <w:vAlign w:val="center"/>
          </w:tcPr>
          <w:p w14:paraId="71E5B22E">
            <w:pPr>
              <w:jc w:val="center"/>
              <w:rPr>
                <w:rFonts w:hint="default" w:ascii="Times New Roman" w:hAnsi="Times New Roman" w:cs="Times New Roman"/>
                <w:highlight w:val="none"/>
              </w:rPr>
            </w:pPr>
            <w:r>
              <w:rPr>
                <w:rFonts w:hint="default" w:ascii="Times New Roman" w:hAnsi="Times New Roman" w:cs="Times New Roman"/>
                <w:highlight w:val="none"/>
              </w:rPr>
              <w:t>小计</w:t>
            </w:r>
          </w:p>
        </w:tc>
        <w:tc>
          <w:tcPr>
            <w:tcW w:w="3106" w:type="dxa"/>
            <w:shd w:val="clear" w:color="auto" w:fill="F5F5F5"/>
            <w:vAlign w:val="center"/>
          </w:tcPr>
          <w:p w14:paraId="2B4BAC82">
            <w:pPr>
              <w:jc w:val="left"/>
              <w:rPr>
                <w:rFonts w:hint="default" w:ascii="Times New Roman" w:hAnsi="Times New Roman" w:cs="Times New Roman"/>
                <w:highlight w:val="none"/>
              </w:rPr>
            </w:pPr>
            <w:r>
              <w:rPr>
                <w:rFonts w:hint="default" w:ascii="Times New Roman" w:hAnsi="Times New Roman" w:cs="Times New Roman"/>
                <w:highlight w:val="none"/>
              </w:rPr>
              <w:t>比例</w:t>
            </w:r>
          </w:p>
        </w:tc>
      </w:tr>
      <w:tr w14:paraId="05F273B2">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548BF6B0">
            <w:pPr>
              <w:jc w:val="left"/>
              <w:rPr>
                <w:rFonts w:hint="default" w:ascii="Times New Roman" w:hAnsi="Times New Roman" w:cs="Times New Roman"/>
                <w:highlight w:val="none"/>
              </w:rPr>
            </w:pPr>
            <w:r>
              <w:rPr>
                <w:rFonts w:hint="default" w:ascii="Times New Roman" w:hAnsi="Times New Roman" w:cs="Times New Roman"/>
                <w:highlight w:val="none"/>
              </w:rPr>
              <w:t>1（不满意）</w:t>
            </w:r>
          </w:p>
        </w:tc>
        <w:tc>
          <w:tcPr>
            <w:tcW w:w="1000" w:type="dxa"/>
            <w:shd w:val="clear" w:color="auto" w:fill="FFFFFF"/>
            <w:vAlign w:val="center"/>
          </w:tcPr>
          <w:p w14:paraId="270EF46B">
            <w:pPr>
              <w:jc w:val="center"/>
              <w:rPr>
                <w:rFonts w:hint="default" w:ascii="Times New Roman" w:hAnsi="Times New Roman" w:cs="Times New Roman"/>
                <w:highlight w:val="none"/>
              </w:rPr>
            </w:pPr>
            <w:r>
              <w:rPr>
                <w:rFonts w:hint="default" w:ascii="Times New Roman" w:hAnsi="Times New Roman" w:cs="Times New Roman"/>
                <w:highlight w:val="none"/>
              </w:rPr>
              <w:t>1</w:t>
            </w:r>
          </w:p>
        </w:tc>
        <w:tc>
          <w:tcPr>
            <w:tcW w:w="3106" w:type="dxa"/>
            <w:shd w:val="clear" w:color="auto" w:fill="FFFFFF"/>
            <w:vAlign w:val="center"/>
          </w:tcPr>
          <w:p w14:paraId="279DF42C">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9050" cy="114300"/>
                  <wp:effectExtent l="0" t="0" r="11430" b="762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45"/>
                          <a:stretch>
                            <a:fillRect/>
                          </a:stretch>
                        </pic:blipFill>
                        <pic:spPr>
                          <a:xfrm>
                            <a:off x="0" y="0"/>
                            <a:ext cx="19053"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333500" cy="114300"/>
                  <wp:effectExtent l="0" t="0" r="7620" b="7620"/>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46"/>
                          <a:stretch>
                            <a:fillRect/>
                          </a:stretch>
                        </pic:blipFill>
                        <pic:spPr>
                          <a:xfrm>
                            <a:off x="0" y="0"/>
                            <a:ext cx="1333686" cy="114316"/>
                          </a:xfrm>
                          <a:prstGeom prst="rect">
                            <a:avLst/>
                          </a:prstGeom>
                        </pic:spPr>
                      </pic:pic>
                    </a:graphicData>
                  </a:graphic>
                </wp:inline>
              </w:drawing>
            </w:r>
            <w:r>
              <w:rPr>
                <w:rFonts w:hint="default" w:ascii="Times New Roman" w:hAnsi="Times New Roman" w:cs="Times New Roman"/>
                <w:highlight w:val="none"/>
              </w:rPr>
              <w:t>2%</w:t>
            </w:r>
          </w:p>
        </w:tc>
      </w:tr>
      <w:tr w14:paraId="009C09F9">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7983B3A9">
            <w:pPr>
              <w:jc w:val="left"/>
              <w:rPr>
                <w:rFonts w:hint="default" w:ascii="Times New Roman" w:hAnsi="Times New Roman" w:cs="Times New Roman"/>
                <w:highlight w:val="none"/>
              </w:rPr>
            </w:pPr>
            <w:r>
              <w:rPr>
                <w:rFonts w:hint="default" w:ascii="Times New Roman" w:hAnsi="Times New Roman" w:cs="Times New Roman"/>
                <w:highlight w:val="none"/>
              </w:rPr>
              <w:t>2（较不满意）</w:t>
            </w:r>
          </w:p>
        </w:tc>
        <w:tc>
          <w:tcPr>
            <w:tcW w:w="1000" w:type="dxa"/>
            <w:shd w:val="clear" w:color="auto" w:fill="FAFAFA"/>
            <w:vAlign w:val="center"/>
          </w:tcPr>
          <w:p w14:paraId="003994C7">
            <w:pPr>
              <w:jc w:val="center"/>
              <w:rPr>
                <w:rFonts w:hint="default" w:ascii="Times New Roman" w:hAnsi="Times New Roman" w:cs="Times New Roman"/>
                <w:highlight w:val="none"/>
              </w:rPr>
            </w:pPr>
            <w:r>
              <w:rPr>
                <w:rFonts w:hint="default" w:ascii="Times New Roman" w:hAnsi="Times New Roman" w:cs="Times New Roman"/>
                <w:highlight w:val="none"/>
              </w:rPr>
              <w:t>0</w:t>
            </w:r>
          </w:p>
        </w:tc>
        <w:tc>
          <w:tcPr>
            <w:tcW w:w="3106" w:type="dxa"/>
            <w:shd w:val="clear" w:color="auto" w:fill="FAFAFA"/>
            <w:vAlign w:val="center"/>
          </w:tcPr>
          <w:p w14:paraId="6B6995CB">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352550" cy="114300"/>
                  <wp:effectExtent l="0" t="0" r="3810" b="762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4"/>
                          <a:stretch>
                            <a:fillRect/>
                          </a:stretch>
                        </pic:blipFill>
                        <pic:spPr>
                          <a:xfrm>
                            <a:off x="0" y="0"/>
                            <a:ext cx="1352739" cy="114316"/>
                          </a:xfrm>
                          <a:prstGeom prst="rect">
                            <a:avLst/>
                          </a:prstGeom>
                        </pic:spPr>
                      </pic:pic>
                    </a:graphicData>
                  </a:graphic>
                </wp:inline>
              </w:drawing>
            </w:r>
            <w:r>
              <w:rPr>
                <w:rFonts w:hint="default" w:ascii="Times New Roman" w:hAnsi="Times New Roman" w:cs="Times New Roman"/>
                <w:highlight w:val="none"/>
              </w:rPr>
              <w:t>0%</w:t>
            </w:r>
          </w:p>
        </w:tc>
      </w:tr>
      <w:tr w14:paraId="4C7204D5">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4E71C749">
            <w:pPr>
              <w:jc w:val="left"/>
              <w:rPr>
                <w:rFonts w:hint="default" w:ascii="Times New Roman" w:hAnsi="Times New Roman" w:cs="Times New Roman"/>
                <w:highlight w:val="none"/>
              </w:rPr>
            </w:pPr>
            <w:r>
              <w:rPr>
                <w:rFonts w:hint="default" w:ascii="Times New Roman" w:hAnsi="Times New Roman" w:cs="Times New Roman"/>
                <w:highlight w:val="none"/>
              </w:rPr>
              <w:t>3（中立）</w:t>
            </w:r>
          </w:p>
        </w:tc>
        <w:tc>
          <w:tcPr>
            <w:tcW w:w="1000" w:type="dxa"/>
            <w:shd w:val="clear" w:color="auto" w:fill="FFFFFF"/>
            <w:vAlign w:val="center"/>
          </w:tcPr>
          <w:p w14:paraId="77739CDF">
            <w:pPr>
              <w:jc w:val="center"/>
              <w:rPr>
                <w:rFonts w:hint="default" w:ascii="Times New Roman" w:hAnsi="Times New Roman" w:cs="Times New Roman"/>
                <w:highlight w:val="none"/>
              </w:rPr>
            </w:pPr>
            <w:r>
              <w:rPr>
                <w:rFonts w:hint="default" w:ascii="Times New Roman" w:hAnsi="Times New Roman" w:cs="Times New Roman"/>
                <w:highlight w:val="none"/>
              </w:rPr>
              <w:t>1</w:t>
            </w:r>
          </w:p>
        </w:tc>
        <w:tc>
          <w:tcPr>
            <w:tcW w:w="3106" w:type="dxa"/>
            <w:shd w:val="clear" w:color="auto" w:fill="FFFFFF"/>
            <w:vAlign w:val="center"/>
          </w:tcPr>
          <w:p w14:paraId="4968B314">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19050" cy="114300"/>
                  <wp:effectExtent l="0" t="0" r="11430" b="7620"/>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 name="图片 100068"/>
                          <pic:cNvPicPr>
                            <a:picLocks noChangeAspect="1"/>
                          </pic:cNvPicPr>
                        </pic:nvPicPr>
                        <pic:blipFill>
                          <a:blip r:embed="rId45"/>
                          <a:stretch>
                            <a:fillRect/>
                          </a:stretch>
                        </pic:blipFill>
                        <pic:spPr>
                          <a:xfrm>
                            <a:off x="0" y="0"/>
                            <a:ext cx="19053"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333500" cy="114300"/>
                  <wp:effectExtent l="0" t="0" r="7620" b="762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46"/>
                          <a:stretch>
                            <a:fillRect/>
                          </a:stretch>
                        </pic:blipFill>
                        <pic:spPr>
                          <a:xfrm>
                            <a:off x="0" y="0"/>
                            <a:ext cx="1333686" cy="114316"/>
                          </a:xfrm>
                          <a:prstGeom prst="rect">
                            <a:avLst/>
                          </a:prstGeom>
                        </pic:spPr>
                      </pic:pic>
                    </a:graphicData>
                  </a:graphic>
                </wp:inline>
              </w:drawing>
            </w:r>
            <w:r>
              <w:rPr>
                <w:rFonts w:hint="default" w:ascii="Times New Roman" w:hAnsi="Times New Roman" w:cs="Times New Roman"/>
                <w:highlight w:val="none"/>
              </w:rPr>
              <w:t>2%</w:t>
            </w:r>
          </w:p>
        </w:tc>
      </w:tr>
      <w:tr w14:paraId="38AAD6B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AFAFA"/>
            <w:vAlign w:val="center"/>
          </w:tcPr>
          <w:p w14:paraId="4C4DB90F">
            <w:pPr>
              <w:jc w:val="left"/>
              <w:rPr>
                <w:rFonts w:hint="default" w:ascii="Times New Roman" w:hAnsi="Times New Roman" w:cs="Times New Roman"/>
                <w:highlight w:val="none"/>
              </w:rPr>
            </w:pPr>
            <w:r>
              <w:rPr>
                <w:rFonts w:hint="default" w:ascii="Times New Roman" w:hAnsi="Times New Roman" w:cs="Times New Roman"/>
                <w:highlight w:val="none"/>
              </w:rPr>
              <w:t>4（比较满意）</w:t>
            </w:r>
          </w:p>
        </w:tc>
        <w:tc>
          <w:tcPr>
            <w:tcW w:w="1000" w:type="dxa"/>
            <w:shd w:val="clear" w:color="auto" w:fill="FAFAFA"/>
            <w:vAlign w:val="center"/>
          </w:tcPr>
          <w:p w14:paraId="582DC167">
            <w:pPr>
              <w:jc w:val="center"/>
              <w:rPr>
                <w:rFonts w:hint="default" w:ascii="Times New Roman" w:hAnsi="Times New Roman" w:cs="Times New Roman"/>
                <w:highlight w:val="none"/>
              </w:rPr>
            </w:pPr>
            <w:r>
              <w:rPr>
                <w:rFonts w:hint="default" w:ascii="Times New Roman" w:hAnsi="Times New Roman" w:cs="Times New Roman"/>
                <w:highlight w:val="none"/>
              </w:rPr>
              <w:t>12</w:t>
            </w:r>
          </w:p>
        </w:tc>
        <w:tc>
          <w:tcPr>
            <w:tcW w:w="3106" w:type="dxa"/>
            <w:shd w:val="clear" w:color="auto" w:fill="FAFAFA"/>
            <w:vAlign w:val="center"/>
          </w:tcPr>
          <w:p w14:paraId="301349C1">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323850" cy="114300"/>
                  <wp:effectExtent l="0" t="0" r="11430" b="7620"/>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47"/>
                          <a:stretch>
                            <a:fillRect/>
                          </a:stretch>
                        </pic:blipFill>
                        <pic:spPr>
                          <a:xfrm>
                            <a:off x="0" y="0"/>
                            <a:ext cx="323895"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1028700" cy="114300"/>
                  <wp:effectExtent l="0" t="0" r="7620" b="762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48"/>
                          <a:stretch>
                            <a:fillRect/>
                          </a:stretch>
                        </pic:blipFill>
                        <pic:spPr>
                          <a:xfrm>
                            <a:off x="0" y="0"/>
                            <a:ext cx="1028844" cy="114316"/>
                          </a:xfrm>
                          <a:prstGeom prst="rect">
                            <a:avLst/>
                          </a:prstGeom>
                        </pic:spPr>
                      </pic:pic>
                    </a:graphicData>
                  </a:graphic>
                </wp:inline>
              </w:drawing>
            </w:r>
            <w:r>
              <w:rPr>
                <w:rFonts w:hint="default" w:ascii="Times New Roman" w:hAnsi="Times New Roman" w:cs="Times New Roman"/>
                <w:highlight w:val="none"/>
              </w:rPr>
              <w:t>24%</w:t>
            </w:r>
          </w:p>
        </w:tc>
      </w:tr>
      <w:tr w14:paraId="0E2C1AB3">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FFFFF"/>
            <w:vAlign w:val="center"/>
          </w:tcPr>
          <w:p w14:paraId="07BD4C29">
            <w:pPr>
              <w:jc w:val="left"/>
              <w:rPr>
                <w:rFonts w:hint="default" w:ascii="Times New Roman" w:hAnsi="Times New Roman" w:cs="Times New Roman"/>
                <w:highlight w:val="none"/>
              </w:rPr>
            </w:pPr>
            <w:r>
              <w:rPr>
                <w:rFonts w:hint="default" w:ascii="Times New Roman" w:hAnsi="Times New Roman" w:cs="Times New Roman"/>
                <w:highlight w:val="none"/>
              </w:rPr>
              <w:t>5（非常满意）</w:t>
            </w:r>
          </w:p>
        </w:tc>
        <w:tc>
          <w:tcPr>
            <w:tcW w:w="1000" w:type="dxa"/>
            <w:shd w:val="clear" w:color="auto" w:fill="FFFFFF"/>
            <w:vAlign w:val="center"/>
          </w:tcPr>
          <w:p w14:paraId="46B134FA">
            <w:pPr>
              <w:jc w:val="center"/>
              <w:rPr>
                <w:rFonts w:hint="default" w:ascii="Times New Roman" w:hAnsi="Times New Roman" w:cs="Times New Roman"/>
                <w:highlight w:val="none"/>
              </w:rPr>
            </w:pPr>
            <w:r>
              <w:rPr>
                <w:rFonts w:hint="default" w:ascii="Times New Roman" w:hAnsi="Times New Roman" w:cs="Times New Roman"/>
                <w:highlight w:val="none"/>
              </w:rPr>
              <w:t>36</w:t>
            </w:r>
          </w:p>
        </w:tc>
        <w:tc>
          <w:tcPr>
            <w:tcW w:w="3106" w:type="dxa"/>
            <w:shd w:val="clear" w:color="auto" w:fill="FFFFFF"/>
            <w:vAlign w:val="center"/>
          </w:tcPr>
          <w:p w14:paraId="469AEF62">
            <w:pPr>
              <w:jc w:val="left"/>
              <w:rPr>
                <w:rFonts w:hint="default" w:ascii="Times New Roman" w:hAnsi="Times New Roman" w:cs="Times New Roman"/>
                <w:highlight w:val="none"/>
              </w:rPr>
            </w:pPr>
            <w:r>
              <w:rPr>
                <w:rFonts w:hint="default" w:ascii="Times New Roman" w:hAnsi="Times New Roman" w:cs="Times New Roman"/>
                <w:highlight w:val="none"/>
              </w:rPr>
              <w:drawing>
                <wp:inline distT="0" distB="0" distL="114300" distR="114300">
                  <wp:extent cx="971550" cy="114300"/>
                  <wp:effectExtent l="0" t="0" r="3810" b="7620"/>
                  <wp:docPr id="100072" name="图片 10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 name="图片 100072"/>
                          <pic:cNvPicPr>
                            <a:picLocks noChangeAspect="1"/>
                          </pic:cNvPicPr>
                        </pic:nvPicPr>
                        <pic:blipFill>
                          <a:blip r:embed="rId49"/>
                          <a:stretch>
                            <a:fillRect/>
                          </a:stretch>
                        </pic:blipFill>
                        <pic:spPr>
                          <a:xfrm>
                            <a:off x="0" y="0"/>
                            <a:ext cx="971686" cy="114316"/>
                          </a:xfrm>
                          <a:prstGeom prst="rect">
                            <a:avLst/>
                          </a:prstGeom>
                        </pic:spPr>
                      </pic:pic>
                    </a:graphicData>
                  </a:graphic>
                </wp:inline>
              </w:drawing>
            </w:r>
            <w:r>
              <w:rPr>
                <w:rFonts w:hint="default" w:ascii="Times New Roman" w:hAnsi="Times New Roman" w:cs="Times New Roman"/>
                <w:highlight w:val="none"/>
              </w:rPr>
              <w:drawing>
                <wp:inline distT="0" distB="0" distL="114300" distR="114300">
                  <wp:extent cx="381000" cy="114300"/>
                  <wp:effectExtent l="0" t="0" r="0" b="762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50"/>
                          <a:stretch>
                            <a:fillRect/>
                          </a:stretch>
                        </pic:blipFill>
                        <pic:spPr>
                          <a:xfrm>
                            <a:off x="0" y="0"/>
                            <a:ext cx="381053" cy="114316"/>
                          </a:xfrm>
                          <a:prstGeom prst="rect">
                            <a:avLst/>
                          </a:prstGeom>
                        </pic:spPr>
                      </pic:pic>
                    </a:graphicData>
                  </a:graphic>
                </wp:inline>
              </w:drawing>
            </w:r>
            <w:r>
              <w:rPr>
                <w:rFonts w:hint="default" w:ascii="Times New Roman" w:hAnsi="Times New Roman" w:cs="Times New Roman"/>
                <w:highlight w:val="none"/>
              </w:rPr>
              <w:t>72%</w:t>
            </w:r>
          </w:p>
        </w:tc>
      </w:tr>
      <w:tr w14:paraId="3A331200">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tcW w:w="4200" w:type="dxa"/>
            <w:shd w:val="clear" w:color="auto" w:fill="F5F5F5"/>
            <w:vAlign w:val="center"/>
          </w:tcPr>
          <w:p w14:paraId="065369B1">
            <w:pPr>
              <w:jc w:val="left"/>
              <w:rPr>
                <w:rFonts w:hint="default" w:ascii="Times New Roman" w:hAnsi="Times New Roman" w:cs="Times New Roman"/>
                <w:highlight w:val="none"/>
              </w:rPr>
            </w:pPr>
            <w:r>
              <w:rPr>
                <w:rFonts w:hint="default" w:ascii="Times New Roman" w:hAnsi="Times New Roman" w:cs="Times New Roman"/>
                <w:highlight w:val="none"/>
              </w:rPr>
              <w:t>本题有效填写人次</w:t>
            </w:r>
          </w:p>
        </w:tc>
        <w:tc>
          <w:tcPr>
            <w:tcW w:w="1000" w:type="dxa"/>
            <w:shd w:val="clear" w:color="auto" w:fill="F5F5F5"/>
            <w:vAlign w:val="center"/>
          </w:tcPr>
          <w:p w14:paraId="696013D5">
            <w:pPr>
              <w:jc w:val="center"/>
              <w:rPr>
                <w:rFonts w:hint="default" w:ascii="Times New Roman" w:hAnsi="Times New Roman" w:cs="Times New Roman"/>
                <w:highlight w:val="none"/>
              </w:rPr>
            </w:pPr>
            <w:r>
              <w:rPr>
                <w:rFonts w:hint="default" w:ascii="Times New Roman" w:hAnsi="Times New Roman" w:cs="Times New Roman"/>
                <w:highlight w:val="none"/>
              </w:rPr>
              <w:t>50</w:t>
            </w:r>
          </w:p>
        </w:tc>
        <w:tc>
          <w:tcPr>
            <w:tcW w:w="3106" w:type="dxa"/>
            <w:shd w:val="clear" w:color="auto" w:fill="F5F5F5"/>
            <w:vAlign w:val="center"/>
          </w:tcPr>
          <w:p w14:paraId="217E48E5">
            <w:pPr>
              <w:jc w:val="left"/>
              <w:rPr>
                <w:rFonts w:hint="default" w:ascii="Times New Roman" w:hAnsi="Times New Roman" w:cs="Times New Roman"/>
                <w:highlight w:val="none"/>
              </w:rPr>
            </w:pPr>
          </w:p>
        </w:tc>
      </w:tr>
    </w:tbl>
    <w:p w14:paraId="59F39CEA">
      <w:pPr>
        <w:rPr>
          <w:rFonts w:hint="default" w:ascii="Times New Roman" w:hAnsi="Times New Roman" w:cs="Times New Roman"/>
          <w:highlight w:val="none"/>
        </w:rPr>
      </w:pPr>
    </w:p>
    <w:p w14:paraId="6441ED7B">
      <w:pPr>
        <w:rPr>
          <w:rFonts w:hint="default" w:ascii="Times New Roman" w:hAnsi="Times New Roman" w:cs="Times New Roman"/>
          <w:highlight w:val="none"/>
        </w:rPr>
      </w:pPr>
    </w:p>
    <w:p w14:paraId="2F593E85">
      <w:pPr>
        <w:rPr>
          <w:rFonts w:hint="default" w:ascii="Times New Roman" w:hAnsi="Times New Roman" w:cs="Times New Roman"/>
          <w:b w:val="0"/>
          <w:color w:val="0066FF"/>
          <w:sz w:val="24"/>
          <w:highlight w:val="none"/>
        </w:rPr>
      </w:pPr>
      <w:r>
        <w:rPr>
          <w:rFonts w:hint="default" w:ascii="Times New Roman" w:hAnsi="Times New Roman" w:cs="Times New Roman"/>
          <w:b w:val="0"/>
          <w:color w:val="000000"/>
          <w:sz w:val="24"/>
          <w:highlight w:val="none"/>
        </w:rPr>
        <w:t xml:space="preserve">第12题   您对项目后续建设的建议:      </w:t>
      </w:r>
      <w:r>
        <w:rPr>
          <w:rFonts w:hint="default" w:ascii="Times New Roman" w:hAnsi="Times New Roman" w:cs="Times New Roman"/>
          <w:b w:val="0"/>
          <w:color w:val="0066FF"/>
          <w:sz w:val="24"/>
          <w:highlight w:val="none"/>
        </w:rPr>
        <w:t>[填空题]</w:t>
      </w:r>
    </w:p>
    <w:p w14:paraId="7C881B57">
      <w:pPr>
        <w:jc w:val="both"/>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u w:val="single"/>
          <w:lang w:val="en-US" w:eastAsia="zh-CN"/>
        </w:rPr>
        <w:t xml:space="preserve">                                               </w:t>
      </w:r>
    </w:p>
    <w:p w14:paraId="114AB80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仿宋_GB2312" w:cs="Times New Roman"/>
          <w:sz w:val="28"/>
          <w:szCs w:val="28"/>
          <w:highlight w:val="none"/>
          <w:lang w:val="en-US" w:eastAsia="zh-CN"/>
        </w:rPr>
      </w:pPr>
      <w:r>
        <w:rPr>
          <w:rFonts w:hint="default" w:ascii="Times New Roman" w:hAnsi="Times New Roman" w:eastAsia="仿宋_GB2312" w:cs="Times New Roman"/>
          <w:sz w:val="28"/>
          <w:szCs w:val="28"/>
          <w:highlight w:val="none"/>
          <w:lang w:val="en-US" w:eastAsia="zh-CN"/>
        </w:rPr>
        <w:t>问卷结束</w:t>
      </w:r>
      <w:r>
        <w:rPr>
          <w:rFonts w:hint="default" w:ascii="Times New Roman" w:hAnsi="Times New Roman" w:eastAsia="仿宋_GB2312" w:cs="Times New Roman"/>
          <w:sz w:val="28"/>
          <w:szCs w:val="28"/>
          <w:highlight w:val="none"/>
          <w:lang w:val="en-US" w:eastAsia="zh-CN"/>
        </w:rPr>
        <w:br w:type="textWrapping"/>
      </w:r>
      <w:r>
        <w:rPr>
          <w:rFonts w:hint="default" w:ascii="Times New Roman" w:hAnsi="Times New Roman" w:eastAsia="仿宋_GB2312" w:cs="Times New Roman"/>
          <w:sz w:val="28"/>
          <w:szCs w:val="28"/>
          <w:highlight w:val="none"/>
          <w:lang w:val="en-US" w:eastAsia="zh-CN"/>
        </w:rPr>
        <w:t>感谢您的参与！您的宝贵意见将帮助我们更好地完善应急服务体系。</w:t>
      </w:r>
    </w:p>
    <w:p w14:paraId="20F61F56">
      <w:pPr>
        <w:widowControl w:val="0"/>
        <w:numPr>
          <w:ilvl w:val="0"/>
          <w:numId w:val="0"/>
        </w:numPr>
        <w:jc w:val="both"/>
        <w:rPr>
          <w:rFonts w:hint="default" w:ascii="Times New Roman" w:hAnsi="Times New Roman" w:cs="Times New Roman"/>
          <w:color w:val="0066FF"/>
          <w:sz w:val="21"/>
          <w:szCs w:val="21"/>
          <w:highlight w:val="none"/>
          <w:lang w:val="en-US" w:eastAsia="zh-CN"/>
        </w:rPr>
      </w:pPr>
    </w:p>
    <w:p w14:paraId="2D780C94">
      <w:pPr>
        <w:widowControl w:val="0"/>
        <w:numPr>
          <w:ilvl w:val="0"/>
          <w:numId w:val="0"/>
        </w:numPr>
        <w:jc w:val="both"/>
        <w:rPr>
          <w:rFonts w:hint="default" w:ascii="Times New Roman" w:hAnsi="Times New Roman" w:cs="Times New Roman"/>
          <w:color w:val="0066FF"/>
          <w:sz w:val="21"/>
          <w:szCs w:val="21"/>
          <w:highlight w:val="none"/>
          <w:lang w:val="en-US" w:eastAsia="zh-CN"/>
        </w:rPr>
      </w:pPr>
    </w:p>
    <w:p w14:paraId="66B44BAE">
      <w:pPr>
        <w:widowControl w:val="0"/>
        <w:numPr>
          <w:ilvl w:val="0"/>
          <w:numId w:val="0"/>
        </w:numPr>
        <w:jc w:val="both"/>
        <w:rPr>
          <w:rFonts w:hint="default" w:ascii="Times New Roman" w:hAnsi="Times New Roman" w:cs="Times New Roman"/>
          <w:color w:val="0066FF"/>
          <w:sz w:val="21"/>
          <w:szCs w:val="21"/>
          <w:highlight w:val="none"/>
          <w:lang w:val="en-US" w:eastAsia="zh-CN"/>
        </w:rPr>
      </w:pPr>
    </w:p>
    <w:p w14:paraId="6676D637">
      <w:pPr>
        <w:pStyle w:val="7"/>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default" w:ascii="Times New Roman" w:hAnsi="Times New Roman" w:cs="Times New Roman"/>
          <w:sz w:val="30"/>
          <w:szCs w:val="30"/>
          <w:highlight w:val="none"/>
          <w:lang w:val="en-US" w:eastAsia="zh-CN"/>
        </w:rPr>
      </w:pPr>
    </w:p>
    <w:sectPr>
      <w:headerReference r:id="rId6" w:type="default"/>
      <w:footerReference r:id="rId7" w:type="default"/>
      <w:pgSz w:w="11906" w:h="16838"/>
      <w:pgMar w:top="1417" w:right="1531" w:bottom="1531" w:left="1701" w:header="851" w:footer="992" w:gutter="0"/>
      <w:pgBorders>
        <w:top w:val="none" w:sz="0" w:space="0"/>
        <w:left w:val="none" w:sz="0" w:space="0"/>
        <w:bottom w:val="none" w:sz="0" w:space="0"/>
        <w:right w:val="none" w:sz="0" w:space="0"/>
      </w:pgBorders>
      <w:pgNumType w:fmt="decimal"/>
      <w:cols w:space="0" w:num="1"/>
      <w:rtlGutter w:val="0"/>
      <w:docGrid w:type="line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93A6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A606E">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C22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CDCC1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CDCC1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CBD5C">
    <w:pPr>
      <w:widowControl w:val="0"/>
      <w:ind w:firstLine="0"/>
      <w:jc w:val="both"/>
      <w:rPr>
        <w:rStyle w:val="18"/>
        <w:rFonts w:hint="eastAsia" w:ascii="Times New Roman" w:hAnsi="Times New Roman" w:eastAsia="仿宋_GB2312" w:cs="Times New Roman"/>
        <w:kern w:val="2"/>
        <w:sz w:val="21"/>
        <w:szCs w:val="32"/>
        <w:u w:val="thick"/>
        <w:lang w:val="en-US" w:eastAsia="zh-CN" w:bidi="ar-SA"/>
      </w:rPr>
    </w:pPr>
    <w:r>
      <w:rPr>
        <w:rStyle w:val="18"/>
        <w:rFonts w:hint="eastAsia" w:ascii="Times New Roman" w:hAnsi="Times New Roman" w:eastAsia="仿宋_GB2312" w:cs="Times New Roman"/>
        <w:kern w:val="2"/>
        <w:sz w:val="21"/>
        <w:szCs w:val="32"/>
        <w:u w:val="thick"/>
        <w:lang w:val="en-US" w:eastAsia="zh-CN" w:bidi="ar-SA"/>
      </w:rPr>
      <w:t xml:space="preserve">石狮市2024年自然灾害应急能力提升工程财政支出绩效评价报告                                       </w:t>
    </w:r>
  </w:p>
  <w:p w14:paraId="62595EE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AF9D8">
    <w:pPr>
      <w:widowControl w:val="0"/>
      <w:ind w:firstLine="0"/>
      <w:jc w:val="both"/>
      <w:rPr>
        <w:rStyle w:val="18"/>
        <w:rFonts w:hint="eastAsia" w:ascii="Times New Roman" w:hAnsi="Times New Roman" w:eastAsia="仿宋_GB2312" w:cs="Times New Roman"/>
        <w:kern w:val="2"/>
        <w:sz w:val="21"/>
        <w:szCs w:val="32"/>
        <w:u w:val="thick"/>
        <w:lang w:val="en-US" w:eastAsia="zh-CN" w:bidi="ar-SA"/>
      </w:rPr>
    </w:pPr>
    <w:r>
      <w:rPr>
        <w:rStyle w:val="18"/>
        <w:rFonts w:hint="eastAsia" w:ascii="Times New Roman" w:hAnsi="Times New Roman" w:eastAsia="仿宋_GB2312" w:cs="Times New Roman"/>
        <w:kern w:val="2"/>
        <w:sz w:val="21"/>
        <w:szCs w:val="32"/>
        <w:u w:val="thick"/>
        <w:lang w:val="en-US" w:eastAsia="zh-CN" w:bidi="ar-SA"/>
      </w:rPr>
      <w:t xml:space="preserve">石狮市2024年自然灾害应急能力提升工程财政支出绩效评价报告                                       </w:t>
    </w:r>
  </w:p>
  <w:p w14:paraId="67D1F88C">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BDC57"/>
    <w:multiLevelType w:val="singleLevel"/>
    <w:tmpl w:val="992BDC57"/>
    <w:lvl w:ilvl="0" w:tentative="0">
      <w:start w:val="4"/>
      <w:numFmt w:val="chineseCounting"/>
      <w:suff w:val="nothing"/>
      <w:lvlText w:val="（%1）"/>
      <w:lvlJc w:val="left"/>
      <w:rPr>
        <w:rFonts w:hint="eastAsia"/>
      </w:rPr>
    </w:lvl>
  </w:abstractNum>
  <w:abstractNum w:abstractNumId="1">
    <w:nsid w:val="D4FE5297"/>
    <w:multiLevelType w:val="singleLevel"/>
    <w:tmpl w:val="D4FE5297"/>
    <w:lvl w:ilvl="0" w:tentative="0">
      <w:start w:val="3"/>
      <w:numFmt w:val="chineseCounting"/>
      <w:suff w:val="nothing"/>
      <w:lvlText w:val="（%1）"/>
      <w:lvlJc w:val="left"/>
      <w:rPr>
        <w:rFonts w:hint="eastAsia"/>
      </w:rPr>
    </w:lvl>
  </w:abstractNum>
  <w:abstractNum w:abstractNumId="2">
    <w:nsid w:val="E30BE587"/>
    <w:multiLevelType w:val="singleLevel"/>
    <w:tmpl w:val="E30BE587"/>
    <w:lvl w:ilvl="0" w:tentative="0">
      <w:start w:val="1"/>
      <w:numFmt w:val="bullet"/>
      <w:pStyle w:val="6"/>
      <w:lvlText w:val=""/>
      <w:lvlJc w:val="left"/>
      <w:pPr>
        <w:tabs>
          <w:tab w:val="left" w:pos="2040"/>
        </w:tabs>
        <w:ind w:left="2040" w:hanging="360"/>
      </w:pPr>
      <w:rPr>
        <w:rFonts w:hint="default" w:ascii="Wingdings" w:hAnsi="Wingdings"/>
      </w:rPr>
    </w:lvl>
  </w:abstractNum>
  <w:abstractNum w:abstractNumId="3">
    <w:nsid w:val="E9668D37"/>
    <w:multiLevelType w:val="singleLevel"/>
    <w:tmpl w:val="E9668D37"/>
    <w:lvl w:ilvl="0" w:tentative="0">
      <w:start w:val="2"/>
      <w:numFmt w:val="chineseCounting"/>
      <w:suff w:val="nothing"/>
      <w:lvlText w:val="%1、"/>
      <w:lvlJc w:val="left"/>
      <w:rPr>
        <w:rFonts w:hint="eastAsia"/>
      </w:rPr>
    </w:lvl>
  </w:abstractNum>
  <w:abstractNum w:abstractNumId="4">
    <w:nsid w:val="EF045E51"/>
    <w:multiLevelType w:val="singleLevel"/>
    <w:tmpl w:val="EF045E51"/>
    <w:lvl w:ilvl="0" w:tentative="0">
      <w:start w:val="1"/>
      <w:numFmt w:val="decimal"/>
      <w:suff w:val="nothing"/>
      <w:lvlText w:val="（%1）"/>
      <w:lvlJc w:val="left"/>
    </w:lvl>
  </w:abstractNum>
  <w:abstractNum w:abstractNumId="5">
    <w:nsid w:val="7024F8E3"/>
    <w:multiLevelType w:val="singleLevel"/>
    <w:tmpl w:val="7024F8E3"/>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21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276F"/>
    <w:rsid w:val="004E7ED8"/>
    <w:rsid w:val="00592A0F"/>
    <w:rsid w:val="006347B5"/>
    <w:rsid w:val="007172FD"/>
    <w:rsid w:val="00BC5E3A"/>
    <w:rsid w:val="00C94C5A"/>
    <w:rsid w:val="00E872DE"/>
    <w:rsid w:val="00EF5BA2"/>
    <w:rsid w:val="010831EA"/>
    <w:rsid w:val="012769A9"/>
    <w:rsid w:val="01311D17"/>
    <w:rsid w:val="014057FD"/>
    <w:rsid w:val="014672E9"/>
    <w:rsid w:val="016F664B"/>
    <w:rsid w:val="0179119E"/>
    <w:rsid w:val="01BB3CD7"/>
    <w:rsid w:val="01DE5E85"/>
    <w:rsid w:val="0205420E"/>
    <w:rsid w:val="026E47B0"/>
    <w:rsid w:val="02957FB5"/>
    <w:rsid w:val="02FE77A7"/>
    <w:rsid w:val="0343039A"/>
    <w:rsid w:val="03ED5076"/>
    <w:rsid w:val="042D3FC7"/>
    <w:rsid w:val="04406715"/>
    <w:rsid w:val="04685A42"/>
    <w:rsid w:val="04A45C0C"/>
    <w:rsid w:val="04BA2805"/>
    <w:rsid w:val="04C660B1"/>
    <w:rsid w:val="04C75A5A"/>
    <w:rsid w:val="04CD6259"/>
    <w:rsid w:val="04DD27C9"/>
    <w:rsid w:val="04DD4BD1"/>
    <w:rsid w:val="04E85ACE"/>
    <w:rsid w:val="04EB348D"/>
    <w:rsid w:val="05075A65"/>
    <w:rsid w:val="051E125A"/>
    <w:rsid w:val="05733E15"/>
    <w:rsid w:val="057A03B5"/>
    <w:rsid w:val="05822FA5"/>
    <w:rsid w:val="05AC49D6"/>
    <w:rsid w:val="05CF6041"/>
    <w:rsid w:val="05D07C63"/>
    <w:rsid w:val="05D3027A"/>
    <w:rsid w:val="05D94B1D"/>
    <w:rsid w:val="05EB6869"/>
    <w:rsid w:val="0611012A"/>
    <w:rsid w:val="062E3CC9"/>
    <w:rsid w:val="06400C4E"/>
    <w:rsid w:val="06776232"/>
    <w:rsid w:val="069169F2"/>
    <w:rsid w:val="06BA3104"/>
    <w:rsid w:val="073E0BE0"/>
    <w:rsid w:val="073F33CF"/>
    <w:rsid w:val="074E6421"/>
    <w:rsid w:val="07513F6A"/>
    <w:rsid w:val="07577FFE"/>
    <w:rsid w:val="077C2986"/>
    <w:rsid w:val="07A51586"/>
    <w:rsid w:val="07CE7CCF"/>
    <w:rsid w:val="08400A92"/>
    <w:rsid w:val="084538A0"/>
    <w:rsid w:val="089B7E57"/>
    <w:rsid w:val="089F5FAF"/>
    <w:rsid w:val="08D67C0A"/>
    <w:rsid w:val="08F10228"/>
    <w:rsid w:val="08FC4B23"/>
    <w:rsid w:val="094253E9"/>
    <w:rsid w:val="096A48FD"/>
    <w:rsid w:val="09AF7F0C"/>
    <w:rsid w:val="09C63F0F"/>
    <w:rsid w:val="09D9119E"/>
    <w:rsid w:val="09D939B0"/>
    <w:rsid w:val="09DC6BBA"/>
    <w:rsid w:val="0A447AFA"/>
    <w:rsid w:val="0A457048"/>
    <w:rsid w:val="0A7C6BA4"/>
    <w:rsid w:val="0A8A1CC3"/>
    <w:rsid w:val="0AC8676E"/>
    <w:rsid w:val="0AEE2528"/>
    <w:rsid w:val="0AF34C02"/>
    <w:rsid w:val="0B077210"/>
    <w:rsid w:val="0B167D3A"/>
    <w:rsid w:val="0B57408C"/>
    <w:rsid w:val="0B574A70"/>
    <w:rsid w:val="0B723658"/>
    <w:rsid w:val="0B7E68E7"/>
    <w:rsid w:val="0BDF762F"/>
    <w:rsid w:val="0C0A3B6B"/>
    <w:rsid w:val="0C2F32F7"/>
    <w:rsid w:val="0C412B10"/>
    <w:rsid w:val="0C8671BB"/>
    <w:rsid w:val="0CDA2C21"/>
    <w:rsid w:val="0CE8610E"/>
    <w:rsid w:val="0D1830A8"/>
    <w:rsid w:val="0D3669A7"/>
    <w:rsid w:val="0D483752"/>
    <w:rsid w:val="0D4953CA"/>
    <w:rsid w:val="0D5851C1"/>
    <w:rsid w:val="0D8A69D7"/>
    <w:rsid w:val="0E1D3A0A"/>
    <w:rsid w:val="0E721018"/>
    <w:rsid w:val="0E9F67C8"/>
    <w:rsid w:val="0EA524FE"/>
    <w:rsid w:val="0ECF1A9C"/>
    <w:rsid w:val="0EF02D02"/>
    <w:rsid w:val="0F364B5D"/>
    <w:rsid w:val="0F415D32"/>
    <w:rsid w:val="0F4B242C"/>
    <w:rsid w:val="0F5372FC"/>
    <w:rsid w:val="0F6C3837"/>
    <w:rsid w:val="0F792489"/>
    <w:rsid w:val="0F7D3E18"/>
    <w:rsid w:val="0F7D70D6"/>
    <w:rsid w:val="0FBA5004"/>
    <w:rsid w:val="0FD75009"/>
    <w:rsid w:val="0FDB7C5C"/>
    <w:rsid w:val="0FFD5391"/>
    <w:rsid w:val="10142F30"/>
    <w:rsid w:val="10262EF4"/>
    <w:rsid w:val="10406467"/>
    <w:rsid w:val="104F21BA"/>
    <w:rsid w:val="10511FBA"/>
    <w:rsid w:val="106532FE"/>
    <w:rsid w:val="10CE6264"/>
    <w:rsid w:val="10DD5A17"/>
    <w:rsid w:val="11173E3B"/>
    <w:rsid w:val="113D3857"/>
    <w:rsid w:val="11581B35"/>
    <w:rsid w:val="11766E32"/>
    <w:rsid w:val="11933B23"/>
    <w:rsid w:val="11AC26DD"/>
    <w:rsid w:val="11D323E9"/>
    <w:rsid w:val="121C0897"/>
    <w:rsid w:val="121F66DC"/>
    <w:rsid w:val="123F05B3"/>
    <w:rsid w:val="124B1422"/>
    <w:rsid w:val="12706133"/>
    <w:rsid w:val="12A44895"/>
    <w:rsid w:val="12B66E2D"/>
    <w:rsid w:val="12E345CB"/>
    <w:rsid w:val="130E2DFF"/>
    <w:rsid w:val="13576102"/>
    <w:rsid w:val="137039BA"/>
    <w:rsid w:val="138274DC"/>
    <w:rsid w:val="139D148E"/>
    <w:rsid w:val="13B927D1"/>
    <w:rsid w:val="13D41E43"/>
    <w:rsid w:val="1421148C"/>
    <w:rsid w:val="142B4166"/>
    <w:rsid w:val="14320C94"/>
    <w:rsid w:val="146307BF"/>
    <w:rsid w:val="14743A0F"/>
    <w:rsid w:val="14CB5B87"/>
    <w:rsid w:val="152369F7"/>
    <w:rsid w:val="15995C23"/>
    <w:rsid w:val="15B60760"/>
    <w:rsid w:val="16173DC9"/>
    <w:rsid w:val="16236511"/>
    <w:rsid w:val="162C4BF0"/>
    <w:rsid w:val="16576CCB"/>
    <w:rsid w:val="169774E3"/>
    <w:rsid w:val="16BC0093"/>
    <w:rsid w:val="16BC1C2B"/>
    <w:rsid w:val="16E201DA"/>
    <w:rsid w:val="171B3EA1"/>
    <w:rsid w:val="1759391E"/>
    <w:rsid w:val="175D340E"/>
    <w:rsid w:val="179719DC"/>
    <w:rsid w:val="17A97232"/>
    <w:rsid w:val="17BD46DE"/>
    <w:rsid w:val="17E45C9F"/>
    <w:rsid w:val="17E7685A"/>
    <w:rsid w:val="17EE7125"/>
    <w:rsid w:val="182140FC"/>
    <w:rsid w:val="182151CB"/>
    <w:rsid w:val="182325E6"/>
    <w:rsid w:val="18297794"/>
    <w:rsid w:val="183D60C5"/>
    <w:rsid w:val="18452AD7"/>
    <w:rsid w:val="18742EFC"/>
    <w:rsid w:val="189C0C20"/>
    <w:rsid w:val="18D6703E"/>
    <w:rsid w:val="18D70F9E"/>
    <w:rsid w:val="18E63AB3"/>
    <w:rsid w:val="18EF21B8"/>
    <w:rsid w:val="191631D4"/>
    <w:rsid w:val="194018F4"/>
    <w:rsid w:val="19B724AA"/>
    <w:rsid w:val="1A396889"/>
    <w:rsid w:val="1A3B0A74"/>
    <w:rsid w:val="1A501008"/>
    <w:rsid w:val="1A522FEA"/>
    <w:rsid w:val="1A7A42D7"/>
    <w:rsid w:val="1A7F0E95"/>
    <w:rsid w:val="1AB551FD"/>
    <w:rsid w:val="1ABE6A0A"/>
    <w:rsid w:val="1AC6177B"/>
    <w:rsid w:val="1AF234ED"/>
    <w:rsid w:val="1B690270"/>
    <w:rsid w:val="1B6F67A3"/>
    <w:rsid w:val="1B9A62B3"/>
    <w:rsid w:val="1C300673"/>
    <w:rsid w:val="1C962F1E"/>
    <w:rsid w:val="1CA17494"/>
    <w:rsid w:val="1CD847FB"/>
    <w:rsid w:val="1CF2284B"/>
    <w:rsid w:val="1D0D18C8"/>
    <w:rsid w:val="1D0F5F3B"/>
    <w:rsid w:val="1D1A20B4"/>
    <w:rsid w:val="1D282714"/>
    <w:rsid w:val="1D3E6A30"/>
    <w:rsid w:val="1D5A5F6B"/>
    <w:rsid w:val="1D646B79"/>
    <w:rsid w:val="1D840FC9"/>
    <w:rsid w:val="1DC06B9F"/>
    <w:rsid w:val="1DC75E54"/>
    <w:rsid w:val="1E103B1C"/>
    <w:rsid w:val="1E324D74"/>
    <w:rsid w:val="1E37428D"/>
    <w:rsid w:val="1E3E300F"/>
    <w:rsid w:val="1E466001"/>
    <w:rsid w:val="1EA1491D"/>
    <w:rsid w:val="1EB105C3"/>
    <w:rsid w:val="1EB26FC0"/>
    <w:rsid w:val="1F0F067F"/>
    <w:rsid w:val="1F297236"/>
    <w:rsid w:val="1F551B65"/>
    <w:rsid w:val="1F5B03BF"/>
    <w:rsid w:val="1F6F6411"/>
    <w:rsid w:val="1FA603CB"/>
    <w:rsid w:val="1FC11684"/>
    <w:rsid w:val="1FC87926"/>
    <w:rsid w:val="1FDA6A81"/>
    <w:rsid w:val="1FDE042E"/>
    <w:rsid w:val="1FF42436"/>
    <w:rsid w:val="20597E0A"/>
    <w:rsid w:val="20694975"/>
    <w:rsid w:val="207A3C84"/>
    <w:rsid w:val="20A30DC9"/>
    <w:rsid w:val="20BB555C"/>
    <w:rsid w:val="20CD4C3D"/>
    <w:rsid w:val="2122468B"/>
    <w:rsid w:val="21893DAF"/>
    <w:rsid w:val="220B20C2"/>
    <w:rsid w:val="22212941"/>
    <w:rsid w:val="2248439A"/>
    <w:rsid w:val="22653C80"/>
    <w:rsid w:val="22A939AB"/>
    <w:rsid w:val="22AC524A"/>
    <w:rsid w:val="22F1544A"/>
    <w:rsid w:val="22F85C06"/>
    <w:rsid w:val="232358AF"/>
    <w:rsid w:val="23D26F32"/>
    <w:rsid w:val="23E0576C"/>
    <w:rsid w:val="24286A5E"/>
    <w:rsid w:val="24456C71"/>
    <w:rsid w:val="247904E6"/>
    <w:rsid w:val="24D80578"/>
    <w:rsid w:val="24E0480A"/>
    <w:rsid w:val="250A2706"/>
    <w:rsid w:val="25355AB7"/>
    <w:rsid w:val="25470759"/>
    <w:rsid w:val="257A495C"/>
    <w:rsid w:val="25803D2C"/>
    <w:rsid w:val="25B33D85"/>
    <w:rsid w:val="25BB2706"/>
    <w:rsid w:val="25C2242E"/>
    <w:rsid w:val="25C96113"/>
    <w:rsid w:val="25CA2549"/>
    <w:rsid w:val="2621587F"/>
    <w:rsid w:val="26482875"/>
    <w:rsid w:val="266D56B5"/>
    <w:rsid w:val="267E15BC"/>
    <w:rsid w:val="26C2177C"/>
    <w:rsid w:val="26D62895"/>
    <w:rsid w:val="27251886"/>
    <w:rsid w:val="274D2F2A"/>
    <w:rsid w:val="27502CBF"/>
    <w:rsid w:val="27522065"/>
    <w:rsid w:val="275A2EB6"/>
    <w:rsid w:val="277C693A"/>
    <w:rsid w:val="277F4129"/>
    <w:rsid w:val="27910EB2"/>
    <w:rsid w:val="27DF5F6B"/>
    <w:rsid w:val="27E72481"/>
    <w:rsid w:val="281C216D"/>
    <w:rsid w:val="28431B58"/>
    <w:rsid w:val="288B5901"/>
    <w:rsid w:val="288C3319"/>
    <w:rsid w:val="289128DE"/>
    <w:rsid w:val="28FA08C6"/>
    <w:rsid w:val="29785227"/>
    <w:rsid w:val="29797E39"/>
    <w:rsid w:val="29CF7FC5"/>
    <w:rsid w:val="29DC6231"/>
    <w:rsid w:val="2A0D0444"/>
    <w:rsid w:val="2A7C7CFB"/>
    <w:rsid w:val="2A872FFB"/>
    <w:rsid w:val="2ADC64F6"/>
    <w:rsid w:val="2B82123D"/>
    <w:rsid w:val="2B844FB6"/>
    <w:rsid w:val="2BD60345"/>
    <w:rsid w:val="2BDD6474"/>
    <w:rsid w:val="2C0E2815"/>
    <w:rsid w:val="2C1D0F66"/>
    <w:rsid w:val="2C80693B"/>
    <w:rsid w:val="2C952E46"/>
    <w:rsid w:val="2C972E39"/>
    <w:rsid w:val="2CC53569"/>
    <w:rsid w:val="2CD814FF"/>
    <w:rsid w:val="2D545FC9"/>
    <w:rsid w:val="2D610D4C"/>
    <w:rsid w:val="2D6606CE"/>
    <w:rsid w:val="2D9C54A6"/>
    <w:rsid w:val="2DBC298A"/>
    <w:rsid w:val="2DDD0755"/>
    <w:rsid w:val="2DE62BAE"/>
    <w:rsid w:val="2E2C13E8"/>
    <w:rsid w:val="2E4945C5"/>
    <w:rsid w:val="2E922AA4"/>
    <w:rsid w:val="2E9810E1"/>
    <w:rsid w:val="2E9D013C"/>
    <w:rsid w:val="2EC91025"/>
    <w:rsid w:val="2ED022C0"/>
    <w:rsid w:val="2F0E794D"/>
    <w:rsid w:val="2F1E1154"/>
    <w:rsid w:val="2F442D2F"/>
    <w:rsid w:val="2F4A2072"/>
    <w:rsid w:val="2F4B786F"/>
    <w:rsid w:val="2F5A11CD"/>
    <w:rsid w:val="2F644887"/>
    <w:rsid w:val="2F6526E8"/>
    <w:rsid w:val="2F700B67"/>
    <w:rsid w:val="2F7215C9"/>
    <w:rsid w:val="2F7A0DCC"/>
    <w:rsid w:val="2F7B2778"/>
    <w:rsid w:val="2F830242"/>
    <w:rsid w:val="2FA96A37"/>
    <w:rsid w:val="30075207"/>
    <w:rsid w:val="30087837"/>
    <w:rsid w:val="302B350C"/>
    <w:rsid w:val="303F5ED6"/>
    <w:rsid w:val="307A466F"/>
    <w:rsid w:val="307E7C38"/>
    <w:rsid w:val="30C42472"/>
    <w:rsid w:val="30D8303F"/>
    <w:rsid w:val="30DB5F78"/>
    <w:rsid w:val="30E05083"/>
    <w:rsid w:val="310E62F0"/>
    <w:rsid w:val="31232B7B"/>
    <w:rsid w:val="312A6C67"/>
    <w:rsid w:val="315242AB"/>
    <w:rsid w:val="31525108"/>
    <w:rsid w:val="31994BEB"/>
    <w:rsid w:val="31BD6509"/>
    <w:rsid w:val="32026C34"/>
    <w:rsid w:val="321305E4"/>
    <w:rsid w:val="326B7A56"/>
    <w:rsid w:val="32EA60C1"/>
    <w:rsid w:val="32EC3440"/>
    <w:rsid w:val="33386686"/>
    <w:rsid w:val="335A3568"/>
    <w:rsid w:val="3363711E"/>
    <w:rsid w:val="3364165D"/>
    <w:rsid w:val="33904D46"/>
    <w:rsid w:val="33A249B8"/>
    <w:rsid w:val="33A8380B"/>
    <w:rsid w:val="33D2591C"/>
    <w:rsid w:val="33D55DEC"/>
    <w:rsid w:val="33DC0516"/>
    <w:rsid w:val="33E97361"/>
    <w:rsid w:val="34034EE6"/>
    <w:rsid w:val="342B47ED"/>
    <w:rsid w:val="342C074E"/>
    <w:rsid w:val="345F2165"/>
    <w:rsid w:val="346C440C"/>
    <w:rsid w:val="349F3024"/>
    <w:rsid w:val="34BB28E6"/>
    <w:rsid w:val="34ED017D"/>
    <w:rsid w:val="34ED4B96"/>
    <w:rsid w:val="353E039F"/>
    <w:rsid w:val="35654980"/>
    <w:rsid w:val="35757B2E"/>
    <w:rsid w:val="3594661F"/>
    <w:rsid w:val="35B96150"/>
    <w:rsid w:val="36101EC6"/>
    <w:rsid w:val="361C6B93"/>
    <w:rsid w:val="361E6007"/>
    <w:rsid w:val="364775F2"/>
    <w:rsid w:val="36542AEA"/>
    <w:rsid w:val="36A0632C"/>
    <w:rsid w:val="36BC77CF"/>
    <w:rsid w:val="36D87907"/>
    <w:rsid w:val="37297561"/>
    <w:rsid w:val="373A3E20"/>
    <w:rsid w:val="37607F59"/>
    <w:rsid w:val="377C4680"/>
    <w:rsid w:val="37B50093"/>
    <w:rsid w:val="37CE53B8"/>
    <w:rsid w:val="38045282"/>
    <w:rsid w:val="381367FF"/>
    <w:rsid w:val="38223E1B"/>
    <w:rsid w:val="385D0FE0"/>
    <w:rsid w:val="38812183"/>
    <w:rsid w:val="389B7863"/>
    <w:rsid w:val="38A327F3"/>
    <w:rsid w:val="38AB3AC2"/>
    <w:rsid w:val="38C0588B"/>
    <w:rsid w:val="38CA550C"/>
    <w:rsid w:val="38D33E49"/>
    <w:rsid w:val="38E71C77"/>
    <w:rsid w:val="392859A6"/>
    <w:rsid w:val="39316051"/>
    <w:rsid w:val="393D6181"/>
    <w:rsid w:val="395146E4"/>
    <w:rsid w:val="39535FC7"/>
    <w:rsid w:val="3994792C"/>
    <w:rsid w:val="3A190C42"/>
    <w:rsid w:val="3A1A5B9A"/>
    <w:rsid w:val="3A2D6818"/>
    <w:rsid w:val="3A410860"/>
    <w:rsid w:val="3A481E82"/>
    <w:rsid w:val="3A545E38"/>
    <w:rsid w:val="3A8A19A2"/>
    <w:rsid w:val="3AB46091"/>
    <w:rsid w:val="3AF9494C"/>
    <w:rsid w:val="3B207A16"/>
    <w:rsid w:val="3B4676F9"/>
    <w:rsid w:val="3B4C2CCE"/>
    <w:rsid w:val="3B591190"/>
    <w:rsid w:val="3B7E3FEF"/>
    <w:rsid w:val="3B9331D3"/>
    <w:rsid w:val="3BF55114"/>
    <w:rsid w:val="3C0E1737"/>
    <w:rsid w:val="3C192A1D"/>
    <w:rsid w:val="3C243823"/>
    <w:rsid w:val="3C2E7CD9"/>
    <w:rsid w:val="3C4B39AD"/>
    <w:rsid w:val="3C5E715D"/>
    <w:rsid w:val="3C782FA9"/>
    <w:rsid w:val="3C7E15AD"/>
    <w:rsid w:val="3C861986"/>
    <w:rsid w:val="3CA81F52"/>
    <w:rsid w:val="3CAA4196"/>
    <w:rsid w:val="3CF47C7C"/>
    <w:rsid w:val="3CFE26EE"/>
    <w:rsid w:val="3D1261F8"/>
    <w:rsid w:val="3D1C301F"/>
    <w:rsid w:val="3D3D2135"/>
    <w:rsid w:val="3D5F4CE0"/>
    <w:rsid w:val="3D766180"/>
    <w:rsid w:val="3D91026C"/>
    <w:rsid w:val="3D974BA2"/>
    <w:rsid w:val="3D992E06"/>
    <w:rsid w:val="3D9A279A"/>
    <w:rsid w:val="3DA23932"/>
    <w:rsid w:val="3DC654FE"/>
    <w:rsid w:val="3DE713D4"/>
    <w:rsid w:val="3DFF1990"/>
    <w:rsid w:val="3E30444D"/>
    <w:rsid w:val="3E5B04C9"/>
    <w:rsid w:val="3E685DD1"/>
    <w:rsid w:val="3E832EAB"/>
    <w:rsid w:val="3E9078C4"/>
    <w:rsid w:val="3E9C5D1B"/>
    <w:rsid w:val="3EB57C42"/>
    <w:rsid w:val="3EC11C25"/>
    <w:rsid w:val="3ED5122D"/>
    <w:rsid w:val="3EDD0C49"/>
    <w:rsid w:val="3EE2018A"/>
    <w:rsid w:val="3F2D2E17"/>
    <w:rsid w:val="3F2E4B3F"/>
    <w:rsid w:val="3F3C07A5"/>
    <w:rsid w:val="3F4F5483"/>
    <w:rsid w:val="3F53483B"/>
    <w:rsid w:val="3F9F1F66"/>
    <w:rsid w:val="3FC02C41"/>
    <w:rsid w:val="3FD37F5A"/>
    <w:rsid w:val="3FD52A71"/>
    <w:rsid w:val="4061546E"/>
    <w:rsid w:val="40790A3C"/>
    <w:rsid w:val="409A272E"/>
    <w:rsid w:val="41160006"/>
    <w:rsid w:val="41240FFA"/>
    <w:rsid w:val="41372B4F"/>
    <w:rsid w:val="41A51ED4"/>
    <w:rsid w:val="41B96849"/>
    <w:rsid w:val="41BB0996"/>
    <w:rsid w:val="41C645C6"/>
    <w:rsid w:val="421D53C4"/>
    <w:rsid w:val="42334BE8"/>
    <w:rsid w:val="4241384D"/>
    <w:rsid w:val="42605154"/>
    <w:rsid w:val="432D5ADB"/>
    <w:rsid w:val="434F79F4"/>
    <w:rsid w:val="43533451"/>
    <w:rsid w:val="43732856"/>
    <w:rsid w:val="43D917BF"/>
    <w:rsid w:val="441074AC"/>
    <w:rsid w:val="44163547"/>
    <w:rsid w:val="44361C78"/>
    <w:rsid w:val="444E4620"/>
    <w:rsid w:val="44B43847"/>
    <w:rsid w:val="44C40F4E"/>
    <w:rsid w:val="44DF1057"/>
    <w:rsid w:val="44FF0DB1"/>
    <w:rsid w:val="4537102D"/>
    <w:rsid w:val="454E3D3C"/>
    <w:rsid w:val="455D33B3"/>
    <w:rsid w:val="455D457F"/>
    <w:rsid w:val="456C0625"/>
    <w:rsid w:val="45B1654F"/>
    <w:rsid w:val="45D40490"/>
    <w:rsid w:val="45E80174"/>
    <w:rsid w:val="45EA6720"/>
    <w:rsid w:val="46201D82"/>
    <w:rsid w:val="46C77896"/>
    <w:rsid w:val="46CF1974"/>
    <w:rsid w:val="46EC35A2"/>
    <w:rsid w:val="471501D2"/>
    <w:rsid w:val="471D5476"/>
    <w:rsid w:val="47245DA7"/>
    <w:rsid w:val="4724658B"/>
    <w:rsid w:val="47625FEA"/>
    <w:rsid w:val="47796EAA"/>
    <w:rsid w:val="47813B4D"/>
    <w:rsid w:val="47826E25"/>
    <w:rsid w:val="47B11285"/>
    <w:rsid w:val="47B90D34"/>
    <w:rsid w:val="47C76018"/>
    <w:rsid w:val="480E7B12"/>
    <w:rsid w:val="481F316A"/>
    <w:rsid w:val="48376AB4"/>
    <w:rsid w:val="4850733B"/>
    <w:rsid w:val="486744E5"/>
    <w:rsid w:val="486C38FA"/>
    <w:rsid w:val="4886074E"/>
    <w:rsid w:val="48D873A1"/>
    <w:rsid w:val="48E60314"/>
    <w:rsid w:val="497E0FB0"/>
    <w:rsid w:val="498D77CD"/>
    <w:rsid w:val="49A57DFF"/>
    <w:rsid w:val="49AC5F3E"/>
    <w:rsid w:val="49AE616E"/>
    <w:rsid w:val="49CC7F9C"/>
    <w:rsid w:val="49CF169A"/>
    <w:rsid w:val="49E61F67"/>
    <w:rsid w:val="4A10350E"/>
    <w:rsid w:val="4A142756"/>
    <w:rsid w:val="4A190246"/>
    <w:rsid w:val="4A343A55"/>
    <w:rsid w:val="4A4170C0"/>
    <w:rsid w:val="4AD30D16"/>
    <w:rsid w:val="4AF8077D"/>
    <w:rsid w:val="4B18264A"/>
    <w:rsid w:val="4B830BBB"/>
    <w:rsid w:val="4B95421D"/>
    <w:rsid w:val="4BC4776A"/>
    <w:rsid w:val="4BC61617"/>
    <w:rsid w:val="4BDF193C"/>
    <w:rsid w:val="4BE827DB"/>
    <w:rsid w:val="4BF266DD"/>
    <w:rsid w:val="4C193C46"/>
    <w:rsid w:val="4C1A3292"/>
    <w:rsid w:val="4CDA7712"/>
    <w:rsid w:val="4CDB4816"/>
    <w:rsid w:val="4CE31F57"/>
    <w:rsid w:val="4D1D3709"/>
    <w:rsid w:val="4DBA5CD1"/>
    <w:rsid w:val="4DEA1F97"/>
    <w:rsid w:val="4E1267F7"/>
    <w:rsid w:val="4E6016D6"/>
    <w:rsid w:val="4E902369"/>
    <w:rsid w:val="4E9F6C3E"/>
    <w:rsid w:val="4EB34552"/>
    <w:rsid w:val="4ECB46E2"/>
    <w:rsid w:val="4EDD341E"/>
    <w:rsid w:val="4EE458D9"/>
    <w:rsid w:val="4EEA689E"/>
    <w:rsid w:val="4F076942"/>
    <w:rsid w:val="4F2F3C32"/>
    <w:rsid w:val="4F461418"/>
    <w:rsid w:val="4FAC4F91"/>
    <w:rsid w:val="4FAE58AE"/>
    <w:rsid w:val="4FE65037"/>
    <w:rsid w:val="4FF03836"/>
    <w:rsid w:val="502D12AA"/>
    <w:rsid w:val="50305D99"/>
    <w:rsid w:val="50621445"/>
    <w:rsid w:val="50707007"/>
    <w:rsid w:val="5074692F"/>
    <w:rsid w:val="50A716BC"/>
    <w:rsid w:val="51013387"/>
    <w:rsid w:val="510F7578"/>
    <w:rsid w:val="51203A98"/>
    <w:rsid w:val="5123470B"/>
    <w:rsid w:val="5142756E"/>
    <w:rsid w:val="5154503B"/>
    <w:rsid w:val="516218E6"/>
    <w:rsid w:val="51BB367D"/>
    <w:rsid w:val="51BC469E"/>
    <w:rsid w:val="51CC3C49"/>
    <w:rsid w:val="51CE49F2"/>
    <w:rsid w:val="51DD5443"/>
    <w:rsid w:val="51E93949"/>
    <w:rsid w:val="523A15F9"/>
    <w:rsid w:val="527B5817"/>
    <w:rsid w:val="52872BA3"/>
    <w:rsid w:val="52CA29FF"/>
    <w:rsid w:val="52D47880"/>
    <w:rsid w:val="536A7722"/>
    <w:rsid w:val="539410D1"/>
    <w:rsid w:val="53B74837"/>
    <w:rsid w:val="542E1C6B"/>
    <w:rsid w:val="543C08F8"/>
    <w:rsid w:val="544B6679"/>
    <w:rsid w:val="544D3AEE"/>
    <w:rsid w:val="5457181F"/>
    <w:rsid w:val="545D4E6A"/>
    <w:rsid w:val="5486504B"/>
    <w:rsid w:val="54951DE5"/>
    <w:rsid w:val="549D47AD"/>
    <w:rsid w:val="54B04062"/>
    <w:rsid w:val="54B8083C"/>
    <w:rsid w:val="54EA13E0"/>
    <w:rsid w:val="54FD17E6"/>
    <w:rsid w:val="55095260"/>
    <w:rsid w:val="55202DAA"/>
    <w:rsid w:val="55326F81"/>
    <w:rsid w:val="55385FF6"/>
    <w:rsid w:val="554C1057"/>
    <w:rsid w:val="55674A17"/>
    <w:rsid w:val="558C2FCB"/>
    <w:rsid w:val="558E489F"/>
    <w:rsid w:val="55924494"/>
    <w:rsid w:val="55A021AD"/>
    <w:rsid w:val="55AE6467"/>
    <w:rsid w:val="55ED3650"/>
    <w:rsid w:val="55FE243C"/>
    <w:rsid w:val="56073F6A"/>
    <w:rsid w:val="562936CA"/>
    <w:rsid w:val="562E50E1"/>
    <w:rsid w:val="56300B7B"/>
    <w:rsid w:val="56301712"/>
    <w:rsid w:val="56552F27"/>
    <w:rsid w:val="566249E1"/>
    <w:rsid w:val="56A05D99"/>
    <w:rsid w:val="56C80DDE"/>
    <w:rsid w:val="56EA1451"/>
    <w:rsid w:val="56F46A10"/>
    <w:rsid w:val="56FA587C"/>
    <w:rsid w:val="577925DB"/>
    <w:rsid w:val="57800A05"/>
    <w:rsid w:val="57B44052"/>
    <w:rsid w:val="57D5294B"/>
    <w:rsid w:val="58286AE4"/>
    <w:rsid w:val="58616AC4"/>
    <w:rsid w:val="59066829"/>
    <w:rsid w:val="593406FE"/>
    <w:rsid w:val="596C2D35"/>
    <w:rsid w:val="597A7267"/>
    <w:rsid w:val="59967ADE"/>
    <w:rsid w:val="599B4332"/>
    <w:rsid w:val="59DA739B"/>
    <w:rsid w:val="59EE16C8"/>
    <w:rsid w:val="59F43CA4"/>
    <w:rsid w:val="5A0C3E88"/>
    <w:rsid w:val="5A6E1D26"/>
    <w:rsid w:val="5A793A4F"/>
    <w:rsid w:val="5B0525A2"/>
    <w:rsid w:val="5B122439"/>
    <w:rsid w:val="5B13258E"/>
    <w:rsid w:val="5B2C7914"/>
    <w:rsid w:val="5B6F4D51"/>
    <w:rsid w:val="5BA264F9"/>
    <w:rsid w:val="5BD05CD7"/>
    <w:rsid w:val="5BF1698B"/>
    <w:rsid w:val="5BFF6E82"/>
    <w:rsid w:val="5C0C052C"/>
    <w:rsid w:val="5C5C3993"/>
    <w:rsid w:val="5C753BF3"/>
    <w:rsid w:val="5C7A5495"/>
    <w:rsid w:val="5C922CA1"/>
    <w:rsid w:val="5CAF5E5A"/>
    <w:rsid w:val="5CBC7198"/>
    <w:rsid w:val="5CC154D0"/>
    <w:rsid w:val="5CDC2451"/>
    <w:rsid w:val="5CFD1CD9"/>
    <w:rsid w:val="5D3D109F"/>
    <w:rsid w:val="5D462BDB"/>
    <w:rsid w:val="5D605E75"/>
    <w:rsid w:val="5D8067FD"/>
    <w:rsid w:val="5DA33D95"/>
    <w:rsid w:val="5DAA05DA"/>
    <w:rsid w:val="5DB85B2B"/>
    <w:rsid w:val="5DCA4305"/>
    <w:rsid w:val="5DDE25BF"/>
    <w:rsid w:val="5DFB43B4"/>
    <w:rsid w:val="5E2345C6"/>
    <w:rsid w:val="5E721D9D"/>
    <w:rsid w:val="5E8E1297"/>
    <w:rsid w:val="5F012A95"/>
    <w:rsid w:val="5F087B93"/>
    <w:rsid w:val="5F28073E"/>
    <w:rsid w:val="5F882222"/>
    <w:rsid w:val="5FC133DB"/>
    <w:rsid w:val="6038320E"/>
    <w:rsid w:val="60443DDE"/>
    <w:rsid w:val="606D0B7B"/>
    <w:rsid w:val="607466A0"/>
    <w:rsid w:val="60775492"/>
    <w:rsid w:val="607B1408"/>
    <w:rsid w:val="607C282A"/>
    <w:rsid w:val="608C39E9"/>
    <w:rsid w:val="614D247B"/>
    <w:rsid w:val="616C3134"/>
    <w:rsid w:val="61930DA7"/>
    <w:rsid w:val="619F093C"/>
    <w:rsid w:val="61DF5E7D"/>
    <w:rsid w:val="61F8291B"/>
    <w:rsid w:val="62956CCF"/>
    <w:rsid w:val="62DC0B72"/>
    <w:rsid w:val="62FB5576"/>
    <w:rsid w:val="62FC7813"/>
    <w:rsid w:val="634A622D"/>
    <w:rsid w:val="637D7716"/>
    <w:rsid w:val="6395618D"/>
    <w:rsid w:val="63C65464"/>
    <w:rsid w:val="64061D04"/>
    <w:rsid w:val="646D4B87"/>
    <w:rsid w:val="646F4036"/>
    <w:rsid w:val="64B4350F"/>
    <w:rsid w:val="64B76A2E"/>
    <w:rsid w:val="64DA3437"/>
    <w:rsid w:val="64E02AEE"/>
    <w:rsid w:val="64F539DA"/>
    <w:rsid w:val="64F9301E"/>
    <w:rsid w:val="65257F68"/>
    <w:rsid w:val="654D5AD3"/>
    <w:rsid w:val="654D7ECE"/>
    <w:rsid w:val="658C04CB"/>
    <w:rsid w:val="65F362B8"/>
    <w:rsid w:val="6604404B"/>
    <w:rsid w:val="666844C0"/>
    <w:rsid w:val="66CC2174"/>
    <w:rsid w:val="66DE79D3"/>
    <w:rsid w:val="67140FEE"/>
    <w:rsid w:val="672E57FA"/>
    <w:rsid w:val="673C55D9"/>
    <w:rsid w:val="67402283"/>
    <w:rsid w:val="674C5391"/>
    <w:rsid w:val="67C3469B"/>
    <w:rsid w:val="67C552AE"/>
    <w:rsid w:val="67CA576C"/>
    <w:rsid w:val="68323F74"/>
    <w:rsid w:val="684B23DC"/>
    <w:rsid w:val="689F16A3"/>
    <w:rsid w:val="68AA5473"/>
    <w:rsid w:val="68ED3B1D"/>
    <w:rsid w:val="694A2693"/>
    <w:rsid w:val="696C3B9C"/>
    <w:rsid w:val="697719BE"/>
    <w:rsid w:val="69E73623"/>
    <w:rsid w:val="69FF4821"/>
    <w:rsid w:val="6A2526C3"/>
    <w:rsid w:val="6A307B61"/>
    <w:rsid w:val="6A6F39BA"/>
    <w:rsid w:val="6A764710"/>
    <w:rsid w:val="6A781107"/>
    <w:rsid w:val="6A7C785B"/>
    <w:rsid w:val="6AC212E7"/>
    <w:rsid w:val="6B081284"/>
    <w:rsid w:val="6B0A5399"/>
    <w:rsid w:val="6B1F7DBD"/>
    <w:rsid w:val="6B4333E3"/>
    <w:rsid w:val="6B6A7A84"/>
    <w:rsid w:val="6BD75905"/>
    <w:rsid w:val="6BF3467A"/>
    <w:rsid w:val="6C1C33B2"/>
    <w:rsid w:val="6C2447A1"/>
    <w:rsid w:val="6C283FF3"/>
    <w:rsid w:val="6C2F0F7A"/>
    <w:rsid w:val="6C344633"/>
    <w:rsid w:val="6C461C51"/>
    <w:rsid w:val="6D5556EE"/>
    <w:rsid w:val="6D6F4D1B"/>
    <w:rsid w:val="6DFA6436"/>
    <w:rsid w:val="6DFF521E"/>
    <w:rsid w:val="6E5B49FB"/>
    <w:rsid w:val="6E7548D7"/>
    <w:rsid w:val="6E8C1AD3"/>
    <w:rsid w:val="6EBD318A"/>
    <w:rsid w:val="6EF57093"/>
    <w:rsid w:val="6EFF7858"/>
    <w:rsid w:val="6F72780A"/>
    <w:rsid w:val="6F840A2A"/>
    <w:rsid w:val="6F8820A1"/>
    <w:rsid w:val="6FE50A20"/>
    <w:rsid w:val="70260C1E"/>
    <w:rsid w:val="7084648B"/>
    <w:rsid w:val="70910BDF"/>
    <w:rsid w:val="70A3499D"/>
    <w:rsid w:val="71085A82"/>
    <w:rsid w:val="711A0B9D"/>
    <w:rsid w:val="715D1BDD"/>
    <w:rsid w:val="71B50421"/>
    <w:rsid w:val="72201ACF"/>
    <w:rsid w:val="725412B2"/>
    <w:rsid w:val="72883058"/>
    <w:rsid w:val="72A02B65"/>
    <w:rsid w:val="72CD158A"/>
    <w:rsid w:val="730B0A0D"/>
    <w:rsid w:val="730B298A"/>
    <w:rsid w:val="7329331A"/>
    <w:rsid w:val="737E72AF"/>
    <w:rsid w:val="738F0067"/>
    <w:rsid w:val="73927111"/>
    <w:rsid w:val="739D05F9"/>
    <w:rsid w:val="73B9644B"/>
    <w:rsid w:val="73CA5617"/>
    <w:rsid w:val="74111D73"/>
    <w:rsid w:val="74125214"/>
    <w:rsid w:val="74532713"/>
    <w:rsid w:val="746D6AFE"/>
    <w:rsid w:val="74721AEE"/>
    <w:rsid w:val="74AF62AD"/>
    <w:rsid w:val="74EF79AF"/>
    <w:rsid w:val="75130C42"/>
    <w:rsid w:val="75150AB7"/>
    <w:rsid w:val="759D5B89"/>
    <w:rsid w:val="75AA7DAF"/>
    <w:rsid w:val="75C17407"/>
    <w:rsid w:val="75C60334"/>
    <w:rsid w:val="76320737"/>
    <w:rsid w:val="763B32AD"/>
    <w:rsid w:val="763F0FD4"/>
    <w:rsid w:val="76486BF8"/>
    <w:rsid w:val="770D696D"/>
    <w:rsid w:val="77715632"/>
    <w:rsid w:val="77763AB8"/>
    <w:rsid w:val="77A96E2C"/>
    <w:rsid w:val="77D23F80"/>
    <w:rsid w:val="77E95FA6"/>
    <w:rsid w:val="77FE452A"/>
    <w:rsid w:val="781F77E3"/>
    <w:rsid w:val="783E795F"/>
    <w:rsid w:val="7899276D"/>
    <w:rsid w:val="78EC1071"/>
    <w:rsid w:val="78F529A5"/>
    <w:rsid w:val="79263191"/>
    <w:rsid w:val="793479B2"/>
    <w:rsid w:val="7958478C"/>
    <w:rsid w:val="796A56C0"/>
    <w:rsid w:val="797F3457"/>
    <w:rsid w:val="79C22CF3"/>
    <w:rsid w:val="79C81C6F"/>
    <w:rsid w:val="79D04466"/>
    <w:rsid w:val="79DF58EF"/>
    <w:rsid w:val="79FD493F"/>
    <w:rsid w:val="7A0C47FC"/>
    <w:rsid w:val="7A330B17"/>
    <w:rsid w:val="7A4139F2"/>
    <w:rsid w:val="7A621180"/>
    <w:rsid w:val="7A6223EB"/>
    <w:rsid w:val="7B291CC5"/>
    <w:rsid w:val="7B374DE6"/>
    <w:rsid w:val="7B3B6AF9"/>
    <w:rsid w:val="7B3D64D4"/>
    <w:rsid w:val="7B4C4049"/>
    <w:rsid w:val="7B77129E"/>
    <w:rsid w:val="7B790132"/>
    <w:rsid w:val="7B8A6BF0"/>
    <w:rsid w:val="7BB816DF"/>
    <w:rsid w:val="7BD21935"/>
    <w:rsid w:val="7BD337FC"/>
    <w:rsid w:val="7BDC0FE5"/>
    <w:rsid w:val="7BDD35AD"/>
    <w:rsid w:val="7BF35FEA"/>
    <w:rsid w:val="7BFE17E7"/>
    <w:rsid w:val="7C102077"/>
    <w:rsid w:val="7C3B3C0C"/>
    <w:rsid w:val="7C424B2B"/>
    <w:rsid w:val="7C4D3D05"/>
    <w:rsid w:val="7C63164A"/>
    <w:rsid w:val="7C857813"/>
    <w:rsid w:val="7D0254BA"/>
    <w:rsid w:val="7D0821F2"/>
    <w:rsid w:val="7D1F5AA0"/>
    <w:rsid w:val="7D67392E"/>
    <w:rsid w:val="7D7F65DC"/>
    <w:rsid w:val="7D992252"/>
    <w:rsid w:val="7DA12AFE"/>
    <w:rsid w:val="7DA86AFB"/>
    <w:rsid w:val="7DBA1B16"/>
    <w:rsid w:val="7DD16FC9"/>
    <w:rsid w:val="7DF90B70"/>
    <w:rsid w:val="7E490F93"/>
    <w:rsid w:val="7E782A86"/>
    <w:rsid w:val="7E8042F0"/>
    <w:rsid w:val="7E9975A5"/>
    <w:rsid w:val="7E9F26E2"/>
    <w:rsid w:val="7EAC0947"/>
    <w:rsid w:val="7EC96B5B"/>
    <w:rsid w:val="7F0666E9"/>
    <w:rsid w:val="7F1B26B0"/>
    <w:rsid w:val="7F1F18DB"/>
    <w:rsid w:val="7F365594"/>
    <w:rsid w:val="7F3E4FF8"/>
    <w:rsid w:val="7F490A4D"/>
    <w:rsid w:val="7F8C4DB3"/>
    <w:rsid w:val="7F9144CB"/>
    <w:rsid w:val="7F945811"/>
    <w:rsid w:val="7F9855BE"/>
    <w:rsid w:val="7FA44D34"/>
    <w:rsid w:val="7FB25F54"/>
    <w:rsid w:val="7FB9535E"/>
    <w:rsid w:val="7FCA19E0"/>
    <w:rsid w:val="7FD14367"/>
    <w:rsid w:val="7FE4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60" w:after="80"/>
      <w:outlineLvl w:val="0"/>
    </w:pPr>
    <w:rPr>
      <w:rFonts w:ascii="Arial" w:hAnsi="Arial" w:eastAsia="仿宋" w:cs="Arial"/>
      <w:b/>
      <w:sz w:val="28"/>
      <w:szCs w:val="40"/>
    </w:rPr>
  </w:style>
  <w:style w:type="paragraph" w:styleId="3">
    <w:name w:val="heading 2"/>
    <w:basedOn w:val="1"/>
    <w:next w:val="1"/>
    <w:link w:val="19"/>
    <w:unhideWhenUsed/>
    <w:qFormat/>
    <w:uiPriority w:val="9"/>
    <w:pPr>
      <w:keepNext/>
      <w:keepLines/>
      <w:spacing w:before="160" w:after="80"/>
      <w:outlineLvl w:val="1"/>
    </w:pPr>
    <w:rPr>
      <w:rFonts w:ascii="Arial" w:hAnsi="Arial" w:eastAsia="仿宋" w:cs="Arial"/>
      <w:b/>
      <w:sz w:val="24"/>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99"/>
    <w:rPr>
      <w:rFonts w:cs="宋体"/>
      <w:szCs w:val="21"/>
    </w:rPr>
  </w:style>
  <w:style w:type="paragraph" w:styleId="6">
    <w:name w:val="List Bullet 5"/>
    <w:basedOn w:val="1"/>
    <w:qFormat/>
    <w:uiPriority w:val="0"/>
    <w:pPr>
      <w:numPr>
        <w:ilvl w:val="0"/>
        <w:numId w:val="1"/>
      </w:numPr>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qFormat/>
    <w:uiPriority w:val="0"/>
    <w:rPr>
      <w:sz w:val="24"/>
    </w:rPr>
  </w:style>
  <w:style w:type="table" w:styleId="15">
    <w:name w:val="Table Grid"/>
    <w:basedOn w:val="1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Emphasis"/>
    <w:basedOn w:val="16"/>
    <w:qFormat/>
    <w:uiPriority w:val="0"/>
    <w:rPr>
      <w:i/>
      <w:iCs/>
    </w:rPr>
  </w:style>
  <w:style w:type="character" w:customStyle="1" w:styleId="19">
    <w:name w:val="标题 2 Char"/>
    <w:basedOn w:val="16"/>
    <w:link w:val="3"/>
    <w:qFormat/>
    <w:uiPriority w:val="9"/>
    <w:rPr>
      <w:rFonts w:ascii="Arial" w:hAnsi="Arial" w:eastAsia="仿宋" w:cs="Arial"/>
      <w:b/>
      <w:sz w:val="24"/>
      <w:szCs w:val="32"/>
    </w:rPr>
  </w:style>
  <w:style w:type="paragraph" w:customStyle="1" w:styleId="20">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3" Type="http://schemas.openxmlformats.org/officeDocument/2006/relationships/fontTable" Target="fontTable.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42.png"/><Relationship Id="rId5" Type="http://schemas.openxmlformats.org/officeDocument/2006/relationships/footer" Target="footer2.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footer" Target="footer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4453</Words>
  <Characters>4609</Characters>
  <Lines>0</Lines>
  <Paragraphs>0</Paragraphs>
  <TotalTime>19</TotalTime>
  <ScaleCrop>false</ScaleCrop>
  <LinksUpToDate>false</LinksUpToDate>
  <CharactersWithSpaces>4826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2022-03-29T07:31:00Z</dcterms:created>
  <dc:creator>ychen</dc:creator>
  <cp:lastModifiedBy>Day丶17</cp:lastModifiedBy>
  <cp:lastPrinted>2025-06-11T08:04:00Z</cp:lastPrinted>
  <dcterms:modified xsi:type="dcterms:W3CDTF">2026-07-20T03:54:34Z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36B910F59B30428687367A1217F94E55</vt:lpwstr>
  </property>
  <property fmtid="{D5CDD505-2E9C-101B-9397-08002B2CF9AE}" pid="4" name="KSOTemplateDocerSaveRecord">
    <vt:lpwstr>eyJoZGlkIjoiZDI1YTc4ZGRlZTE4ZWFlMjI5YmQ4MzczOGY3NmZhOGMiLCJ1c2VySWQiOiI0Njc0NjIyMzcifQ==</vt:lpwstr>
  </property>
</Properties>
</file>