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7CB95E">
      <w:pPr>
        <w:jc w:val="center"/>
      </w:pPr>
    </w:p>
    <w:p w14:paraId="2AE03BD8">
      <w:pPr>
        <w:jc w:val="center"/>
      </w:pPr>
    </w:p>
    <w:p w14:paraId="77648822">
      <w:pPr>
        <w:jc w:val="center"/>
      </w:pPr>
    </w:p>
    <w:p w14:paraId="66C7892B">
      <w:pPr>
        <w:jc w:val="center"/>
        <w:rPr>
          <w:rFonts w:hint="eastAsia" w:ascii="华文行楷" w:hAnsi="华文行楷" w:eastAsia="华文行楷" w:cs="华文行楷"/>
          <w:bCs/>
          <w:sz w:val="192"/>
          <w:szCs w:val="22"/>
        </w:rPr>
      </w:pPr>
      <w:r>
        <w:rPr>
          <w:rFonts w:hint="eastAsia" w:ascii="华文行楷" w:hAnsi="华文行楷" w:eastAsia="华文行楷" w:cs="华文行楷"/>
          <w:bCs/>
          <w:sz w:val="200"/>
        </w:rPr>
        <w:t>报告书</w:t>
      </w:r>
    </w:p>
    <w:p w14:paraId="0FE62A8A">
      <w:pPr>
        <w:ind w:left="840" w:leftChars="400"/>
        <w:jc w:val="left"/>
      </w:pPr>
    </w:p>
    <w:p w14:paraId="0BFAA38A">
      <w:pPr>
        <w:jc w:val="left"/>
      </w:pPr>
    </w:p>
    <w:p w14:paraId="2960897A">
      <w:pPr>
        <w:jc w:val="left"/>
      </w:pPr>
    </w:p>
    <w:p w14:paraId="7786C477">
      <w:pPr>
        <w:jc w:val="left"/>
      </w:pPr>
    </w:p>
    <w:p w14:paraId="082BFD73">
      <w:pPr>
        <w:jc w:val="left"/>
      </w:pPr>
    </w:p>
    <w:p w14:paraId="1AA6CDC4">
      <w:pPr>
        <w:ind w:left="840" w:leftChars="400"/>
        <w:jc w:val="left"/>
      </w:pPr>
    </w:p>
    <w:p w14:paraId="0C309965">
      <w:pPr>
        <w:ind w:left="2209" w:hanging="2209" w:hangingChars="500"/>
        <w:jc w:val="left"/>
        <w:rPr>
          <w:rFonts w:hint="eastAsia" w:ascii="仿宋" w:hAnsi="仿宋" w:eastAsia="仿宋" w:cs="仿宋"/>
          <w:b/>
          <w:bCs/>
          <w:sz w:val="28"/>
          <w:szCs w:val="36"/>
        </w:rPr>
      </w:pPr>
      <w:r>
        <w:rPr>
          <w:rFonts w:hint="eastAsia" w:ascii="仿宋" w:hAnsi="仿宋" w:eastAsia="仿宋" w:cs="仿宋"/>
          <w:b/>
          <w:bCs/>
          <w:sz w:val="44"/>
          <w:szCs w:val="52"/>
        </w:rPr>
        <w:t>项目名称：</w:t>
      </w:r>
      <w:r>
        <w:rPr>
          <w:rFonts w:hint="eastAsia" w:ascii="仿宋" w:hAnsi="仿宋" w:eastAsia="仿宋" w:cs="仿宋"/>
          <w:b/>
          <w:bCs/>
          <w:sz w:val="32"/>
          <w:szCs w:val="40"/>
          <w:u w:val="thick"/>
        </w:rPr>
        <w:t xml:space="preserve">2024年石狮市中小学班级多媒体教学设备全覆盖工程项目支出绩效评价           </w:t>
      </w:r>
      <w:r>
        <w:rPr>
          <w:rFonts w:hint="eastAsia" w:ascii="仿宋" w:hAnsi="仿宋" w:eastAsia="仿宋" w:cs="仿宋"/>
          <w:b/>
          <w:bCs/>
          <w:sz w:val="28"/>
          <w:szCs w:val="36"/>
          <w:u w:val="thick"/>
        </w:rPr>
        <w:t xml:space="preserve">                             </w:t>
      </w:r>
    </w:p>
    <w:p w14:paraId="3F796C37">
      <w:pPr>
        <w:jc w:val="left"/>
        <w:rPr>
          <w:rFonts w:hint="eastAsia" w:ascii="仿宋" w:hAnsi="仿宋" w:eastAsia="仿宋" w:cs="仿宋"/>
          <w:b/>
          <w:bCs/>
          <w:sz w:val="44"/>
          <w:szCs w:val="52"/>
        </w:rPr>
      </w:pPr>
      <w:r>
        <w:rPr>
          <w:rFonts w:hint="eastAsia" w:ascii="仿宋" w:hAnsi="仿宋" w:eastAsia="仿宋" w:cs="仿宋"/>
          <w:b/>
          <w:bCs/>
          <w:sz w:val="44"/>
          <w:szCs w:val="52"/>
        </w:rPr>
        <w:t>委 托 方：</w:t>
      </w:r>
      <w:r>
        <w:rPr>
          <w:rFonts w:hint="eastAsia" w:ascii="仿宋" w:hAnsi="仿宋" w:eastAsia="仿宋" w:cs="仿宋"/>
          <w:b/>
          <w:bCs/>
          <w:sz w:val="32"/>
          <w:szCs w:val="40"/>
          <w:u w:val="thick"/>
        </w:rPr>
        <w:t xml:space="preserve">石狮市财政局    </w:t>
      </w:r>
      <w:r>
        <w:rPr>
          <w:rFonts w:hint="eastAsia" w:ascii="仿宋" w:hAnsi="仿宋" w:eastAsia="仿宋" w:cs="仿宋"/>
          <w:b/>
          <w:bCs/>
          <w:sz w:val="28"/>
          <w:szCs w:val="36"/>
          <w:u w:val="thick"/>
        </w:rPr>
        <w:t xml:space="preserve">                               </w:t>
      </w:r>
    </w:p>
    <w:p w14:paraId="3039607C">
      <w:pPr>
        <w:jc w:val="left"/>
        <w:rPr>
          <w:rFonts w:hint="eastAsia" w:ascii="仿宋" w:hAnsi="仿宋" w:eastAsia="仿宋" w:cs="仿宋"/>
          <w:b/>
          <w:bCs/>
          <w:sz w:val="44"/>
          <w:szCs w:val="52"/>
          <w:u w:val="thick"/>
        </w:rPr>
      </w:pPr>
      <w:r>
        <w:rPr>
          <w:rFonts w:hint="eastAsia" w:ascii="仿宋" w:hAnsi="仿宋" w:eastAsia="仿宋" w:cs="仿宋"/>
          <w:b/>
          <w:bCs/>
          <w:sz w:val="44"/>
          <w:szCs w:val="52"/>
        </w:rPr>
        <w:t>项目单位：</w:t>
      </w:r>
      <w:r>
        <w:rPr>
          <w:rFonts w:hint="eastAsia" w:ascii="仿宋" w:hAnsi="仿宋" w:eastAsia="仿宋" w:cs="仿宋"/>
          <w:b/>
          <w:bCs/>
          <w:sz w:val="32"/>
          <w:szCs w:val="32"/>
          <w:u w:val="thick"/>
        </w:rPr>
        <w:t>石狮市教育局</w:t>
      </w:r>
      <w:r>
        <w:rPr>
          <w:rFonts w:hint="eastAsia" w:ascii="仿宋" w:hAnsi="仿宋" w:eastAsia="仿宋" w:cs="仿宋"/>
          <w:b/>
          <w:bCs/>
          <w:sz w:val="32"/>
          <w:szCs w:val="40"/>
          <w:u w:val="thick"/>
        </w:rPr>
        <w:t xml:space="preserve">                        </w:t>
      </w:r>
      <w:r>
        <w:rPr>
          <w:rFonts w:hint="eastAsia" w:ascii="仿宋" w:hAnsi="仿宋" w:eastAsia="仿宋" w:cs="仿宋"/>
          <w:b/>
          <w:bCs/>
          <w:sz w:val="28"/>
          <w:szCs w:val="36"/>
          <w:u w:val="thick"/>
        </w:rPr>
        <w:t xml:space="preserve">                     </w:t>
      </w:r>
    </w:p>
    <w:p w14:paraId="24373B1B">
      <w:pPr>
        <w:jc w:val="left"/>
        <w:rPr>
          <w:b/>
          <w:bCs/>
          <w:sz w:val="44"/>
          <w:szCs w:val="52"/>
        </w:rPr>
      </w:pPr>
      <w:r>
        <w:rPr>
          <w:rFonts w:hint="eastAsia" w:ascii="仿宋" w:hAnsi="仿宋" w:eastAsia="仿宋" w:cs="仿宋"/>
          <w:b/>
          <w:bCs/>
          <w:sz w:val="44"/>
          <w:szCs w:val="52"/>
        </w:rPr>
        <w:t>评价机构：</w:t>
      </w:r>
      <w:r>
        <w:rPr>
          <w:rFonts w:hint="eastAsia" w:ascii="仿宋" w:hAnsi="仿宋" w:eastAsia="仿宋" w:cs="仿宋"/>
          <w:b/>
          <w:bCs/>
          <w:sz w:val="32"/>
          <w:szCs w:val="32"/>
          <w:u w:val="thick"/>
        </w:rPr>
        <w:t xml:space="preserve">集大财经咨询（福州）有限公司                 </w:t>
      </w:r>
      <w:r>
        <w:rPr>
          <w:rFonts w:hint="eastAsia"/>
          <w:b/>
          <w:bCs/>
          <w:sz w:val="28"/>
          <w:szCs w:val="36"/>
          <w:u w:val="single"/>
        </w:rPr>
        <w:t xml:space="preserve">     </w:t>
      </w:r>
      <w:r>
        <w:rPr>
          <w:rFonts w:hint="eastAsia"/>
          <w:b/>
          <w:bCs/>
          <w:sz w:val="28"/>
          <w:szCs w:val="36"/>
          <w:u w:val="thick"/>
        </w:rPr>
        <w:t xml:space="preserve">        </w:t>
      </w:r>
    </w:p>
    <w:p w14:paraId="75E34E47">
      <w:pPr>
        <w:jc w:val="left"/>
      </w:pPr>
    </w:p>
    <w:p w14:paraId="2C3EE0F9">
      <w:pPr>
        <w:jc w:val="left"/>
        <w:rPr>
          <w:szCs w:val="30"/>
        </w:rPr>
      </w:pPr>
      <w:r>
        <mc:AlternateContent>
          <mc:Choice Requires="wps">
            <w:drawing>
              <wp:anchor distT="0" distB="0" distL="114300" distR="114300" simplePos="0" relativeHeight="251659264" behindDoc="0" locked="0" layoutInCell="1" allowOverlap="1">
                <wp:simplePos x="0" y="0"/>
                <wp:positionH relativeFrom="column">
                  <wp:posOffset>1020445</wp:posOffset>
                </wp:positionH>
                <wp:positionV relativeFrom="paragraph">
                  <wp:posOffset>156210</wp:posOffset>
                </wp:positionV>
                <wp:extent cx="5279390" cy="620395"/>
                <wp:effectExtent l="4445" t="4445" r="19685" b="15240"/>
                <wp:wrapNone/>
                <wp:docPr id="101" name="文本框 101"/>
                <wp:cNvGraphicFramePr/>
                <a:graphic xmlns:a="http://schemas.openxmlformats.org/drawingml/2006/main">
                  <a:graphicData uri="http://schemas.microsoft.com/office/word/2010/wordprocessingShape">
                    <wps:wsp>
                      <wps:cNvSpPr txBox="1"/>
                      <wps:spPr>
                        <a:xfrm>
                          <a:off x="1303655" y="6525895"/>
                          <a:ext cx="5279390" cy="620395"/>
                        </a:xfrm>
                        <a:prstGeom prst="rect">
                          <a:avLst/>
                        </a:prstGeom>
                        <a:solidFill>
                          <a:schemeClr val="bg1"/>
                        </a:solid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14:paraId="54D0B0FA">
                            <w:pPr>
                              <w:spacing w:line="420" w:lineRule="exact"/>
                              <w:rPr>
                                <w:rFonts w:hint="eastAsia" w:asciiTheme="minorEastAsia" w:hAnsiTheme="minorEastAsia" w:cstheme="minorEastAsia"/>
                                <w:b/>
                                <w:sz w:val="40"/>
                                <w:szCs w:val="40"/>
                              </w:rPr>
                            </w:pPr>
                            <w:r>
                              <w:rPr>
                                <w:rFonts w:hint="eastAsia" w:asciiTheme="minorEastAsia" w:hAnsiTheme="minorEastAsia" w:cstheme="minorEastAsia"/>
                                <w:b/>
                                <w:sz w:val="40"/>
                                <w:szCs w:val="40"/>
                              </w:rPr>
                              <w:t xml:space="preserve"> 集 大 财 经 咨 询（福 州）有 限 公 司 </w:t>
                            </w:r>
                          </w:p>
                          <w:p w14:paraId="65224FF1">
                            <w:pPr>
                              <w:spacing w:line="420" w:lineRule="exact"/>
                              <w:jc w:val="left"/>
                              <w:rPr>
                                <w:rFonts w:hint="eastAsia" w:asciiTheme="minorEastAsia" w:hAnsiTheme="minorEastAsia" w:cstheme="minorEastAsia"/>
                                <w:sz w:val="36"/>
                                <w:szCs w:val="36"/>
                              </w:rPr>
                            </w:pPr>
                            <w:r>
                              <w:rPr>
                                <w:rFonts w:hint="eastAsia" w:asciiTheme="minorEastAsia" w:hAnsiTheme="minorEastAsia" w:cstheme="minorEastAsia"/>
                                <w:b/>
                                <w:sz w:val="36"/>
                                <w:szCs w:val="36"/>
                              </w:rPr>
                              <w:t>Jida Financial Consulting (Fuzhou) Co., Ltd.</w:t>
                            </w:r>
                          </w:p>
                          <w:p w14:paraId="7061CAAE"/>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0.35pt;margin-top:12.3pt;height:48.85pt;width:415.7pt;z-index:251659264;mso-width-relative:page;mso-height-relative:page;" fillcolor="#FFFFFF [3212]" filled="t" stroked="t" coordsize="21600,21600" o:gfxdata="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P1ImyLYAAAACgEAAA8AAAAAAAAAAQAgAAAAIgAAAGRycy9kb3ducmV2LnhtbFBLAQIUABQAAAAI&#10;AIdO4kAnGVkvXwIAAMgEAAAOAAAAAAAAAAEAIAAAACcBAABkcnMvZTJvRG9jLnhtbFBLBQYAAAAA&#10;BgAGAFkBAAD4BQAAAAA=&#10;">
                <v:fill on="t" focussize="0,0"/>
                <v:stroke weight="0.5pt" color="#FFFFFF [3212]" joinstyle="round"/>
                <v:imagedata o:title=""/>
                <o:lock v:ext="edit" aspectratio="f"/>
                <v:textbox>
                  <w:txbxContent>
                    <w:p w14:paraId="54D0B0FA">
                      <w:pPr>
                        <w:spacing w:line="420" w:lineRule="exact"/>
                        <w:rPr>
                          <w:rFonts w:hint="eastAsia" w:asciiTheme="minorEastAsia" w:hAnsiTheme="minorEastAsia" w:cstheme="minorEastAsia"/>
                          <w:b/>
                          <w:sz w:val="40"/>
                          <w:szCs w:val="40"/>
                        </w:rPr>
                      </w:pPr>
                      <w:r>
                        <w:rPr>
                          <w:rFonts w:hint="eastAsia" w:asciiTheme="minorEastAsia" w:hAnsiTheme="minorEastAsia" w:cstheme="minorEastAsia"/>
                          <w:b/>
                          <w:sz w:val="40"/>
                          <w:szCs w:val="40"/>
                        </w:rPr>
                        <w:t xml:space="preserve"> 集 大 财 经 咨 询（福 州）有 限 公 司 </w:t>
                      </w:r>
                    </w:p>
                    <w:p w14:paraId="65224FF1">
                      <w:pPr>
                        <w:spacing w:line="420" w:lineRule="exact"/>
                        <w:jc w:val="left"/>
                        <w:rPr>
                          <w:rFonts w:hint="eastAsia" w:asciiTheme="minorEastAsia" w:hAnsiTheme="minorEastAsia" w:cstheme="minorEastAsia"/>
                          <w:sz w:val="36"/>
                          <w:szCs w:val="36"/>
                        </w:rPr>
                      </w:pPr>
                      <w:r>
                        <w:rPr>
                          <w:rFonts w:hint="eastAsia" w:asciiTheme="minorEastAsia" w:hAnsiTheme="minorEastAsia" w:cstheme="minorEastAsia"/>
                          <w:b/>
                          <w:sz w:val="36"/>
                          <w:szCs w:val="36"/>
                        </w:rPr>
                        <w:t>Jida Financial Consulting (Fuzhou) Co., Ltd.</w:t>
                      </w:r>
                    </w:p>
                    <w:p w14:paraId="7061CAAE"/>
                  </w:txbxContent>
                </v:textbox>
              </v:shape>
            </w:pict>
          </mc:Fallback>
        </mc:AlternateContent>
      </w:r>
      <w:r>
        <w:drawing>
          <wp:inline distT="0" distB="0" distL="114300" distR="114300">
            <wp:extent cx="850900" cy="854710"/>
            <wp:effectExtent l="0" t="0" r="2540" b="13970"/>
            <wp:docPr id="102" name="图片 102" descr="集大财经咨询logo-定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102" descr="集大财经咨询logo-定稿"/>
                    <pic:cNvPicPr>
                      <a:picLocks noChangeAspect="1"/>
                    </pic:cNvPicPr>
                  </pic:nvPicPr>
                  <pic:blipFill>
                    <a:blip r:embed="rId8"/>
                    <a:srcRect l="22038" t="24205" r="23109" b="20785"/>
                    <a:stretch>
                      <a:fillRect/>
                    </a:stretch>
                  </pic:blipFill>
                  <pic:spPr>
                    <a:xfrm>
                      <a:off x="0" y="0"/>
                      <a:ext cx="850900" cy="854710"/>
                    </a:xfrm>
                    <a:prstGeom prst="rect">
                      <a:avLst/>
                    </a:prstGeom>
                  </pic:spPr>
                </pic:pic>
              </a:graphicData>
            </a:graphic>
          </wp:inline>
        </w:drawing>
      </w:r>
      <w:r>
        <w:rPr>
          <w:sz w:val="30"/>
          <w:szCs w:val="30"/>
        </w:rPr>
        <w:br w:type="page"/>
      </w:r>
    </w:p>
    <w:p w14:paraId="03496895">
      <w:pPr>
        <w:jc w:val="center"/>
        <w:rPr>
          <w:sz w:val="30"/>
          <w:szCs w:val="30"/>
        </w:rPr>
      </w:pPr>
      <w:r>
        <w:rPr>
          <w:rFonts w:hint="eastAsia" w:ascii="仿宋" w:hAnsi="仿宋" w:eastAsia="仿宋" w:cs="仿宋"/>
          <w:b/>
          <w:bCs/>
          <w:sz w:val="32"/>
          <w:szCs w:val="32"/>
        </w:rPr>
        <w:t>摘  要</w:t>
      </w:r>
    </w:p>
    <w:p w14:paraId="323DD17B">
      <w:pPr>
        <w:widowControl/>
        <w:spacing w:line="360" w:lineRule="auto"/>
        <w:ind w:firstLine="562" w:firstLineChars="200"/>
        <w:jc w:val="left"/>
        <w:rPr>
          <w:rFonts w:hint="eastAsia" w:ascii="仿宋" w:hAnsi="仿宋" w:eastAsia="仿宋" w:cs="仿宋"/>
          <w:b/>
          <w:bCs/>
          <w:sz w:val="28"/>
          <w:szCs w:val="28"/>
        </w:rPr>
      </w:pPr>
      <w:r>
        <w:rPr>
          <w:rFonts w:hint="eastAsia" w:ascii="仿宋" w:hAnsi="仿宋" w:eastAsia="仿宋" w:cs="仿宋"/>
          <w:b/>
          <w:bCs/>
          <w:sz w:val="28"/>
          <w:szCs w:val="28"/>
        </w:rPr>
        <w:t>一、基本情况</w:t>
      </w:r>
    </w:p>
    <w:p w14:paraId="089A1BC1">
      <w:pPr>
        <w:widowControl/>
        <w:spacing w:line="360" w:lineRule="auto"/>
        <w:ind w:firstLine="482" w:firstLineChars="200"/>
        <w:jc w:val="left"/>
        <w:rPr>
          <w:rFonts w:hint="eastAsia" w:ascii="仿宋" w:hAnsi="仿宋" w:eastAsia="仿宋" w:cs="仿宋"/>
          <w:b/>
          <w:bCs/>
          <w:sz w:val="24"/>
        </w:rPr>
      </w:pPr>
      <w:r>
        <w:rPr>
          <w:rFonts w:hint="eastAsia" w:ascii="仿宋" w:hAnsi="仿宋" w:eastAsia="仿宋" w:cs="仿宋"/>
          <w:b/>
          <w:bCs/>
          <w:sz w:val="24"/>
        </w:rPr>
        <w:t>（一）项目主要内容及实施情况</w:t>
      </w:r>
    </w:p>
    <w:p w14:paraId="1B276AD8">
      <w:pPr>
        <w:spacing w:line="360" w:lineRule="auto"/>
        <w:ind w:firstLine="480" w:firstLineChars="200"/>
        <w:rPr>
          <w:rFonts w:hint="eastAsia" w:ascii="仿宋" w:hAnsi="仿宋" w:eastAsia="仿宋" w:cs="Times New Roman"/>
          <w:sz w:val="24"/>
        </w:rPr>
      </w:pPr>
      <w:r>
        <w:rPr>
          <w:rFonts w:hint="eastAsia" w:ascii="仿宋_GB2312" w:hAnsi="Times New Roman" w:eastAsia="仿宋_GB2312" w:cs="Times New Roman"/>
          <w:sz w:val="24"/>
        </w:rPr>
        <w:t>为贯彻落实《中共福建省委福建省人民政府关于开展2024年为民办实事工作的通知》精神及福建省教育厅、福建省财政厅《2024年福建省中小学班级多媒体教学设备全覆盖工程实施方案》（闽教科〔2024〕1号）的要求，石狮市教育局启动中小学班级多媒体教学设备全覆盖工程。</w:t>
      </w:r>
      <w:r>
        <w:rPr>
          <w:rFonts w:hint="eastAsia" w:ascii="仿宋" w:hAnsi="仿宋" w:eastAsia="仿宋" w:cs="Times New Roman"/>
          <w:sz w:val="24"/>
        </w:rPr>
        <w:t>石狮市根据2023年12月底在“全国教育信息化工作管理信息系统”填报的中小学班级多媒体设备配置情况，进行自查、统计汇总，结合石狮市实际申报改造任务。在接到泉州市教育局关于多媒体教学设备分解任务后，将改造任务分解到辖区内各有关学校。采购招标工作由市教育局采取统一采购方式进行。以完成泉州市下达的为民办实事项目改造任务为目标，确保班级多媒体教学设备全覆盖工程质量符合标准要求。该项目于2024年8月26日完成了辖区内项目采购签约工作，于2024年12月30日前完成了238套多媒体教学设备的安装验收工作，其中纳入省级为民办实事“全覆盖工程”的68套多媒体教学设备于2024年8月20日完成验收。</w:t>
      </w:r>
    </w:p>
    <w:p w14:paraId="523AAEFE">
      <w:pPr>
        <w:widowControl/>
        <w:spacing w:line="360" w:lineRule="auto"/>
        <w:ind w:firstLine="482" w:firstLineChars="200"/>
        <w:jc w:val="left"/>
        <w:rPr>
          <w:rFonts w:hint="eastAsia" w:ascii="仿宋" w:hAnsi="仿宋" w:eastAsia="仿宋" w:cs="仿宋"/>
          <w:b/>
          <w:bCs/>
          <w:sz w:val="24"/>
        </w:rPr>
      </w:pPr>
      <w:r>
        <w:rPr>
          <w:rFonts w:hint="eastAsia" w:ascii="仿宋" w:hAnsi="仿宋" w:eastAsia="仿宋" w:cs="仿宋"/>
          <w:b/>
          <w:bCs/>
          <w:sz w:val="24"/>
        </w:rPr>
        <w:t>（二）资金收支情况</w:t>
      </w:r>
    </w:p>
    <w:p w14:paraId="30582DE7">
      <w:pPr>
        <w:widowControl/>
        <w:spacing w:line="360" w:lineRule="auto"/>
        <w:ind w:firstLine="480" w:firstLineChars="200"/>
        <w:jc w:val="left"/>
        <w:rPr>
          <w:rFonts w:hint="eastAsia" w:ascii="仿宋" w:hAnsi="仿宋" w:eastAsia="仿宋" w:cs="仿宋"/>
          <w:b/>
          <w:bCs/>
          <w:sz w:val="24"/>
        </w:rPr>
      </w:pPr>
      <w:r>
        <w:rPr>
          <w:rFonts w:hint="eastAsia" w:ascii="仿宋" w:hAnsi="仿宋" w:eastAsia="仿宋" w:cs="Times New Roman"/>
          <w:sz w:val="24"/>
        </w:rPr>
        <w:t>本次2024年石狮市中小学班级多媒体教学设备全覆盖工程项目绩效评价共238套设备，总计469.3360万元。其中68套列为省级财政补助项目，纳入省级为民办实事工程，</w:t>
      </w:r>
      <w:r>
        <w:rPr>
          <w:rFonts w:ascii="仿宋" w:hAnsi="仿宋" w:eastAsia="仿宋" w:cs="Times New Roman"/>
          <w:sz w:val="24"/>
        </w:rPr>
        <w:t>2024年省委、省政府“全覆盖工程”为民办实事项目明确每套多媒体教学设备按2.5万元测算，省级财政承担50%，即每套补助1.25万元；下达石狮市指标68套，省级补助</w:t>
      </w:r>
      <w:r>
        <w:rPr>
          <w:rFonts w:hint="eastAsia" w:ascii="仿宋" w:hAnsi="仿宋" w:eastAsia="仿宋" w:cs="Times New Roman"/>
          <w:sz w:val="24"/>
        </w:rPr>
        <w:t>共计</w:t>
      </w:r>
      <w:r>
        <w:rPr>
          <w:rFonts w:ascii="仿宋" w:hAnsi="仿宋" w:eastAsia="仿宋" w:cs="Times New Roman"/>
          <w:sz w:val="24"/>
        </w:rPr>
        <w:t>85万元，其余</w:t>
      </w:r>
      <w:r>
        <w:rPr>
          <w:rFonts w:hint="eastAsia" w:ascii="仿宋" w:hAnsi="仿宋" w:eastAsia="仿宋" w:cs="Times New Roman"/>
          <w:sz w:val="24"/>
        </w:rPr>
        <w:t>384.3360万元</w:t>
      </w:r>
      <w:r>
        <w:rPr>
          <w:rFonts w:ascii="仿宋" w:hAnsi="仿宋" w:eastAsia="仿宋" w:cs="Times New Roman"/>
          <w:sz w:val="24"/>
        </w:rPr>
        <w:t>由市财政</w:t>
      </w:r>
      <w:r>
        <w:rPr>
          <w:rFonts w:hint="eastAsia" w:ascii="仿宋" w:hAnsi="仿宋" w:eastAsia="仿宋" w:cs="Times New Roman"/>
          <w:sz w:val="24"/>
        </w:rPr>
        <w:t>支出</w:t>
      </w:r>
      <w:r>
        <w:rPr>
          <w:rFonts w:ascii="仿宋" w:hAnsi="仿宋" w:eastAsia="仿宋" w:cs="Times New Roman"/>
          <w:sz w:val="24"/>
        </w:rPr>
        <w:t>。</w:t>
      </w:r>
    </w:p>
    <w:p w14:paraId="41E5B269">
      <w:pPr>
        <w:widowControl/>
        <w:spacing w:line="360" w:lineRule="auto"/>
        <w:ind w:firstLine="562" w:firstLineChars="200"/>
        <w:jc w:val="left"/>
        <w:rPr>
          <w:rFonts w:hint="eastAsia" w:ascii="仿宋" w:hAnsi="仿宋" w:eastAsia="仿宋" w:cs="仿宋"/>
          <w:b/>
          <w:bCs/>
          <w:sz w:val="28"/>
          <w:szCs w:val="28"/>
        </w:rPr>
      </w:pPr>
      <w:r>
        <w:rPr>
          <w:rFonts w:hint="eastAsia" w:ascii="仿宋" w:hAnsi="仿宋" w:eastAsia="仿宋" w:cs="仿宋"/>
          <w:b/>
          <w:bCs/>
          <w:sz w:val="28"/>
          <w:szCs w:val="28"/>
        </w:rPr>
        <w:t>二、综合评价情况及评价结论</w:t>
      </w:r>
    </w:p>
    <w:p w14:paraId="23FA4887">
      <w:pPr>
        <w:spacing w:line="360" w:lineRule="auto"/>
        <w:ind w:firstLine="480" w:firstLineChars="200"/>
        <w:rPr>
          <w:rFonts w:ascii="仿宋_GB2312" w:hAnsi="Times New Roman" w:eastAsia="仿宋_GB2312" w:cs="Times New Roman"/>
          <w:sz w:val="24"/>
          <w:lang w:val="zh-CN"/>
        </w:rPr>
      </w:pPr>
      <w:r>
        <w:rPr>
          <w:rFonts w:hint="eastAsia" w:ascii="仿宋" w:hAnsi="仿宋" w:eastAsia="仿宋" w:cs="Times New Roman"/>
          <w:sz w:val="24"/>
          <w:lang w:val="zh-CN"/>
        </w:rPr>
        <w:t>2024年度石狮市中小学班级多媒体教学设备全覆盖工程项目在改善教学条件和提升教学效果方面取得了积极成效，但在绩效指标明确性、制度执行有效性和产出时效性等方面存在不足。经过工作组的审慎和科学评估，该项目总得分88.</w:t>
      </w:r>
      <w:r>
        <w:rPr>
          <w:rFonts w:hint="eastAsia" w:ascii="仿宋" w:hAnsi="仿宋" w:eastAsia="仿宋" w:cs="Times New Roman"/>
          <w:sz w:val="24"/>
          <w:lang w:val="en-US" w:eastAsia="zh-CN"/>
        </w:rPr>
        <w:t>54</w:t>
      </w:r>
      <w:r>
        <w:rPr>
          <w:rFonts w:hint="eastAsia" w:ascii="仿宋" w:hAnsi="仿宋" w:eastAsia="仿宋" w:cs="Times New Roman"/>
          <w:sz w:val="24"/>
          <w:lang w:val="zh-CN"/>
        </w:rPr>
        <w:t>分，评价等级结果为良，指标分析详见第四部分。</w:t>
      </w:r>
    </w:p>
    <w:p w14:paraId="53BD297A">
      <w:pPr>
        <w:widowControl/>
        <w:spacing w:line="360" w:lineRule="auto"/>
        <w:ind w:firstLine="562" w:firstLineChars="200"/>
        <w:jc w:val="left"/>
        <w:rPr>
          <w:rFonts w:hint="eastAsia" w:ascii="仿宋" w:hAnsi="仿宋" w:eastAsia="仿宋" w:cs="仿宋"/>
          <w:b/>
          <w:bCs/>
          <w:sz w:val="28"/>
          <w:szCs w:val="28"/>
        </w:rPr>
      </w:pPr>
      <w:r>
        <w:rPr>
          <w:rFonts w:hint="eastAsia" w:ascii="仿宋" w:hAnsi="仿宋" w:eastAsia="仿宋" w:cs="仿宋"/>
          <w:b/>
          <w:bCs/>
          <w:sz w:val="28"/>
          <w:szCs w:val="28"/>
        </w:rPr>
        <w:t>三、存在的问题及原因分析</w:t>
      </w:r>
    </w:p>
    <w:p w14:paraId="1AECFD45">
      <w:pPr>
        <w:widowControl/>
        <w:spacing w:line="360" w:lineRule="auto"/>
        <w:ind w:firstLine="482" w:firstLineChars="200"/>
        <w:jc w:val="left"/>
        <w:rPr>
          <w:rFonts w:hint="eastAsia" w:ascii="仿宋" w:hAnsi="仿宋" w:eastAsia="仿宋" w:cs="仿宋"/>
          <w:b/>
          <w:bCs/>
          <w:sz w:val="24"/>
          <w:highlight w:val="yellow"/>
        </w:rPr>
      </w:pPr>
      <w:r>
        <w:rPr>
          <w:rFonts w:hint="eastAsia" w:ascii="仿宋" w:hAnsi="仿宋" w:eastAsia="仿宋" w:cs="仿宋"/>
          <w:b/>
          <w:bCs/>
          <w:sz w:val="24"/>
        </w:rPr>
        <w:t>（一）绩效指标体系设计不完善</w:t>
      </w:r>
    </w:p>
    <w:p w14:paraId="10BD12A4">
      <w:pPr>
        <w:spacing w:line="360" w:lineRule="auto"/>
        <w:ind w:firstLine="480" w:firstLineChars="200"/>
        <w:rPr>
          <w:rFonts w:ascii="仿宋_GB2312" w:hAnsi="Times New Roman" w:eastAsia="仿宋_GB2312" w:cs="Times New Roman"/>
          <w:sz w:val="24"/>
        </w:rPr>
      </w:pPr>
      <w:r>
        <w:rPr>
          <w:rFonts w:hint="eastAsia" w:ascii="仿宋_GB2312" w:hAnsi="Times New Roman" w:eastAsia="仿宋_GB2312" w:cs="Times New Roman"/>
          <w:sz w:val="24"/>
          <w:lang w:val="zh-CN"/>
        </w:rPr>
        <w:t>根据石狮市教育局所提供的项目绩效目标表及绩效自评报告的资料，工作组发现该项目中的指标权重设计存在缺陷，在“产出指标-时效指标”中，以“资金支付及时率”作为三级指标，实则是将“资金管理”指标错误归入“产出指标”。此外，社会效益指标与产出指标比重失衡，指标中“提高办学条件”等社会效益指标占比30%，而具体可量化的产出指标如“设备采购数量”却明显偏低。且社会效益指标仅采用模糊的定性描述，缺乏具体内涵和量化标准。指标体系未设置设备利用率、运维保障等关键效益指标，无法直接关联设备投入与教学效果的关联机制。未严格遵守《项目支出绩效评价管理办法》中关于“指标科学完整、数据可验证”的规定，缺乏科学的指标设计。</w:t>
      </w:r>
    </w:p>
    <w:p w14:paraId="4080D77F">
      <w:pPr>
        <w:widowControl/>
        <w:spacing w:line="360" w:lineRule="auto"/>
        <w:ind w:firstLine="482" w:firstLineChars="200"/>
        <w:jc w:val="left"/>
        <w:rPr>
          <w:rFonts w:hint="default" w:ascii="仿宋" w:hAnsi="仿宋" w:eastAsia="仿宋" w:cs="仿宋"/>
          <w:b/>
          <w:bCs/>
          <w:sz w:val="24"/>
          <w:lang w:val="en-US" w:eastAsia="zh-CN"/>
        </w:rPr>
      </w:pPr>
      <w:r>
        <w:rPr>
          <w:rFonts w:hint="eastAsia" w:ascii="仿宋" w:hAnsi="仿宋" w:eastAsia="仿宋" w:cs="仿宋"/>
          <w:b/>
          <w:bCs/>
          <w:sz w:val="24"/>
        </w:rPr>
        <w:t>（二）</w:t>
      </w:r>
      <w:r>
        <w:rPr>
          <w:rFonts w:hint="eastAsia" w:ascii="仿宋" w:hAnsi="仿宋" w:eastAsia="仿宋" w:cs="仿宋"/>
          <w:b/>
          <w:bCs/>
          <w:sz w:val="24"/>
          <w:lang w:val="en-US" w:eastAsia="zh-CN"/>
        </w:rPr>
        <w:t>合同执行与资金支付存在监管缺失，导致产出时效滞后</w:t>
      </w:r>
    </w:p>
    <w:p w14:paraId="29D80CA3">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石狮市教育局在采购合同中明确规定了交货进度及验收时间和分阶段付款，但</w:t>
      </w:r>
      <w:r>
        <w:rPr>
          <w:rFonts w:hint="eastAsia" w:ascii="仿宋" w:hAnsi="仿宋" w:eastAsia="仿宋" w:cs="宋体"/>
          <w:sz w:val="24"/>
          <w:lang w:val="zh-CN"/>
        </w:rPr>
        <w:t>项目在实际执行过程中</w:t>
      </w:r>
      <w:r>
        <w:rPr>
          <w:rFonts w:hint="eastAsia" w:ascii="仿宋_GB2312" w:hAnsi="Times New Roman" w:eastAsia="仿宋_GB2312" w:cs="Times New Roman"/>
          <w:sz w:val="24"/>
          <w:lang w:val="zh-CN"/>
        </w:rPr>
        <w:t>，</w:t>
      </w:r>
      <w:r>
        <w:rPr>
          <w:rFonts w:hint="eastAsia" w:ascii="仿宋_GB2312" w:hAnsi="Times New Roman" w:eastAsia="仿宋_GB2312" w:cs="Times New Roman"/>
          <w:sz w:val="24"/>
        </w:rPr>
        <w:t>仍然</w:t>
      </w:r>
      <w:r>
        <w:rPr>
          <w:rFonts w:hint="eastAsia" w:ascii="仿宋_GB2312" w:hAnsi="Times New Roman" w:eastAsia="仿宋_GB2312" w:cs="Times New Roman"/>
          <w:sz w:val="24"/>
          <w:lang w:val="zh-CN"/>
        </w:rPr>
        <w:t>存在验收未按规定时间交付，资金支付也未按规定时间支付的问题，这反映采购执行中的监管和制度执行力度不</w:t>
      </w:r>
      <w:r>
        <w:rPr>
          <w:rFonts w:hint="eastAsia" w:ascii="仿宋_GB2312" w:hAnsi="Times New Roman" w:eastAsia="仿宋_GB2312" w:cs="Times New Roman"/>
          <w:sz w:val="24"/>
        </w:rPr>
        <w:t>足问</w:t>
      </w:r>
      <w:r>
        <w:rPr>
          <w:rFonts w:hint="eastAsia" w:ascii="仿宋_GB2312" w:hAnsi="Times New Roman" w:eastAsia="仿宋_GB2312" w:cs="Times New Roman"/>
          <w:sz w:val="24"/>
          <w:lang w:val="zh-CN"/>
        </w:rPr>
        <w:t>题。</w:t>
      </w:r>
      <w:r>
        <w:rPr>
          <w:rFonts w:hint="eastAsia" w:ascii="仿宋" w:hAnsi="仿宋" w:eastAsia="仿宋" w:cs="宋体"/>
          <w:sz w:val="24"/>
          <w:lang w:val="zh-CN"/>
        </w:rPr>
        <w:t>缺乏有效的监督考核机制，特别是对资金支付和验收流程的监管不到位，具体表现为：资金支付未严格按合同约定的“50%：45%：5%”分阶段付款执行，部分款项支付滞后；</w:t>
      </w:r>
      <w:r>
        <w:rPr>
          <w:rFonts w:hint="eastAsia" w:ascii="仿宋_GB2312" w:hAnsi="Times New Roman" w:eastAsia="仿宋_GB2312" w:cs="Times New Roman"/>
          <w:sz w:val="24"/>
          <w:lang w:val="en-US" w:eastAsia="zh-CN"/>
        </w:rPr>
        <w:t>验收</w:t>
      </w:r>
      <w:r>
        <w:rPr>
          <w:rFonts w:hint="eastAsia" w:ascii="仿宋_GB2312" w:hAnsi="Times New Roman" w:eastAsia="仿宋_GB2312" w:cs="Times New Roman"/>
          <w:sz w:val="24"/>
          <w:lang w:val="zh-CN"/>
        </w:rPr>
        <w:t>进度存在分段滞后</w:t>
      </w:r>
      <w:r>
        <w:rPr>
          <w:rFonts w:hint="eastAsia" w:ascii="仿宋" w:hAnsi="仿宋" w:eastAsia="仿宋" w:cs="宋体"/>
          <w:sz w:val="24"/>
          <w:lang w:val="zh-CN"/>
        </w:rPr>
        <w:t>，</w:t>
      </w:r>
      <w:r>
        <w:rPr>
          <w:rFonts w:hint="eastAsia" w:ascii="仿宋_GB2312" w:hAnsi="Times New Roman" w:eastAsia="仿宋_GB2312" w:cs="Times New Roman"/>
          <w:sz w:val="24"/>
          <w:lang w:val="zh-CN"/>
        </w:rPr>
        <w:t>根据验收记录显示，截至2024年11月30日，仅有68套多媒体教学设备于2024年8月20日按时完成验收，仅占总任务量的28.6%。其余170套设备的直至2024年12月才</w:t>
      </w:r>
      <w:r>
        <w:rPr>
          <w:rFonts w:hint="eastAsia" w:ascii="仿宋_GB2312" w:hAnsi="Times New Roman" w:eastAsia="仿宋_GB2312" w:cs="Times New Roman"/>
          <w:sz w:val="24"/>
          <w:lang w:val="en-US" w:eastAsia="zh-CN"/>
        </w:rPr>
        <w:t>完成验收</w:t>
      </w:r>
      <w:r>
        <w:rPr>
          <w:rFonts w:hint="eastAsia" w:ascii="仿宋_GB2312" w:hAnsi="Times New Roman" w:eastAsia="仿宋_GB2312" w:cs="Times New Roman"/>
          <w:sz w:val="24"/>
          <w:lang w:val="zh-CN"/>
        </w:rPr>
        <w:t>，较原定2024年10月15日计划</w:t>
      </w:r>
      <w:r>
        <w:rPr>
          <w:rFonts w:ascii="仿宋_GB2312" w:hAnsi="Times New Roman" w:eastAsia="仿宋_GB2312" w:cs="Times New Roman"/>
          <w:sz w:val="24"/>
        </w:rPr>
        <w:t>延后约50天</w:t>
      </w:r>
      <w:r>
        <w:rPr>
          <w:rFonts w:hint="eastAsia" w:ascii="仿宋_GB2312" w:hAnsi="Times New Roman" w:eastAsia="仿宋_GB2312" w:cs="Times New Roman"/>
          <w:sz w:val="24"/>
          <w:lang w:val="zh-CN"/>
        </w:rPr>
        <w:t>。经现场访谈了解，主要原因是供应商材料提交不及时，导致验收未按计划推进，</w:t>
      </w:r>
      <w:r>
        <w:rPr>
          <w:rFonts w:hint="eastAsia" w:ascii="仿宋_GB2312" w:hAnsi="Times New Roman" w:eastAsia="仿宋_GB2312" w:cs="Times New Roman"/>
          <w:sz w:val="24"/>
          <w:lang w:val="en-US" w:eastAsia="zh-CN"/>
        </w:rPr>
        <w:t>进而</w:t>
      </w:r>
      <w:r>
        <w:rPr>
          <w:rFonts w:hint="eastAsia" w:ascii="仿宋" w:hAnsi="仿宋" w:eastAsia="仿宋" w:cs="宋体"/>
          <w:sz w:val="24"/>
          <w:lang w:val="zh-CN"/>
        </w:rPr>
        <w:t>影响了项目整体的结算进度。</w:t>
      </w:r>
    </w:p>
    <w:p w14:paraId="5063F6DC">
      <w:pPr>
        <w:widowControl/>
        <w:spacing w:line="360" w:lineRule="auto"/>
        <w:ind w:firstLine="482" w:firstLineChars="200"/>
        <w:jc w:val="left"/>
        <w:rPr>
          <w:rFonts w:hint="default" w:ascii="仿宋" w:hAnsi="仿宋" w:eastAsia="仿宋" w:cs="仿宋"/>
          <w:b/>
          <w:bCs/>
          <w:sz w:val="24"/>
          <w:lang w:val="en-US" w:eastAsia="zh-CN"/>
        </w:rPr>
      </w:pPr>
      <w:r>
        <w:rPr>
          <w:rFonts w:hint="eastAsia" w:ascii="仿宋" w:hAnsi="仿宋" w:eastAsia="仿宋" w:cs="仿宋"/>
          <w:b/>
          <w:bCs/>
          <w:sz w:val="24"/>
        </w:rPr>
        <w:t>（</w:t>
      </w:r>
      <w:r>
        <w:rPr>
          <w:rFonts w:hint="eastAsia" w:ascii="仿宋" w:hAnsi="仿宋" w:eastAsia="仿宋" w:cs="仿宋"/>
          <w:b/>
          <w:bCs/>
          <w:sz w:val="24"/>
          <w:lang w:val="en-US" w:eastAsia="zh-CN"/>
        </w:rPr>
        <w:t>三</w:t>
      </w:r>
      <w:r>
        <w:rPr>
          <w:rFonts w:hint="eastAsia" w:ascii="仿宋" w:hAnsi="仿宋" w:eastAsia="仿宋" w:cs="仿宋"/>
          <w:b/>
          <w:bCs/>
          <w:sz w:val="24"/>
        </w:rPr>
        <w:t>）多媒体教学设备配置规格</w:t>
      </w:r>
      <w:r>
        <w:rPr>
          <w:rFonts w:hint="eastAsia" w:ascii="仿宋" w:hAnsi="仿宋" w:eastAsia="仿宋" w:cs="仿宋"/>
          <w:b/>
          <w:bCs/>
          <w:sz w:val="24"/>
          <w:lang w:val="en-US" w:eastAsia="zh-CN"/>
        </w:rPr>
        <w:t>标准偏高</w:t>
      </w:r>
    </w:p>
    <w:p w14:paraId="260240EC">
      <w:pPr>
        <w:spacing w:line="360" w:lineRule="auto"/>
        <w:ind w:firstLine="480" w:firstLineChars="200"/>
        <w:rPr>
          <w:rFonts w:hint="eastAsia" w:ascii="仿宋" w:hAnsi="仿宋" w:eastAsia="仿宋" w:cs="Times New Roman"/>
          <w:sz w:val="24"/>
        </w:rPr>
      </w:pPr>
      <w:r>
        <w:rPr>
          <w:rFonts w:hint="eastAsia" w:ascii="仿宋" w:hAnsi="仿宋" w:eastAsia="仿宋" w:cs="Times New Roman"/>
          <w:sz w:val="24"/>
        </w:rPr>
        <w:t>工作组通过实地考察发现，当前配置的希沃触控一体机FG86EA存在高配低用问题。其硬件性能与扩展功能被过度设计，远超当前中小学常规课堂教学需求。溯源来看，设备选型阶段未建立基于一线教师真实使用场景的需求模型，过度聚焦CPU主频、内存容量、多点触控精度等技术参数，导致系统自带的分组研讨、AI学情分析、远程互动课堂等高级模块成为事实上的冗余配置。在实际使用场景中，多数教师的操作仅停留在基础触控、PPT播放与简易批注上，复杂的多级菜单和专业化功能反而抬高了使用门槛，增加了认知负荷；而实现板书书写与课件播放这两项核心需求，本可通过性价比更高的中端设备或交互式投影方案完成。与此同时，尽管设备功能丰富，但教师培训体系仅覆盖基础操作，对高阶模块缺乏分层、分科的系统化指导，致使设备潜能长期沉睡。高配置带来的不仅是购置成本上升，更推高了后续维保、升级与能耗支出，形成“投入高、产出低、维护贵”的恶性循环。</w:t>
      </w:r>
    </w:p>
    <w:p w14:paraId="0F75E26B">
      <w:pPr>
        <w:widowControl/>
        <w:spacing w:line="360" w:lineRule="auto"/>
        <w:ind w:firstLine="482" w:firstLineChars="200"/>
        <w:jc w:val="left"/>
        <w:rPr>
          <w:rFonts w:hint="eastAsia" w:ascii="仿宋" w:hAnsi="仿宋" w:eastAsia="仿宋" w:cs="仿宋"/>
          <w:b/>
          <w:bCs/>
          <w:sz w:val="24"/>
        </w:rPr>
      </w:pPr>
    </w:p>
    <w:p w14:paraId="3E8540D8">
      <w:pPr>
        <w:widowControl/>
        <w:spacing w:line="360" w:lineRule="auto"/>
        <w:ind w:firstLine="562" w:firstLineChars="200"/>
        <w:jc w:val="left"/>
        <w:rPr>
          <w:rFonts w:hint="eastAsia" w:ascii="仿宋" w:hAnsi="仿宋" w:eastAsia="仿宋" w:cs="仿宋"/>
          <w:b/>
          <w:bCs/>
          <w:sz w:val="28"/>
          <w:szCs w:val="28"/>
        </w:rPr>
      </w:pPr>
      <w:r>
        <w:rPr>
          <w:rFonts w:hint="eastAsia" w:ascii="仿宋" w:hAnsi="仿宋" w:eastAsia="仿宋" w:cs="仿宋"/>
          <w:b/>
          <w:bCs/>
          <w:sz w:val="28"/>
          <w:szCs w:val="28"/>
        </w:rPr>
        <w:t>四、有关建议</w:t>
      </w:r>
    </w:p>
    <w:p w14:paraId="19156966">
      <w:pPr>
        <w:widowControl/>
        <w:spacing w:line="360" w:lineRule="auto"/>
        <w:ind w:firstLine="482" w:firstLineChars="200"/>
        <w:jc w:val="left"/>
        <w:rPr>
          <w:rFonts w:hint="eastAsia" w:ascii="仿宋" w:hAnsi="仿宋" w:eastAsia="仿宋" w:cs="仿宋"/>
          <w:b/>
          <w:bCs/>
          <w:sz w:val="24"/>
        </w:rPr>
      </w:pPr>
      <w:r>
        <w:rPr>
          <w:rFonts w:hint="eastAsia" w:ascii="仿宋" w:hAnsi="仿宋" w:eastAsia="仿宋" w:cs="仿宋"/>
          <w:b/>
          <w:bCs/>
          <w:sz w:val="24"/>
        </w:rPr>
        <w:t>（一）加强制度管理和绩效指标设定</w:t>
      </w:r>
    </w:p>
    <w:p w14:paraId="65793A1B">
      <w:pPr>
        <w:pStyle w:val="6"/>
        <w:numPr>
          <w:ilvl w:val="0"/>
          <w:numId w:val="0"/>
        </w:numPr>
        <w:tabs>
          <w:tab w:val="clear" w:pos="2040"/>
        </w:tabs>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针对评价过程中发现的绩效指标不明确、制度执行有效性不足的问题，建议项目管理部门加强制度管理的监督机制和考核体系，将支付及时率纳入项目负责人绩效考核，确保资金拨付与项目进度同步。同时规范绩效指标体系，绩效指标的设置应遵循财政部《项目支出绩效评价管理办法》的要求，参照《项目支出绩效自评表》规范设置一级指标和二级指标，三级个性化指标则根据项目自身特点设置具体可量化的指标。组织相关人员系统学习《项目支出绩效评价管理办法》，明确各类指标的定义、层级及相关权重分值的设置，科学设置指标体系。</w:t>
      </w:r>
    </w:p>
    <w:p w14:paraId="76B705A8">
      <w:pPr>
        <w:widowControl/>
        <w:spacing w:line="360" w:lineRule="auto"/>
        <w:ind w:firstLine="482" w:firstLineChars="200"/>
        <w:jc w:val="left"/>
        <w:rPr>
          <w:rFonts w:hint="eastAsia" w:ascii="仿宋" w:hAnsi="仿宋" w:eastAsia="仿宋" w:cs="仿宋"/>
          <w:b/>
          <w:bCs/>
          <w:sz w:val="24"/>
        </w:rPr>
      </w:pPr>
      <w:r>
        <w:rPr>
          <w:rFonts w:hint="eastAsia" w:ascii="仿宋" w:hAnsi="仿宋" w:eastAsia="仿宋" w:cs="仿宋"/>
          <w:b/>
          <w:bCs/>
          <w:sz w:val="24"/>
        </w:rPr>
        <w:t>（二）加强产出时效控制</w:t>
      </w:r>
    </w:p>
    <w:p w14:paraId="6660F4CA">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对项目实施过程中出现的进度滞后问题（170套设备较原计划延迟约50天验收）。建议相关管理部门建立全流程时效管控机制；在项目启动前就将验收节点明确写入合同里程碑，并配套“逾期验收扣减尾款”条款，从源头做好约束。在项目实施过程中，制定分阶段进度计划，将设备采购、安装调试、验收等环节细化至周度目标；实施“红黄绿灯”预警管理，对滞后超10天的环节自动预警并督办。同时，将“验收及时率”纳入项目负责人绩效考核，并建立验收资料预审机制，提前锁定缺项，确保项目完成后第一时间完成验收，杜绝久拖不验。</w:t>
      </w:r>
    </w:p>
    <w:p w14:paraId="309BE5D7">
      <w:pPr>
        <w:spacing w:line="360" w:lineRule="auto"/>
        <w:ind w:firstLine="482" w:firstLineChars="200"/>
        <w:jc w:val="left"/>
        <w:rPr>
          <w:rFonts w:hint="eastAsia" w:ascii="仿宋" w:hAnsi="仿宋" w:eastAsia="仿宋" w:cs="仿宋"/>
          <w:b/>
          <w:bCs/>
          <w:sz w:val="24"/>
        </w:rPr>
      </w:pPr>
      <w:r>
        <w:rPr>
          <w:rFonts w:hint="eastAsia" w:ascii="仿宋" w:hAnsi="仿宋" w:eastAsia="仿宋" w:cs="仿宋"/>
          <w:b/>
          <w:bCs/>
          <w:sz w:val="24"/>
        </w:rPr>
        <w:t>（三）保障全市基础教育的多媒体教学设备需求</w:t>
      </w:r>
    </w:p>
    <w:p w14:paraId="67CD37A1">
      <w:pPr>
        <w:pStyle w:val="6"/>
        <w:numPr>
          <w:ilvl w:val="0"/>
          <w:numId w:val="0"/>
        </w:numPr>
        <w:tabs>
          <w:tab w:val="clear" w:pos="2040"/>
        </w:tabs>
        <w:spacing w:line="360" w:lineRule="auto"/>
        <w:ind w:firstLine="480" w:firstLineChars="200"/>
        <w:rPr>
          <w:rFonts w:hint="eastAsia" w:ascii="仿宋" w:hAnsi="仿宋" w:eastAsia="仿宋" w:cs="Times New Roman"/>
          <w:sz w:val="24"/>
        </w:rPr>
      </w:pPr>
      <w:r>
        <w:rPr>
          <w:rFonts w:hint="eastAsia" w:ascii="仿宋" w:hAnsi="仿宋" w:eastAsia="仿宋" w:cs="Times New Roman"/>
          <w:sz w:val="24"/>
          <w:lang w:val="zh-CN"/>
        </w:rPr>
        <w:t>基于调查问卷的反馈，建议</w:t>
      </w:r>
      <w:r>
        <w:rPr>
          <w:rFonts w:hint="eastAsia" w:ascii="仿宋" w:hAnsi="仿宋" w:eastAsia="仿宋" w:cs="Times New Roman"/>
          <w:sz w:val="24"/>
        </w:rPr>
        <w:t>保障</w:t>
      </w:r>
      <w:r>
        <w:rPr>
          <w:rFonts w:ascii="仿宋" w:hAnsi="仿宋" w:eastAsia="仿宋" w:cs="Times New Roman"/>
          <w:sz w:val="24"/>
        </w:rPr>
        <w:t>全市</w:t>
      </w:r>
      <w:r>
        <w:rPr>
          <w:rFonts w:hint="eastAsia" w:ascii="仿宋" w:hAnsi="仿宋" w:eastAsia="仿宋" w:cs="Times New Roman"/>
          <w:sz w:val="24"/>
        </w:rPr>
        <w:t>基础教育的</w:t>
      </w:r>
      <w:r>
        <w:rPr>
          <w:rFonts w:ascii="仿宋" w:hAnsi="仿宋" w:eastAsia="仿宋" w:cs="Times New Roman"/>
          <w:sz w:val="24"/>
        </w:rPr>
        <w:t>多媒体教学设备</w:t>
      </w:r>
      <w:r>
        <w:rPr>
          <w:rFonts w:hint="eastAsia" w:ascii="仿宋" w:hAnsi="仿宋" w:eastAsia="仿宋" w:cs="Times New Roman"/>
          <w:sz w:val="24"/>
        </w:rPr>
        <w:t>需求</w:t>
      </w:r>
      <w:r>
        <w:rPr>
          <w:rFonts w:hint="eastAsia" w:ascii="仿宋" w:hAnsi="仿宋" w:eastAsia="仿宋" w:cs="Times New Roman"/>
          <w:sz w:val="24"/>
          <w:lang w:val="zh-CN"/>
        </w:rPr>
        <w:t>，</w:t>
      </w:r>
      <w:r>
        <w:rPr>
          <w:rFonts w:ascii="仿宋" w:hAnsi="仿宋" w:eastAsia="仿宋" w:cs="Times New Roman"/>
          <w:sz w:val="24"/>
        </w:rPr>
        <w:t>补齐新增班级、专用教室和报废设备的缺口，提高设备覆盖率；同时定期开展</w:t>
      </w:r>
      <w:r>
        <w:rPr>
          <w:rFonts w:hint="eastAsia" w:ascii="仿宋" w:hAnsi="仿宋" w:eastAsia="仿宋" w:cs="Times New Roman"/>
          <w:sz w:val="24"/>
        </w:rPr>
        <w:t>组织</w:t>
      </w:r>
      <w:r>
        <w:rPr>
          <w:rFonts w:ascii="仿宋" w:hAnsi="仿宋" w:eastAsia="仿宋" w:cs="Times New Roman"/>
          <w:sz w:val="24"/>
        </w:rPr>
        <w:t>培训，每学期组织不少于2次校级信息管理员和学科教师混合式培训，内容涵盖设备日常维护、学科软件深度应用及网络安全管理，确保教师</w:t>
      </w:r>
      <w:r>
        <w:rPr>
          <w:rFonts w:hint="eastAsia" w:ascii="仿宋" w:hAnsi="仿宋" w:eastAsia="仿宋" w:cs="Times New Roman"/>
          <w:sz w:val="24"/>
        </w:rPr>
        <w:t>“</w:t>
      </w:r>
      <w:r>
        <w:rPr>
          <w:rFonts w:ascii="仿宋" w:hAnsi="仿宋" w:eastAsia="仿宋" w:cs="Times New Roman"/>
          <w:sz w:val="24"/>
        </w:rPr>
        <w:t>会用、善用</w:t>
      </w:r>
      <w:r>
        <w:rPr>
          <w:rFonts w:hint="eastAsia" w:ascii="仿宋" w:hAnsi="仿宋" w:eastAsia="仿宋" w:cs="Times New Roman"/>
          <w:sz w:val="24"/>
        </w:rPr>
        <w:t>”，</w:t>
      </w:r>
      <w:r>
        <w:rPr>
          <w:rFonts w:ascii="仿宋" w:hAnsi="仿宋" w:eastAsia="仿宋" w:cs="Times New Roman"/>
          <w:sz w:val="24"/>
        </w:rPr>
        <w:t>故障</w:t>
      </w:r>
      <w:r>
        <w:rPr>
          <w:rFonts w:hint="eastAsia" w:ascii="仿宋" w:hAnsi="仿宋" w:eastAsia="仿宋" w:cs="Times New Roman"/>
          <w:sz w:val="24"/>
        </w:rPr>
        <w:t>“</w:t>
      </w:r>
      <w:r>
        <w:rPr>
          <w:rFonts w:ascii="仿宋" w:hAnsi="仿宋" w:eastAsia="仿宋" w:cs="Times New Roman"/>
          <w:sz w:val="24"/>
        </w:rPr>
        <w:t>早发现、快处理</w:t>
      </w:r>
      <w:r>
        <w:rPr>
          <w:rFonts w:hint="eastAsia" w:ascii="仿宋" w:hAnsi="仿宋" w:eastAsia="仿宋" w:cs="Times New Roman"/>
          <w:sz w:val="24"/>
        </w:rPr>
        <w:t>”。以达到提高设备使用效率，缩短设备故障响应时间</w:t>
      </w:r>
      <w:r>
        <w:rPr>
          <w:rFonts w:ascii="仿宋" w:hAnsi="仿宋" w:eastAsia="仿宋" w:cs="Times New Roman"/>
          <w:sz w:val="24"/>
        </w:rPr>
        <w:t>。</w:t>
      </w:r>
      <w:r>
        <w:rPr>
          <w:rFonts w:hint="eastAsia" w:ascii="仿宋" w:hAnsi="仿宋" w:eastAsia="仿宋" w:cs="Times New Roman"/>
          <w:sz w:val="24"/>
        </w:rPr>
        <w:t>完善反馈机制，通过线上问卷、教师座谈会等多种渠道广泛收集意见，提升项目透明度和公众参与度，积极回应教师群体对“全覆盖、快响应、易使用”的需求和建议，持续提高公众满意度。</w:t>
      </w:r>
      <w:r>
        <w:rPr>
          <w:rFonts w:ascii="仿宋" w:hAnsi="仿宋" w:eastAsia="仿宋" w:cs="Times New Roman"/>
          <w:sz w:val="24"/>
        </w:rPr>
        <w:t>针对教学设备配置过高的问题，根据《福建省小学教育技术装备标准》及《福建省初中教育技术装备标准》（闽教规〔2022〕2号）的规定，普通教学教室多媒体设备应满足以下基础配置要求：显示设备可从交互式一体机、平板电视+计算机、超短焦投影机+电子白板+计算机、液晶投影机+银幕+计算机四种模式中任选（除第四种外均需具备健康护眼功能）</w:t>
      </w:r>
      <w:r>
        <w:rPr>
          <w:rFonts w:hint="eastAsia" w:ascii="仿宋" w:hAnsi="仿宋" w:eastAsia="仿宋" w:cs="Times New Roman"/>
          <w:sz w:val="24"/>
        </w:rPr>
        <w:t>；</w:t>
      </w:r>
      <w:r>
        <w:rPr>
          <w:rFonts w:ascii="仿宋" w:hAnsi="仿宋" w:eastAsia="仿宋" w:cs="Times New Roman"/>
          <w:sz w:val="24"/>
        </w:rPr>
        <w:t>必须配置预装教学软件的计算机</w:t>
      </w:r>
      <w:r>
        <w:rPr>
          <w:rFonts w:hint="eastAsia" w:ascii="仿宋" w:hAnsi="仿宋" w:eastAsia="仿宋" w:cs="Times New Roman"/>
          <w:sz w:val="24"/>
        </w:rPr>
        <w:t>；</w:t>
      </w:r>
      <w:r>
        <w:rPr>
          <w:rFonts w:ascii="仿宋" w:hAnsi="仿宋" w:eastAsia="仿宋" w:cs="Times New Roman"/>
          <w:sz w:val="24"/>
        </w:rPr>
        <w:t>选配视频展示设备；配备≥30W音响系统及有线/无线话筒；配置集成多种接口的中央控制系统</w:t>
      </w:r>
      <w:r>
        <w:rPr>
          <w:rFonts w:hint="eastAsia" w:ascii="仿宋" w:hAnsi="仿宋" w:eastAsia="仿宋" w:cs="Times New Roman"/>
          <w:sz w:val="24"/>
        </w:rPr>
        <w:t>；</w:t>
      </w:r>
      <w:r>
        <w:rPr>
          <w:rFonts w:ascii="仿宋" w:hAnsi="仿宋" w:eastAsia="仿宋" w:cs="Times New Roman"/>
          <w:sz w:val="24"/>
        </w:rPr>
        <w:t>提供≥100Mbps网络接入。在完全满足上述标准的前提下，建议优先考虑基础款设备，如希沃RC75EA触控一体机（晋江市龙湖镇中心学校2024年采购中标价17,800元/套），按现有469.336万元预算可采购约263套，较原方案（238套）增加25套，基于此，</w:t>
      </w:r>
      <w:r>
        <w:rPr>
          <w:rFonts w:hint="eastAsia" w:ascii="仿宋" w:hAnsi="仿宋" w:eastAsia="仿宋" w:cs="Times New Roman"/>
          <w:sz w:val="24"/>
        </w:rPr>
        <w:t>建议未来在采购相关设备时应建立需求论证机制，结合教学场景优化配置标准，避免盲目追求高配，确保设备功能与教学实际紧密匹配。</w:t>
      </w:r>
    </w:p>
    <w:p w14:paraId="3D798DE9">
      <w:pPr>
        <w:widowControl/>
        <w:spacing w:line="360" w:lineRule="auto"/>
        <w:ind w:firstLine="482" w:firstLineChars="200"/>
        <w:jc w:val="left"/>
        <w:rPr>
          <w:rFonts w:hint="eastAsia" w:ascii="仿宋" w:hAnsi="仿宋" w:eastAsia="仿宋" w:cs="仿宋"/>
          <w:b/>
          <w:bCs/>
          <w:sz w:val="24"/>
        </w:rPr>
      </w:pPr>
    </w:p>
    <w:p w14:paraId="6E51B37C">
      <w:pPr>
        <w:pStyle w:val="6"/>
        <w:numPr>
          <w:ilvl w:val="0"/>
          <w:numId w:val="0"/>
        </w:numPr>
        <w:tabs>
          <w:tab w:val="clear" w:pos="2040"/>
        </w:tabs>
        <w:spacing w:line="360" w:lineRule="auto"/>
        <w:ind w:firstLine="480" w:firstLineChars="200"/>
        <w:rPr>
          <w:rFonts w:hint="eastAsia" w:ascii="仿宋" w:hAnsi="仿宋" w:eastAsia="仿宋" w:cs="Times New Roman"/>
          <w:sz w:val="24"/>
        </w:rPr>
      </w:pPr>
    </w:p>
    <w:p w14:paraId="46DC031D">
      <w:pPr>
        <w:widowControl/>
        <w:jc w:val="left"/>
        <w:rPr>
          <w:rFonts w:hint="eastAsia" w:ascii="仿宋" w:hAnsi="仿宋" w:eastAsia="仿宋" w:cs="仿宋"/>
          <w:b/>
          <w:bCs/>
          <w:sz w:val="28"/>
          <w:szCs w:val="28"/>
        </w:rPr>
      </w:pPr>
      <w:r>
        <w:rPr>
          <w:rFonts w:hint="eastAsia" w:ascii="仿宋" w:hAnsi="仿宋" w:eastAsia="仿宋" w:cs="仿宋"/>
          <w:b/>
          <w:bCs/>
          <w:sz w:val="28"/>
          <w:szCs w:val="28"/>
        </w:rPr>
        <w:br w:type="page"/>
      </w:r>
    </w:p>
    <w:p w14:paraId="01705165">
      <w:pPr>
        <w:pStyle w:val="11"/>
        <w:tabs>
          <w:tab w:val="right" w:leader="dot" w:pos="8788"/>
        </w:tabs>
        <w:jc w:val="center"/>
        <w:rPr>
          <w:rFonts w:hint="eastAsia" w:ascii="仿宋" w:hAnsi="仿宋" w:eastAsia="仿宋" w:cs="仿宋"/>
          <w:sz w:val="28"/>
          <w:szCs w:val="28"/>
        </w:rPr>
      </w:pPr>
      <w:r>
        <w:rPr>
          <w:rFonts w:hint="eastAsia" w:ascii="仿宋" w:hAnsi="仿宋" w:eastAsia="仿宋" w:cs="仿宋"/>
          <w:b/>
          <w:bCs/>
          <w:sz w:val="28"/>
          <w:szCs w:val="28"/>
        </w:rPr>
        <w:t>目  录</w:t>
      </w:r>
    </w:p>
    <w:p w14:paraId="4CEF4BB5"/>
    <w:p w14:paraId="13384B8E">
      <w:pPr>
        <w:pStyle w:val="11"/>
        <w:tabs>
          <w:tab w:val="right" w:leader="dot" w:pos="9060"/>
        </w:tabs>
        <w:rPr>
          <w:rFonts w:hint="eastAsia" w:ascii="仿宋" w:hAnsi="仿宋" w:eastAsia="仿宋"/>
          <w:sz w:val="24"/>
          <w14:ligatures w14:val="standardContextual"/>
        </w:rPr>
      </w:pPr>
      <w:r>
        <w:rPr>
          <w:rFonts w:ascii="仿宋" w:hAnsi="仿宋" w:eastAsia="仿宋"/>
          <w:sz w:val="24"/>
        </w:rPr>
        <w:fldChar w:fldCharType="begin"/>
      </w:r>
      <w:r>
        <w:rPr>
          <w:rFonts w:ascii="仿宋" w:hAnsi="仿宋" w:eastAsia="仿宋"/>
          <w:sz w:val="24"/>
        </w:rPr>
        <w:instrText xml:space="preserve"> TOC \o "1-2" \h \u </w:instrText>
      </w:r>
      <w:r>
        <w:rPr>
          <w:rFonts w:ascii="仿宋" w:hAnsi="仿宋" w:eastAsia="仿宋"/>
          <w:sz w:val="24"/>
        </w:rPr>
        <w:fldChar w:fldCharType="separate"/>
      </w:r>
      <w:r>
        <w:fldChar w:fldCharType="begin"/>
      </w:r>
      <w:r>
        <w:instrText xml:space="preserve"> HYPERLINK \l "_Toc205940230" </w:instrText>
      </w:r>
      <w:r>
        <w:fldChar w:fldCharType="separate"/>
      </w:r>
      <w:r>
        <w:rPr>
          <w:rStyle w:val="17"/>
          <w:rFonts w:hint="eastAsia" w:ascii="仿宋" w:hAnsi="仿宋" w:eastAsia="仿宋" w:cs="仿宋"/>
          <w:sz w:val="24"/>
        </w:rPr>
        <w:t>一、基本情况</w:t>
      </w:r>
      <w:r>
        <w:rPr>
          <w:rFonts w:hint="eastAsia" w:ascii="仿宋" w:hAnsi="仿宋" w:eastAsia="仿宋"/>
          <w:sz w:val="24"/>
        </w:rPr>
        <w:tab/>
      </w:r>
      <w:r>
        <w:rPr>
          <w:rFonts w:hint="eastAsia" w:ascii="仿宋" w:hAnsi="仿宋" w:eastAsia="仿宋"/>
          <w:sz w:val="24"/>
        </w:rPr>
        <w:fldChar w:fldCharType="begin"/>
      </w:r>
      <w:r>
        <w:rPr>
          <w:rFonts w:hint="eastAsia" w:ascii="仿宋" w:hAnsi="仿宋" w:eastAsia="仿宋"/>
          <w:sz w:val="24"/>
        </w:rPr>
        <w:instrText xml:space="preserve"> </w:instrText>
      </w:r>
      <w:r>
        <w:rPr>
          <w:rFonts w:ascii="仿宋" w:hAnsi="仿宋" w:eastAsia="仿宋"/>
          <w:sz w:val="24"/>
        </w:rPr>
        <w:instrText xml:space="preserve">PAGEREF _Toc205940230 \h</w:instrText>
      </w:r>
      <w:r>
        <w:rPr>
          <w:rFonts w:hint="eastAsia" w:ascii="仿宋" w:hAnsi="仿宋" w:eastAsia="仿宋"/>
          <w:sz w:val="24"/>
        </w:rPr>
        <w:instrText xml:space="preserve"> </w:instrText>
      </w:r>
      <w:r>
        <w:rPr>
          <w:rFonts w:hint="eastAsia" w:ascii="仿宋" w:hAnsi="仿宋" w:eastAsia="仿宋"/>
          <w:sz w:val="24"/>
        </w:rPr>
        <w:fldChar w:fldCharType="separate"/>
      </w:r>
      <w:r>
        <w:rPr>
          <w:rFonts w:ascii="仿宋" w:hAnsi="仿宋" w:eastAsia="仿宋"/>
          <w:sz w:val="24"/>
        </w:rPr>
        <w:t>1</w:t>
      </w:r>
      <w:r>
        <w:rPr>
          <w:rFonts w:hint="eastAsia" w:ascii="仿宋" w:hAnsi="仿宋" w:eastAsia="仿宋"/>
          <w:sz w:val="24"/>
        </w:rPr>
        <w:fldChar w:fldCharType="end"/>
      </w:r>
      <w:r>
        <w:rPr>
          <w:rFonts w:hint="eastAsia" w:ascii="仿宋" w:hAnsi="仿宋" w:eastAsia="仿宋"/>
          <w:sz w:val="24"/>
        </w:rPr>
        <w:fldChar w:fldCharType="end"/>
      </w:r>
    </w:p>
    <w:p w14:paraId="71B73BA2">
      <w:pPr>
        <w:pStyle w:val="12"/>
        <w:tabs>
          <w:tab w:val="right" w:leader="dot" w:pos="9060"/>
        </w:tabs>
        <w:rPr>
          <w:rFonts w:hint="eastAsia" w:ascii="仿宋" w:hAnsi="仿宋" w:eastAsia="仿宋"/>
          <w:sz w:val="24"/>
          <w14:ligatures w14:val="standardContextual"/>
        </w:rPr>
      </w:pPr>
      <w:r>
        <w:fldChar w:fldCharType="begin"/>
      </w:r>
      <w:r>
        <w:instrText xml:space="preserve"> HYPERLINK \l "_Toc205940231" </w:instrText>
      </w:r>
      <w:r>
        <w:fldChar w:fldCharType="separate"/>
      </w:r>
      <w:r>
        <w:rPr>
          <w:rStyle w:val="17"/>
          <w:rFonts w:hint="eastAsia" w:ascii="仿宋" w:hAnsi="仿宋" w:eastAsia="仿宋" w:cs="Times New Roman"/>
          <w:sz w:val="24"/>
        </w:rPr>
        <w:t>（一）项目概况</w:t>
      </w:r>
      <w:r>
        <w:rPr>
          <w:rFonts w:hint="eastAsia" w:ascii="仿宋" w:hAnsi="仿宋" w:eastAsia="仿宋"/>
          <w:sz w:val="24"/>
        </w:rPr>
        <w:tab/>
      </w:r>
      <w:r>
        <w:rPr>
          <w:rFonts w:hint="eastAsia" w:ascii="仿宋" w:hAnsi="仿宋" w:eastAsia="仿宋"/>
          <w:sz w:val="24"/>
        </w:rPr>
        <w:fldChar w:fldCharType="begin"/>
      </w:r>
      <w:r>
        <w:rPr>
          <w:rFonts w:hint="eastAsia" w:ascii="仿宋" w:hAnsi="仿宋" w:eastAsia="仿宋"/>
          <w:sz w:val="24"/>
        </w:rPr>
        <w:instrText xml:space="preserve"> </w:instrText>
      </w:r>
      <w:r>
        <w:rPr>
          <w:rFonts w:ascii="仿宋" w:hAnsi="仿宋" w:eastAsia="仿宋"/>
          <w:sz w:val="24"/>
        </w:rPr>
        <w:instrText xml:space="preserve">PAGEREF _Toc205940231 \h</w:instrText>
      </w:r>
      <w:r>
        <w:rPr>
          <w:rFonts w:hint="eastAsia" w:ascii="仿宋" w:hAnsi="仿宋" w:eastAsia="仿宋"/>
          <w:sz w:val="24"/>
        </w:rPr>
        <w:instrText xml:space="preserve"> </w:instrText>
      </w:r>
      <w:r>
        <w:rPr>
          <w:rFonts w:hint="eastAsia" w:ascii="仿宋" w:hAnsi="仿宋" w:eastAsia="仿宋"/>
          <w:sz w:val="24"/>
        </w:rPr>
        <w:fldChar w:fldCharType="separate"/>
      </w:r>
      <w:r>
        <w:rPr>
          <w:rFonts w:ascii="仿宋" w:hAnsi="仿宋" w:eastAsia="仿宋"/>
          <w:sz w:val="24"/>
        </w:rPr>
        <w:t>1</w:t>
      </w:r>
      <w:r>
        <w:rPr>
          <w:rFonts w:hint="eastAsia" w:ascii="仿宋" w:hAnsi="仿宋" w:eastAsia="仿宋"/>
          <w:sz w:val="24"/>
        </w:rPr>
        <w:fldChar w:fldCharType="end"/>
      </w:r>
      <w:r>
        <w:rPr>
          <w:rFonts w:hint="eastAsia" w:ascii="仿宋" w:hAnsi="仿宋" w:eastAsia="仿宋"/>
          <w:sz w:val="24"/>
        </w:rPr>
        <w:fldChar w:fldCharType="end"/>
      </w:r>
    </w:p>
    <w:p w14:paraId="1D77A6C5">
      <w:pPr>
        <w:pStyle w:val="12"/>
        <w:tabs>
          <w:tab w:val="right" w:leader="dot" w:pos="9060"/>
        </w:tabs>
        <w:rPr>
          <w:rFonts w:hint="eastAsia" w:ascii="仿宋" w:hAnsi="仿宋" w:eastAsia="仿宋"/>
          <w:sz w:val="24"/>
          <w14:ligatures w14:val="standardContextual"/>
        </w:rPr>
      </w:pPr>
      <w:r>
        <w:fldChar w:fldCharType="begin"/>
      </w:r>
      <w:r>
        <w:instrText xml:space="preserve"> HYPERLINK \l "_Toc205940232" </w:instrText>
      </w:r>
      <w:r>
        <w:fldChar w:fldCharType="separate"/>
      </w:r>
      <w:r>
        <w:rPr>
          <w:rStyle w:val="17"/>
          <w:rFonts w:hint="eastAsia" w:ascii="仿宋" w:hAnsi="仿宋" w:eastAsia="仿宋" w:cs="Times New Roman"/>
          <w:sz w:val="24"/>
        </w:rPr>
        <w:t>（二）项目绩效目标</w:t>
      </w:r>
      <w:r>
        <w:rPr>
          <w:rFonts w:hint="eastAsia" w:ascii="仿宋" w:hAnsi="仿宋" w:eastAsia="仿宋"/>
          <w:sz w:val="24"/>
        </w:rPr>
        <w:tab/>
      </w:r>
      <w:r>
        <w:rPr>
          <w:rFonts w:hint="eastAsia" w:ascii="仿宋" w:hAnsi="仿宋" w:eastAsia="仿宋"/>
          <w:sz w:val="24"/>
        </w:rPr>
        <w:fldChar w:fldCharType="begin"/>
      </w:r>
      <w:r>
        <w:rPr>
          <w:rFonts w:hint="eastAsia" w:ascii="仿宋" w:hAnsi="仿宋" w:eastAsia="仿宋"/>
          <w:sz w:val="24"/>
        </w:rPr>
        <w:instrText xml:space="preserve"> </w:instrText>
      </w:r>
      <w:r>
        <w:rPr>
          <w:rFonts w:ascii="仿宋" w:hAnsi="仿宋" w:eastAsia="仿宋"/>
          <w:sz w:val="24"/>
        </w:rPr>
        <w:instrText xml:space="preserve">PAGEREF _Toc205940232 \h</w:instrText>
      </w:r>
      <w:r>
        <w:rPr>
          <w:rFonts w:hint="eastAsia" w:ascii="仿宋" w:hAnsi="仿宋" w:eastAsia="仿宋"/>
          <w:sz w:val="24"/>
        </w:rPr>
        <w:instrText xml:space="preserve"> </w:instrText>
      </w:r>
      <w:r>
        <w:rPr>
          <w:rFonts w:hint="eastAsia" w:ascii="仿宋" w:hAnsi="仿宋" w:eastAsia="仿宋"/>
          <w:sz w:val="24"/>
        </w:rPr>
        <w:fldChar w:fldCharType="separate"/>
      </w:r>
      <w:r>
        <w:rPr>
          <w:rFonts w:ascii="仿宋" w:hAnsi="仿宋" w:eastAsia="仿宋"/>
          <w:sz w:val="24"/>
        </w:rPr>
        <w:t>4</w:t>
      </w:r>
      <w:r>
        <w:rPr>
          <w:rFonts w:hint="eastAsia" w:ascii="仿宋" w:hAnsi="仿宋" w:eastAsia="仿宋"/>
          <w:sz w:val="24"/>
        </w:rPr>
        <w:fldChar w:fldCharType="end"/>
      </w:r>
      <w:r>
        <w:rPr>
          <w:rFonts w:hint="eastAsia" w:ascii="仿宋" w:hAnsi="仿宋" w:eastAsia="仿宋"/>
          <w:sz w:val="24"/>
        </w:rPr>
        <w:fldChar w:fldCharType="end"/>
      </w:r>
    </w:p>
    <w:p w14:paraId="1245A338">
      <w:pPr>
        <w:pStyle w:val="11"/>
        <w:tabs>
          <w:tab w:val="right" w:leader="dot" w:pos="9060"/>
        </w:tabs>
        <w:rPr>
          <w:rFonts w:hint="eastAsia" w:ascii="仿宋" w:hAnsi="仿宋" w:eastAsia="仿宋"/>
          <w:sz w:val="24"/>
          <w14:ligatures w14:val="standardContextual"/>
        </w:rPr>
      </w:pPr>
      <w:r>
        <w:fldChar w:fldCharType="begin"/>
      </w:r>
      <w:r>
        <w:instrText xml:space="preserve"> HYPERLINK \l "_Toc205940233" </w:instrText>
      </w:r>
      <w:r>
        <w:fldChar w:fldCharType="separate"/>
      </w:r>
      <w:r>
        <w:rPr>
          <w:rStyle w:val="17"/>
          <w:rFonts w:hint="eastAsia" w:ascii="仿宋" w:hAnsi="仿宋" w:eastAsia="仿宋" w:cs="仿宋"/>
          <w:sz w:val="24"/>
        </w:rPr>
        <w:t>二、绩效评价工作开展情况</w:t>
      </w:r>
      <w:r>
        <w:rPr>
          <w:rFonts w:hint="eastAsia" w:ascii="仿宋" w:hAnsi="仿宋" w:eastAsia="仿宋"/>
          <w:sz w:val="24"/>
        </w:rPr>
        <w:tab/>
      </w:r>
      <w:r>
        <w:rPr>
          <w:rFonts w:hint="eastAsia" w:ascii="仿宋" w:hAnsi="仿宋" w:eastAsia="仿宋"/>
          <w:sz w:val="24"/>
        </w:rPr>
        <w:fldChar w:fldCharType="begin"/>
      </w:r>
      <w:r>
        <w:rPr>
          <w:rFonts w:hint="eastAsia" w:ascii="仿宋" w:hAnsi="仿宋" w:eastAsia="仿宋"/>
          <w:sz w:val="24"/>
        </w:rPr>
        <w:instrText xml:space="preserve"> </w:instrText>
      </w:r>
      <w:r>
        <w:rPr>
          <w:rFonts w:ascii="仿宋" w:hAnsi="仿宋" w:eastAsia="仿宋"/>
          <w:sz w:val="24"/>
        </w:rPr>
        <w:instrText xml:space="preserve">PAGEREF _Toc205940233 \h</w:instrText>
      </w:r>
      <w:r>
        <w:rPr>
          <w:rFonts w:hint="eastAsia" w:ascii="仿宋" w:hAnsi="仿宋" w:eastAsia="仿宋"/>
          <w:sz w:val="24"/>
        </w:rPr>
        <w:instrText xml:space="preserve"> </w:instrText>
      </w:r>
      <w:r>
        <w:rPr>
          <w:rFonts w:hint="eastAsia" w:ascii="仿宋" w:hAnsi="仿宋" w:eastAsia="仿宋"/>
          <w:sz w:val="24"/>
        </w:rPr>
        <w:fldChar w:fldCharType="separate"/>
      </w:r>
      <w:r>
        <w:rPr>
          <w:rFonts w:ascii="仿宋" w:hAnsi="仿宋" w:eastAsia="仿宋"/>
          <w:sz w:val="24"/>
        </w:rPr>
        <w:t>4</w:t>
      </w:r>
      <w:r>
        <w:rPr>
          <w:rFonts w:hint="eastAsia" w:ascii="仿宋" w:hAnsi="仿宋" w:eastAsia="仿宋"/>
          <w:sz w:val="24"/>
        </w:rPr>
        <w:fldChar w:fldCharType="end"/>
      </w:r>
      <w:r>
        <w:rPr>
          <w:rFonts w:hint="eastAsia" w:ascii="仿宋" w:hAnsi="仿宋" w:eastAsia="仿宋"/>
          <w:sz w:val="24"/>
        </w:rPr>
        <w:fldChar w:fldCharType="end"/>
      </w:r>
    </w:p>
    <w:p w14:paraId="1493520B">
      <w:pPr>
        <w:pStyle w:val="12"/>
        <w:tabs>
          <w:tab w:val="right" w:leader="dot" w:pos="9060"/>
        </w:tabs>
        <w:rPr>
          <w:rFonts w:hint="eastAsia" w:ascii="仿宋" w:hAnsi="仿宋" w:eastAsia="仿宋"/>
          <w:sz w:val="24"/>
          <w14:ligatures w14:val="standardContextual"/>
        </w:rPr>
      </w:pPr>
      <w:r>
        <w:fldChar w:fldCharType="begin"/>
      </w:r>
      <w:r>
        <w:instrText xml:space="preserve"> HYPERLINK \l "_Toc205940234" </w:instrText>
      </w:r>
      <w:r>
        <w:fldChar w:fldCharType="separate"/>
      </w:r>
      <w:r>
        <w:rPr>
          <w:rStyle w:val="17"/>
          <w:rFonts w:hint="eastAsia" w:ascii="仿宋" w:hAnsi="仿宋" w:eastAsia="仿宋" w:cs="Times New Roman"/>
          <w:sz w:val="24"/>
        </w:rPr>
        <w:t>（一）绩效评价目的、对象和范围</w:t>
      </w:r>
      <w:r>
        <w:rPr>
          <w:rFonts w:hint="eastAsia" w:ascii="仿宋" w:hAnsi="仿宋" w:eastAsia="仿宋"/>
          <w:sz w:val="24"/>
        </w:rPr>
        <w:tab/>
      </w:r>
      <w:r>
        <w:rPr>
          <w:rFonts w:hint="eastAsia" w:ascii="仿宋" w:hAnsi="仿宋" w:eastAsia="仿宋"/>
          <w:sz w:val="24"/>
        </w:rPr>
        <w:fldChar w:fldCharType="begin"/>
      </w:r>
      <w:r>
        <w:rPr>
          <w:rFonts w:hint="eastAsia" w:ascii="仿宋" w:hAnsi="仿宋" w:eastAsia="仿宋"/>
          <w:sz w:val="24"/>
        </w:rPr>
        <w:instrText xml:space="preserve"> </w:instrText>
      </w:r>
      <w:r>
        <w:rPr>
          <w:rFonts w:ascii="仿宋" w:hAnsi="仿宋" w:eastAsia="仿宋"/>
          <w:sz w:val="24"/>
        </w:rPr>
        <w:instrText xml:space="preserve">PAGEREF _Toc205940234 \h</w:instrText>
      </w:r>
      <w:r>
        <w:rPr>
          <w:rFonts w:hint="eastAsia" w:ascii="仿宋" w:hAnsi="仿宋" w:eastAsia="仿宋"/>
          <w:sz w:val="24"/>
        </w:rPr>
        <w:instrText xml:space="preserve"> </w:instrText>
      </w:r>
      <w:r>
        <w:rPr>
          <w:rFonts w:hint="eastAsia" w:ascii="仿宋" w:hAnsi="仿宋" w:eastAsia="仿宋"/>
          <w:sz w:val="24"/>
        </w:rPr>
        <w:fldChar w:fldCharType="separate"/>
      </w:r>
      <w:r>
        <w:rPr>
          <w:rFonts w:ascii="仿宋" w:hAnsi="仿宋" w:eastAsia="仿宋"/>
          <w:sz w:val="24"/>
        </w:rPr>
        <w:t>4</w:t>
      </w:r>
      <w:r>
        <w:rPr>
          <w:rFonts w:hint="eastAsia" w:ascii="仿宋" w:hAnsi="仿宋" w:eastAsia="仿宋"/>
          <w:sz w:val="24"/>
        </w:rPr>
        <w:fldChar w:fldCharType="end"/>
      </w:r>
      <w:r>
        <w:rPr>
          <w:rFonts w:hint="eastAsia" w:ascii="仿宋" w:hAnsi="仿宋" w:eastAsia="仿宋"/>
          <w:sz w:val="24"/>
        </w:rPr>
        <w:fldChar w:fldCharType="end"/>
      </w:r>
    </w:p>
    <w:p w14:paraId="72BF3A66">
      <w:pPr>
        <w:pStyle w:val="12"/>
        <w:tabs>
          <w:tab w:val="right" w:leader="dot" w:pos="9060"/>
        </w:tabs>
        <w:rPr>
          <w:rFonts w:hint="eastAsia" w:ascii="仿宋" w:hAnsi="仿宋" w:eastAsia="仿宋"/>
          <w:sz w:val="24"/>
          <w14:ligatures w14:val="standardContextual"/>
        </w:rPr>
      </w:pPr>
      <w:r>
        <w:fldChar w:fldCharType="begin"/>
      </w:r>
      <w:r>
        <w:instrText xml:space="preserve"> HYPERLINK \l "_Toc205940235" </w:instrText>
      </w:r>
      <w:r>
        <w:fldChar w:fldCharType="separate"/>
      </w:r>
      <w:r>
        <w:rPr>
          <w:rStyle w:val="17"/>
          <w:rFonts w:hint="eastAsia" w:ascii="仿宋" w:hAnsi="仿宋" w:eastAsia="仿宋" w:cs="Times New Roman"/>
          <w:sz w:val="24"/>
        </w:rPr>
        <w:t>（二）绩效评价原则、评价指标体系、评价方法、评价标准</w:t>
      </w:r>
      <w:r>
        <w:rPr>
          <w:rFonts w:hint="eastAsia" w:ascii="仿宋" w:hAnsi="仿宋" w:eastAsia="仿宋"/>
          <w:sz w:val="24"/>
        </w:rPr>
        <w:tab/>
      </w:r>
      <w:r>
        <w:rPr>
          <w:rFonts w:hint="eastAsia" w:ascii="仿宋" w:hAnsi="仿宋" w:eastAsia="仿宋"/>
          <w:sz w:val="24"/>
        </w:rPr>
        <w:fldChar w:fldCharType="begin"/>
      </w:r>
      <w:r>
        <w:rPr>
          <w:rFonts w:hint="eastAsia" w:ascii="仿宋" w:hAnsi="仿宋" w:eastAsia="仿宋"/>
          <w:sz w:val="24"/>
        </w:rPr>
        <w:instrText xml:space="preserve"> </w:instrText>
      </w:r>
      <w:r>
        <w:rPr>
          <w:rFonts w:ascii="仿宋" w:hAnsi="仿宋" w:eastAsia="仿宋"/>
          <w:sz w:val="24"/>
        </w:rPr>
        <w:instrText xml:space="preserve">PAGEREF _Toc205940235 \h</w:instrText>
      </w:r>
      <w:r>
        <w:rPr>
          <w:rFonts w:hint="eastAsia" w:ascii="仿宋" w:hAnsi="仿宋" w:eastAsia="仿宋"/>
          <w:sz w:val="24"/>
        </w:rPr>
        <w:instrText xml:space="preserve"> </w:instrText>
      </w:r>
      <w:r>
        <w:rPr>
          <w:rFonts w:hint="eastAsia" w:ascii="仿宋" w:hAnsi="仿宋" w:eastAsia="仿宋"/>
          <w:sz w:val="24"/>
        </w:rPr>
        <w:fldChar w:fldCharType="separate"/>
      </w:r>
      <w:r>
        <w:rPr>
          <w:rFonts w:ascii="仿宋" w:hAnsi="仿宋" w:eastAsia="仿宋"/>
          <w:sz w:val="24"/>
        </w:rPr>
        <w:t>5</w:t>
      </w:r>
      <w:r>
        <w:rPr>
          <w:rFonts w:hint="eastAsia" w:ascii="仿宋" w:hAnsi="仿宋" w:eastAsia="仿宋"/>
          <w:sz w:val="24"/>
        </w:rPr>
        <w:fldChar w:fldCharType="end"/>
      </w:r>
      <w:r>
        <w:rPr>
          <w:rFonts w:hint="eastAsia" w:ascii="仿宋" w:hAnsi="仿宋" w:eastAsia="仿宋"/>
          <w:sz w:val="24"/>
        </w:rPr>
        <w:fldChar w:fldCharType="end"/>
      </w:r>
    </w:p>
    <w:p w14:paraId="2D30430E">
      <w:pPr>
        <w:pStyle w:val="11"/>
        <w:tabs>
          <w:tab w:val="right" w:leader="dot" w:pos="9060"/>
        </w:tabs>
        <w:rPr>
          <w:rFonts w:hint="eastAsia" w:ascii="仿宋" w:hAnsi="仿宋" w:eastAsia="仿宋"/>
          <w:sz w:val="24"/>
          <w14:ligatures w14:val="standardContextual"/>
        </w:rPr>
      </w:pPr>
      <w:r>
        <w:fldChar w:fldCharType="begin"/>
      </w:r>
      <w:r>
        <w:instrText xml:space="preserve"> HYPERLINK \l "_Toc205940236" </w:instrText>
      </w:r>
      <w:r>
        <w:fldChar w:fldCharType="separate"/>
      </w:r>
      <w:r>
        <w:rPr>
          <w:rStyle w:val="17"/>
          <w:rFonts w:hint="eastAsia" w:ascii="仿宋" w:hAnsi="仿宋" w:eastAsia="仿宋" w:cs="仿宋"/>
          <w:sz w:val="24"/>
          <w:lang w:val="zh-CN"/>
        </w:rPr>
        <w:t>三、综合评价情况及评价结论</w:t>
      </w:r>
      <w:r>
        <w:rPr>
          <w:rFonts w:hint="eastAsia" w:ascii="仿宋" w:hAnsi="仿宋" w:eastAsia="仿宋"/>
          <w:sz w:val="24"/>
        </w:rPr>
        <w:tab/>
      </w:r>
      <w:r>
        <w:rPr>
          <w:rFonts w:hint="eastAsia" w:ascii="仿宋" w:hAnsi="仿宋" w:eastAsia="仿宋"/>
          <w:sz w:val="24"/>
        </w:rPr>
        <w:fldChar w:fldCharType="begin"/>
      </w:r>
      <w:r>
        <w:rPr>
          <w:rFonts w:hint="eastAsia" w:ascii="仿宋" w:hAnsi="仿宋" w:eastAsia="仿宋"/>
          <w:sz w:val="24"/>
        </w:rPr>
        <w:instrText xml:space="preserve"> </w:instrText>
      </w:r>
      <w:r>
        <w:rPr>
          <w:rFonts w:ascii="仿宋" w:hAnsi="仿宋" w:eastAsia="仿宋"/>
          <w:sz w:val="24"/>
        </w:rPr>
        <w:instrText xml:space="preserve">PAGEREF _Toc205940236 \h</w:instrText>
      </w:r>
      <w:r>
        <w:rPr>
          <w:rFonts w:hint="eastAsia" w:ascii="仿宋" w:hAnsi="仿宋" w:eastAsia="仿宋"/>
          <w:sz w:val="24"/>
        </w:rPr>
        <w:instrText xml:space="preserve"> </w:instrText>
      </w:r>
      <w:r>
        <w:rPr>
          <w:rFonts w:hint="eastAsia" w:ascii="仿宋" w:hAnsi="仿宋" w:eastAsia="仿宋"/>
          <w:sz w:val="24"/>
        </w:rPr>
        <w:fldChar w:fldCharType="separate"/>
      </w:r>
      <w:r>
        <w:rPr>
          <w:rFonts w:ascii="仿宋" w:hAnsi="仿宋" w:eastAsia="仿宋"/>
          <w:sz w:val="24"/>
        </w:rPr>
        <w:t>8</w:t>
      </w:r>
      <w:r>
        <w:rPr>
          <w:rFonts w:hint="eastAsia" w:ascii="仿宋" w:hAnsi="仿宋" w:eastAsia="仿宋"/>
          <w:sz w:val="24"/>
        </w:rPr>
        <w:fldChar w:fldCharType="end"/>
      </w:r>
      <w:r>
        <w:rPr>
          <w:rFonts w:hint="eastAsia" w:ascii="仿宋" w:hAnsi="仿宋" w:eastAsia="仿宋"/>
          <w:sz w:val="24"/>
        </w:rPr>
        <w:fldChar w:fldCharType="end"/>
      </w:r>
    </w:p>
    <w:p w14:paraId="2F894E6C">
      <w:pPr>
        <w:pStyle w:val="11"/>
        <w:tabs>
          <w:tab w:val="right" w:leader="dot" w:pos="9060"/>
        </w:tabs>
        <w:rPr>
          <w:rFonts w:hint="eastAsia" w:ascii="仿宋" w:hAnsi="仿宋" w:eastAsia="仿宋"/>
          <w:sz w:val="24"/>
          <w14:ligatures w14:val="standardContextual"/>
        </w:rPr>
      </w:pPr>
      <w:r>
        <w:fldChar w:fldCharType="begin"/>
      </w:r>
      <w:r>
        <w:instrText xml:space="preserve"> HYPERLINK \l "_Toc205940237" </w:instrText>
      </w:r>
      <w:r>
        <w:fldChar w:fldCharType="separate"/>
      </w:r>
      <w:r>
        <w:rPr>
          <w:rStyle w:val="17"/>
          <w:rFonts w:hint="eastAsia" w:ascii="仿宋" w:hAnsi="仿宋" w:eastAsia="仿宋" w:cs="仿宋"/>
          <w:sz w:val="24"/>
          <w:lang w:val="zh-CN"/>
        </w:rPr>
        <w:t>四、绩效评价指标分析</w:t>
      </w:r>
      <w:r>
        <w:rPr>
          <w:rFonts w:hint="eastAsia" w:ascii="仿宋" w:hAnsi="仿宋" w:eastAsia="仿宋"/>
          <w:sz w:val="24"/>
        </w:rPr>
        <w:tab/>
      </w:r>
      <w:r>
        <w:rPr>
          <w:rFonts w:hint="eastAsia" w:ascii="仿宋" w:hAnsi="仿宋" w:eastAsia="仿宋"/>
          <w:sz w:val="24"/>
        </w:rPr>
        <w:fldChar w:fldCharType="begin"/>
      </w:r>
      <w:r>
        <w:rPr>
          <w:rFonts w:hint="eastAsia" w:ascii="仿宋" w:hAnsi="仿宋" w:eastAsia="仿宋"/>
          <w:sz w:val="24"/>
        </w:rPr>
        <w:instrText xml:space="preserve"> </w:instrText>
      </w:r>
      <w:r>
        <w:rPr>
          <w:rFonts w:ascii="仿宋" w:hAnsi="仿宋" w:eastAsia="仿宋"/>
          <w:sz w:val="24"/>
        </w:rPr>
        <w:instrText xml:space="preserve">PAGEREF _Toc205940237 \h</w:instrText>
      </w:r>
      <w:r>
        <w:rPr>
          <w:rFonts w:hint="eastAsia" w:ascii="仿宋" w:hAnsi="仿宋" w:eastAsia="仿宋"/>
          <w:sz w:val="24"/>
        </w:rPr>
        <w:instrText xml:space="preserve"> </w:instrText>
      </w:r>
      <w:r>
        <w:rPr>
          <w:rFonts w:hint="eastAsia" w:ascii="仿宋" w:hAnsi="仿宋" w:eastAsia="仿宋"/>
          <w:sz w:val="24"/>
        </w:rPr>
        <w:fldChar w:fldCharType="separate"/>
      </w:r>
      <w:r>
        <w:rPr>
          <w:rFonts w:ascii="仿宋" w:hAnsi="仿宋" w:eastAsia="仿宋"/>
          <w:sz w:val="24"/>
        </w:rPr>
        <w:t>8</w:t>
      </w:r>
      <w:r>
        <w:rPr>
          <w:rFonts w:hint="eastAsia" w:ascii="仿宋" w:hAnsi="仿宋" w:eastAsia="仿宋"/>
          <w:sz w:val="24"/>
        </w:rPr>
        <w:fldChar w:fldCharType="end"/>
      </w:r>
      <w:r>
        <w:rPr>
          <w:rFonts w:hint="eastAsia" w:ascii="仿宋" w:hAnsi="仿宋" w:eastAsia="仿宋"/>
          <w:sz w:val="24"/>
        </w:rPr>
        <w:fldChar w:fldCharType="end"/>
      </w:r>
    </w:p>
    <w:p w14:paraId="41925303">
      <w:pPr>
        <w:pStyle w:val="12"/>
        <w:tabs>
          <w:tab w:val="right" w:leader="dot" w:pos="9060"/>
        </w:tabs>
        <w:rPr>
          <w:rFonts w:hint="eastAsia" w:ascii="仿宋" w:hAnsi="仿宋" w:eastAsia="仿宋"/>
          <w:sz w:val="24"/>
          <w14:ligatures w14:val="standardContextual"/>
        </w:rPr>
      </w:pPr>
      <w:r>
        <w:fldChar w:fldCharType="begin"/>
      </w:r>
      <w:r>
        <w:instrText xml:space="preserve"> HYPERLINK \l "_Toc205940238" </w:instrText>
      </w:r>
      <w:r>
        <w:fldChar w:fldCharType="separate"/>
      </w:r>
      <w:r>
        <w:rPr>
          <w:rStyle w:val="17"/>
          <w:rFonts w:hint="eastAsia" w:ascii="仿宋" w:hAnsi="仿宋" w:eastAsia="仿宋" w:cs="Times New Roman"/>
          <w:sz w:val="24"/>
        </w:rPr>
        <w:t>（一）项目决策情况（分值18分，得分</w:t>
      </w:r>
      <w:r>
        <w:rPr>
          <w:rStyle w:val="17"/>
          <w:rFonts w:hint="eastAsia" w:ascii="仿宋" w:hAnsi="仿宋" w:eastAsia="仿宋" w:cs="Times New Roman"/>
          <w:sz w:val="24"/>
          <w:lang w:val="en-US" w:eastAsia="zh-CN"/>
        </w:rPr>
        <w:t>16</w:t>
      </w:r>
      <w:r>
        <w:rPr>
          <w:rStyle w:val="17"/>
          <w:rFonts w:hint="eastAsia" w:ascii="仿宋" w:hAnsi="仿宋" w:eastAsia="仿宋" w:cs="Times New Roman"/>
          <w:sz w:val="24"/>
        </w:rPr>
        <w:t>分）</w:t>
      </w:r>
      <w:r>
        <w:rPr>
          <w:rFonts w:hint="eastAsia" w:ascii="仿宋" w:hAnsi="仿宋" w:eastAsia="仿宋"/>
          <w:sz w:val="24"/>
        </w:rPr>
        <w:tab/>
      </w:r>
      <w:r>
        <w:rPr>
          <w:rFonts w:hint="eastAsia" w:ascii="仿宋" w:hAnsi="仿宋" w:eastAsia="仿宋"/>
          <w:sz w:val="24"/>
        </w:rPr>
        <w:fldChar w:fldCharType="begin"/>
      </w:r>
      <w:r>
        <w:rPr>
          <w:rFonts w:hint="eastAsia" w:ascii="仿宋" w:hAnsi="仿宋" w:eastAsia="仿宋"/>
          <w:sz w:val="24"/>
        </w:rPr>
        <w:instrText xml:space="preserve"> </w:instrText>
      </w:r>
      <w:r>
        <w:rPr>
          <w:rFonts w:ascii="仿宋" w:hAnsi="仿宋" w:eastAsia="仿宋"/>
          <w:sz w:val="24"/>
        </w:rPr>
        <w:instrText xml:space="preserve">PAGEREF _Toc205940238 \h</w:instrText>
      </w:r>
      <w:r>
        <w:rPr>
          <w:rFonts w:hint="eastAsia" w:ascii="仿宋" w:hAnsi="仿宋" w:eastAsia="仿宋"/>
          <w:sz w:val="24"/>
        </w:rPr>
        <w:instrText xml:space="preserve"> </w:instrText>
      </w:r>
      <w:r>
        <w:rPr>
          <w:rFonts w:hint="eastAsia" w:ascii="仿宋" w:hAnsi="仿宋" w:eastAsia="仿宋"/>
          <w:sz w:val="24"/>
        </w:rPr>
        <w:fldChar w:fldCharType="separate"/>
      </w:r>
      <w:r>
        <w:rPr>
          <w:rFonts w:ascii="仿宋" w:hAnsi="仿宋" w:eastAsia="仿宋"/>
          <w:sz w:val="24"/>
        </w:rPr>
        <w:t>8</w:t>
      </w:r>
      <w:r>
        <w:rPr>
          <w:rFonts w:hint="eastAsia" w:ascii="仿宋" w:hAnsi="仿宋" w:eastAsia="仿宋"/>
          <w:sz w:val="24"/>
        </w:rPr>
        <w:fldChar w:fldCharType="end"/>
      </w:r>
      <w:r>
        <w:rPr>
          <w:rFonts w:hint="eastAsia" w:ascii="仿宋" w:hAnsi="仿宋" w:eastAsia="仿宋"/>
          <w:sz w:val="24"/>
        </w:rPr>
        <w:fldChar w:fldCharType="end"/>
      </w:r>
    </w:p>
    <w:p w14:paraId="25876266">
      <w:pPr>
        <w:pStyle w:val="12"/>
        <w:tabs>
          <w:tab w:val="right" w:leader="dot" w:pos="9060"/>
        </w:tabs>
        <w:rPr>
          <w:rFonts w:hint="eastAsia" w:ascii="仿宋" w:hAnsi="仿宋" w:eastAsia="仿宋"/>
          <w:sz w:val="24"/>
          <w14:ligatures w14:val="standardContextual"/>
        </w:rPr>
      </w:pPr>
      <w:r>
        <w:fldChar w:fldCharType="begin"/>
      </w:r>
      <w:r>
        <w:instrText xml:space="preserve"> HYPERLINK \l "_Toc205940239" </w:instrText>
      </w:r>
      <w:r>
        <w:fldChar w:fldCharType="separate"/>
      </w:r>
      <w:r>
        <w:rPr>
          <w:rStyle w:val="17"/>
          <w:rFonts w:hint="eastAsia" w:ascii="仿宋" w:hAnsi="仿宋" w:eastAsia="仿宋" w:cs="Times New Roman"/>
          <w:sz w:val="24"/>
        </w:rPr>
        <w:t>（二）项目过程情况</w:t>
      </w:r>
      <w:r>
        <w:rPr>
          <w:rStyle w:val="17"/>
          <w:rFonts w:hint="eastAsia" w:ascii="仿宋" w:hAnsi="仿宋" w:eastAsia="仿宋" w:cs="Times New Roman"/>
          <w:sz w:val="24"/>
          <w:lang w:val="zh-CN"/>
        </w:rPr>
        <w:t>（</w:t>
      </w:r>
      <w:r>
        <w:rPr>
          <w:rStyle w:val="17"/>
          <w:rFonts w:hint="eastAsia" w:ascii="仿宋" w:hAnsi="仿宋" w:eastAsia="仿宋" w:cs="Times New Roman"/>
          <w:sz w:val="24"/>
        </w:rPr>
        <w:t>分值</w:t>
      </w:r>
      <w:r>
        <w:rPr>
          <w:rStyle w:val="17"/>
          <w:rFonts w:hint="eastAsia" w:ascii="仿宋" w:hAnsi="仿宋" w:eastAsia="仿宋" w:cs="Times New Roman"/>
          <w:sz w:val="24"/>
          <w:lang w:val="zh-CN"/>
        </w:rPr>
        <w:t>22分，得分</w:t>
      </w:r>
      <w:r>
        <w:rPr>
          <w:rStyle w:val="17"/>
          <w:rFonts w:hint="eastAsia" w:ascii="仿宋" w:hAnsi="仿宋" w:eastAsia="仿宋" w:cs="Times New Roman"/>
          <w:sz w:val="24"/>
          <w:lang w:val="en-US" w:eastAsia="zh-CN"/>
        </w:rPr>
        <w:t>20</w:t>
      </w:r>
      <w:r>
        <w:rPr>
          <w:rStyle w:val="17"/>
          <w:rFonts w:hint="eastAsia" w:ascii="仿宋" w:hAnsi="仿宋" w:eastAsia="仿宋" w:cs="Times New Roman"/>
          <w:sz w:val="24"/>
          <w:lang w:val="zh-CN"/>
        </w:rPr>
        <w:t>分）</w:t>
      </w:r>
      <w:r>
        <w:rPr>
          <w:rFonts w:hint="eastAsia" w:ascii="仿宋" w:hAnsi="仿宋" w:eastAsia="仿宋"/>
          <w:sz w:val="24"/>
        </w:rPr>
        <w:tab/>
      </w:r>
      <w:r>
        <w:rPr>
          <w:rFonts w:hint="eastAsia" w:ascii="仿宋" w:hAnsi="仿宋" w:eastAsia="仿宋"/>
          <w:sz w:val="24"/>
        </w:rPr>
        <w:fldChar w:fldCharType="begin"/>
      </w:r>
      <w:r>
        <w:rPr>
          <w:rFonts w:hint="eastAsia" w:ascii="仿宋" w:hAnsi="仿宋" w:eastAsia="仿宋"/>
          <w:sz w:val="24"/>
        </w:rPr>
        <w:instrText xml:space="preserve"> </w:instrText>
      </w:r>
      <w:r>
        <w:rPr>
          <w:rFonts w:ascii="仿宋" w:hAnsi="仿宋" w:eastAsia="仿宋"/>
          <w:sz w:val="24"/>
        </w:rPr>
        <w:instrText xml:space="preserve">PAGEREF _Toc205940239 \h</w:instrText>
      </w:r>
      <w:r>
        <w:rPr>
          <w:rFonts w:hint="eastAsia" w:ascii="仿宋" w:hAnsi="仿宋" w:eastAsia="仿宋"/>
          <w:sz w:val="24"/>
        </w:rPr>
        <w:instrText xml:space="preserve"> </w:instrText>
      </w:r>
      <w:r>
        <w:rPr>
          <w:rFonts w:hint="eastAsia" w:ascii="仿宋" w:hAnsi="仿宋" w:eastAsia="仿宋"/>
          <w:sz w:val="24"/>
        </w:rPr>
        <w:fldChar w:fldCharType="separate"/>
      </w:r>
      <w:r>
        <w:rPr>
          <w:rFonts w:ascii="仿宋" w:hAnsi="仿宋" w:eastAsia="仿宋"/>
          <w:sz w:val="24"/>
        </w:rPr>
        <w:t>12</w:t>
      </w:r>
      <w:r>
        <w:rPr>
          <w:rFonts w:hint="eastAsia" w:ascii="仿宋" w:hAnsi="仿宋" w:eastAsia="仿宋"/>
          <w:sz w:val="24"/>
        </w:rPr>
        <w:fldChar w:fldCharType="end"/>
      </w:r>
      <w:r>
        <w:rPr>
          <w:rFonts w:hint="eastAsia" w:ascii="仿宋" w:hAnsi="仿宋" w:eastAsia="仿宋"/>
          <w:sz w:val="24"/>
        </w:rPr>
        <w:fldChar w:fldCharType="end"/>
      </w:r>
    </w:p>
    <w:p w14:paraId="55D6A165">
      <w:pPr>
        <w:pStyle w:val="12"/>
        <w:tabs>
          <w:tab w:val="right" w:leader="dot" w:pos="9060"/>
        </w:tabs>
        <w:rPr>
          <w:rFonts w:hint="eastAsia" w:ascii="仿宋" w:hAnsi="仿宋" w:eastAsia="仿宋"/>
          <w:sz w:val="24"/>
          <w14:ligatures w14:val="standardContextual"/>
        </w:rPr>
      </w:pPr>
      <w:r>
        <w:fldChar w:fldCharType="begin"/>
      </w:r>
      <w:r>
        <w:instrText xml:space="preserve"> HYPERLINK \l "_Toc205940240" </w:instrText>
      </w:r>
      <w:r>
        <w:fldChar w:fldCharType="separate"/>
      </w:r>
      <w:r>
        <w:rPr>
          <w:rStyle w:val="17"/>
          <w:rFonts w:hint="eastAsia" w:ascii="仿宋" w:hAnsi="仿宋" w:eastAsia="仿宋" w:cs="Times New Roman"/>
          <w:sz w:val="24"/>
        </w:rPr>
        <w:t>（三）项目产出情况（分值30分，得分26分）</w:t>
      </w:r>
      <w:r>
        <w:rPr>
          <w:rFonts w:hint="eastAsia" w:ascii="仿宋" w:hAnsi="仿宋" w:eastAsia="仿宋"/>
          <w:sz w:val="24"/>
        </w:rPr>
        <w:tab/>
      </w:r>
      <w:r>
        <w:rPr>
          <w:rFonts w:hint="eastAsia" w:ascii="仿宋" w:hAnsi="仿宋" w:eastAsia="仿宋"/>
          <w:sz w:val="24"/>
        </w:rPr>
        <w:fldChar w:fldCharType="begin"/>
      </w:r>
      <w:r>
        <w:rPr>
          <w:rFonts w:hint="eastAsia" w:ascii="仿宋" w:hAnsi="仿宋" w:eastAsia="仿宋"/>
          <w:sz w:val="24"/>
        </w:rPr>
        <w:instrText xml:space="preserve"> </w:instrText>
      </w:r>
      <w:r>
        <w:rPr>
          <w:rFonts w:ascii="仿宋" w:hAnsi="仿宋" w:eastAsia="仿宋"/>
          <w:sz w:val="24"/>
        </w:rPr>
        <w:instrText xml:space="preserve">PAGEREF _Toc205940240 \h</w:instrText>
      </w:r>
      <w:r>
        <w:rPr>
          <w:rFonts w:hint="eastAsia" w:ascii="仿宋" w:hAnsi="仿宋" w:eastAsia="仿宋"/>
          <w:sz w:val="24"/>
        </w:rPr>
        <w:instrText xml:space="preserve"> </w:instrText>
      </w:r>
      <w:r>
        <w:rPr>
          <w:rFonts w:hint="eastAsia" w:ascii="仿宋" w:hAnsi="仿宋" w:eastAsia="仿宋"/>
          <w:sz w:val="24"/>
        </w:rPr>
        <w:fldChar w:fldCharType="separate"/>
      </w:r>
      <w:r>
        <w:rPr>
          <w:rFonts w:ascii="仿宋" w:hAnsi="仿宋" w:eastAsia="仿宋"/>
          <w:sz w:val="24"/>
        </w:rPr>
        <w:t>14</w:t>
      </w:r>
      <w:r>
        <w:rPr>
          <w:rFonts w:hint="eastAsia" w:ascii="仿宋" w:hAnsi="仿宋" w:eastAsia="仿宋"/>
          <w:sz w:val="24"/>
        </w:rPr>
        <w:fldChar w:fldCharType="end"/>
      </w:r>
      <w:r>
        <w:rPr>
          <w:rFonts w:hint="eastAsia" w:ascii="仿宋" w:hAnsi="仿宋" w:eastAsia="仿宋"/>
          <w:sz w:val="24"/>
        </w:rPr>
        <w:fldChar w:fldCharType="end"/>
      </w:r>
    </w:p>
    <w:p w14:paraId="25FA7E54">
      <w:pPr>
        <w:pStyle w:val="12"/>
        <w:tabs>
          <w:tab w:val="right" w:leader="dot" w:pos="9060"/>
        </w:tabs>
        <w:rPr>
          <w:rFonts w:hint="eastAsia" w:ascii="仿宋" w:hAnsi="仿宋" w:eastAsia="仿宋"/>
          <w:sz w:val="24"/>
          <w14:ligatures w14:val="standardContextual"/>
        </w:rPr>
      </w:pPr>
      <w:r>
        <w:fldChar w:fldCharType="begin"/>
      </w:r>
      <w:r>
        <w:instrText xml:space="preserve"> HYPERLINK \l "_Toc205940241" </w:instrText>
      </w:r>
      <w:r>
        <w:fldChar w:fldCharType="separate"/>
      </w:r>
      <w:r>
        <w:rPr>
          <w:rStyle w:val="17"/>
          <w:rFonts w:hint="eastAsia" w:ascii="仿宋" w:hAnsi="仿宋" w:eastAsia="仿宋" w:cs="Times New Roman"/>
          <w:sz w:val="24"/>
        </w:rPr>
        <w:t>（四）项目效益情况（分值30分，得分26.54分）</w:t>
      </w:r>
      <w:r>
        <w:rPr>
          <w:rFonts w:hint="eastAsia" w:ascii="仿宋" w:hAnsi="仿宋" w:eastAsia="仿宋"/>
          <w:sz w:val="24"/>
        </w:rPr>
        <w:tab/>
      </w:r>
      <w:r>
        <w:rPr>
          <w:rFonts w:hint="eastAsia" w:ascii="仿宋" w:hAnsi="仿宋" w:eastAsia="仿宋"/>
          <w:sz w:val="24"/>
        </w:rPr>
        <w:fldChar w:fldCharType="begin"/>
      </w:r>
      <w:r>
        <w:rPr>
          <w:rFonts w:hint="eastAsia" w:ascii="仿宋" w:hAnsi="仿宋" w:eastAsia="仿宋"/>
          <w:sz w:val="24"/>
        </w:rPr>
        <w:instrText xml:space="preserve"> </w:instrText>
      </w:r>
      <w:r>
        <w:rPr>
          <w:rFonts w:ascii="仿宋" w:hAnsi="仿宋" w:eastAsia="仿宋"/>
          <w:sz w:val="24"/>
        </w:rPr>
        <w:instrText xml:space="preserve">PAGEREF _Toc205940241 \h</w:instrText>
      </w:r>
      <w:r>
        <w:rPr>
          <w:rFonts w:hint="eastAsia" w:ascii="仿宋" w:hAnsi="仿宋" w:eastAsia="仿宋"/>
          <w:sz w:val="24"/>
        </w:rPr>
        <w:instrText xml:space="preserve"> </w:instrText>
      </w:r>
      <w:r>
        <w:rPr>
          <w:rFonts w:hint="eastAsia" w:ascii="仿宋" w:hAnsi="仿宋" w:eastAsia="仿宋"/>
          <w:sz w:val="24"/>
        </w:rPr>
        <w:fldChar w:fldCharType="separate"/>
      </w:r>
      <w:r>
        <w:rPr>
          <w:rFonts w:ascii="仿宋" w:hAnsi="仿宋" w:eastAsia="仿宋"/>
          <w:sz w:val="24"/>
        </w:rPr>
        <w:t>15</w:t>
      </w:r>
      <w:r>
        <w:rPr>
          <w:rFonts w:hint="eastAsia" w:ascii="仿宋" w:hAnsi="仿宋" w:eastAsia="仿宋"/>
          <w:sz w:val="24"/>
        </w:rPr>
        <w:fldChar w:fldCharType="end"/>
      </w:r>
      <w:r>
        <w:rPr>
          <w:rFonts w:hint="eastAsia" w:ascii="仿宋" w:hAnsi="仿宋" w:eastAsia="仿宋"/>
          <w:sz w:val="24"/>
        </w:rPr>
        <w:fldChar w:fldCharType="end"/>
      </w:r>
    </w:p>
    <w:p w14:paraId="15CD1FCE">
      <w:pPr>
        <w:pStyle w:val="11"/>
        <w:tabs>
          <w:tab w:val="right" w:leader="dot" w:pos="9060"/>
        </w:tabs>
        <w:rPr>
          <w:rFonts w:hint="eastAsia" w:ascii="仿宋" w:hAnsi="仿宋" w:eastAsia="仿宋"/>
          <w:sz w:val="24"/>
          <w14:ligatures w14:val="standardContextual"/>
        </w:rPr>
      </w:pPr>
      <w:r>
        <w:fldChar w:fldCharType="begin"/>
      </w:r>
      <w:r>
        <w:instrText xml:space="preserve"> HYPERLINK \l "_Toc205940242" </w:instrText>
      </w:r>
      <w:r>
        <w:fldChar w:fldCharType="separate"/>
      </w:r>
      <w:r>
        <w:rPr>
          <w:rStyle w:val="17"/>
          <w:rFonts w:hint="eastAsia" w:ascii="仿宋" w:hAnsi="仿宋" w:eastAsia="仿宋" w:cs="仿宋"/>
          <w:sz w:val="24"/>
          <w:lang w:val="zh-CN"/>
        </w:rPr>
        <w:t>五、主要经验及做法、存在的问题及原因分析</w:t>
      </w:r>
      <w:r>
        <w:rPr>
          <w:rFonts w:hint="eastAsia" w:ascii="仿宋" w:hAnsi="仿宋" w:eastAsia="仿宋"/>
          <w:sz w:val="24"/>
        </w:rPr>
        <w:tab/>
      </w:r>
      <w:r>
        <w:rPr>
          <w:rFonts w:hint="eastAsia" w:ascii="仿宋" w:hAnsi="仿宋" w:eastAsia="仿宋"/>
          <w:sz w:val="24"/>
        </w:rPr>
        <w:fldChar w:fldCharType="begin"/>
      </w:r>
      <w:r>
        <w:rPr>
          <w:rFonts w:hint="eastAsia" w:ascii="仿宋" w:hAnsi="仿宋" w:eastAsia="仿宋"/>
          <w:sz w:val="24"/>
        </w:rPr>
        <w:instrText xml:space="preserve"> </w:instrText>
      </w:r>
      <w:r>
        <w:rPr>
          <w:rFonts w:ascii="仿宋" w:hAnsi="仿宋" w:eastAsia="仿宋"/>
          <w:sz w:val="24"/>
        </w:rPr>
        <w:instrText xml:space="preserve">PAGEREF _Toc205940242 \h</w:instrText>
      </w:r>
      <w:r>
        <w:rPr>
          <w:rFonts w:hint="eastAsia" w:ascii="仿宋" w:hAnsi="仿宋" w:eastAsia="仿宋"/>
          <w:sz w:val="24"/>
        </w:rPr>
        <w:instrText xml:space="preserve"> </w:instrText>
      </w:r>
      <w:r>
        <w:rPr>
          <w:rFonts w:hint="eastAsia" w:ascii="仿宋" w:hAnsi="仿宋" w:eastAsia="仿宋"/>
          <w:sz w:val="24"/>
        </w:rPr>
        <w:fldChar w:fldCharType="separate"/>
      </w:r>
      <w:r>
        <w:rPr>
          <w:rFonts w:ascii="仿宋" w:hAnsi="仿宋" w:eastAsia="仿宋"/>
          <w:sz w:val="24"/>
        </w:rPr>
        <w:t>17</w:t>
      </w:r>
      <w:r>
        <w:rPr>
          <w:rFonts w:hint="eastAsia" w:ascii="仿宋" w:hAnsi="仿宋" w:eastAsia="仿宋"/>
          <w:sz w:val="24"/>
        </w:rPr>
        <w:fldChar w:fldCharType="end"/>
      </w:r>
      <w:r>
        <w:rPr>
          <w:rFonts w:hint="eastAsia" w:ascii="仿宋" w:hAnsi="仿宋" w:eastAsia="仿宋"/>
          <w:sz w:val="24"/>
        </w:rPr>
        <w:fldChar w:fldCharType="end"/>
      </w:r>
    </w:p>
    <w:p w14:paraId="7949D9A8">
      <w:pPr>
        <w:pStyle w:val="12"/>
        <w:tabs>
          <w:tab w:val="right" w:leader="dot" w:pos="9060"/>
        </w:tabs>
        <w:rPr>
          <w:rFonts w:hint="eastAsia" w:ascii="仿宋" w:hAnsi="仿宋" w:eastAsia="仿宋"/>
          <w:sz w:val="24"/>
          <w14:ligatures w14:val="standardContextual"/>
        </w:rPr>
      </w:pPr>
      <w:r>
        <w:fldChar w:fldCharType="begin"/>
      </w:r>
      <w:r>
        <w:instrText xml:space="preserve"> HYPERLINK \l "_Toc205940243" </w:instrText>
      </w:r>
      <w:r>
        <w:fldChar w:fldCharType="separate"/>
      </w:r>
      <w:r>
        <w:rPr>
          <w:rStyle w:val="17"/>
          <w:rFonts w:hint="eastAsia" w:ascii="仿宋" w:hAnsi="仿宋" w:eastAsia="仿宋" w:cs="Times New Roman"/>
          <w:sz w:val="24"/>
        </w:rPr>
        <w:t>（一）主要经验及做法</w:t>
      </w:r>
      <w:r>
        <w:rPr>
          <w:rFonts w:hint="eastAsia" w:ascii="仿宋" w:hAnsi="仿宋" w:eastAsia="仿宋"/>
          <w:sz w:val="24"/>
        </w:rPr>
        <w:tab/>
      </w:r>
      <w:r>
        <w:rPr>
          <w:rFonts w:hint="eastAsia" w:ascii="仿宋" w:hAnsi="仿宋" w:eastAsia="仿宋"/>
          <w:sz w:val="24"/>
        </w:rPr>
        <w:fldChar w:fldCharType="begin"/>
      </w:r>
      <w:r>
        <w:rPr>
          <w:rFonts w:hint="eastAsia" w:ascii="仿宋" w:hAnsi="仿宋" w:eastAsia="仿宋"/>
          <w:sz w:val="24"/>
        </w:rPr>
        <w:instrText xml:space="preserve"> </w:instrText>
      </w:r>
      <w:r>
        <w:rPr>
          <w:rFonts w:ascii="仿宋" w:hAnsi="仿宋" w:eastAsia="仿宋"/>
          <w:sz w:val="24"/>
        </w:rPr>
        <w:instrText xml:space="preserve">PAGEREF _Toc205940243 \h</w:instrText>
      </w:r>
      <w:r>
        <w:rPr>
          <w:rFonts w:hint="eastAsia" w:ascii="仿宋" w:hAnsi="仿宋" w:eastAsia="仿宋"/>
          <w:sz w:val="24"/>
        </w:rPr>
        <w:instrText xml:space="preserve"> </w:instrText>
      </w:r>
      <w:r>
        <w:rPr>
          <w:rFonts w:hint="eastAsia" w:ascii="仿宋" w:hAnsi="仿宋" w:eastAsia="仿宋"/>
          <w:sz w:val="24"/>
        </w:rPr>
        <w:fldChar w:fldCharType="separate"/>
      </w:r>
      <w:r>
        <w:rPr>
          <w:rFonts w:ascii="仿宋" w:hAnsi="仿宋" w:eastAsia="仿宋"/>
          <w:sz w:val="24"/>
        </w:rPr>
        <w:t>17</w:t>
      </w:r>
      <w:r>
        <w:rPr>
          <w:rFonts w:hint="eastAsia" w:ascii="仿宋" w:hAnsi="仿宋" w:eastAsia="仿宋"/>
          <w:sz w:val="24"/>
        </w:rPr>
        <w:fldChar w:fldCharType="end"/>
      </w:r>
      <w:r>
        <w:rPr>
          <w:rFonts w:hint="eastAsia" w:ascii="仿宋" w:hAnsi="仿宋" w:eastAsia="仿宋"/>
          <w:sz w:val="24"/>
        </w:rPr>
        <w:fldChar w:fldCharType="end"/>
      </w:r>
    </w:p>
    <w:p w14:paraId="212FE83C">
      <w:pPr>
        <w:pStyle w:val="12"/>
        <w:tabs>
          <w:tab w:val="right" w:leader="dot" w:pos="9060"/>
        </w:tabs>
        <w:rPr>
          <w:rFonts w:hint="eastAsia" w:ascii="仿宋" w:hAnsi="仿宋" w:eastAsia="仿宋"/>
          <w:sz w:val="24"/>
          <w14:ligatures w14:val="standardContextual"/>
        </w:rPr>
      </w:pPr>
      <w:r>
        <w:fldChar w:fldCharType="begin"/>
      </w:r>
      <w:r>
        <w:instrText xml:space="preserve"> HYPERLINK \l "_Toc205940244" </w:instrText>
      </w:r>
      <w:r>
        <w:fldChar w:fldCharType="separate"/>
      </w:r>
      <w:r>
        <w:rPr>
          <w:rStyle w:val="17"/>
          <w:rFonts w:hint="eastAsia" w:ascii="仿宋" w:hAnsi="仿宋" w:eastAsia="仿宋" w:cs="Times New Roman"/>
          <w:sz w:val="24"/>
        </w:rPr>
        <w:t>（二）存在的问题及原因分析</w:t>
      </w:r>
      <w:r>
        <w:rPr>
          <w:rFonts w:hint="eastAsia" w:ascii="仿宋" w:hAnsi="仿宋" w:eastAsia="仿宋"/>
          <w:sz w:val="24"/>
        </w:rPr>
        <w:tab/>
      </w:r>
      <w:r>
        <w:rPr>
          <w:rFonts w:hint="eastAsia" w:ascii="仿宋" w:hAnsi="仿宋" w:eastAsia="仿宋"/>
          <w:sz w:val="24"/>
        </w:rPr>
        <w:fldChar w:fldCharType="begin"/>
      </w:r>
      <w:r>
        <w:rPr>
          <w:rFonts w:hint="eastAsia" w:ascii="仿宋" w:hAnsi="仿宋" w:eastAsia="仿宋"/>
          <w:sz w:val="24"/>
        </w:rPr>
        <w:instrText xml:space="preserve"> </w:instrText>
      </w:r>
      <w:r>
        <w:rPr>
          <w:rFonts w:ascii="仿宋" w:hAnsi="仿宋" w:eastAsia="仿宋"/>
          <w:sz w:val="24"/>
        </w:rPr>
        <w:instrText xml:space="preserve">PAGEREF _Toc205940244 \h</w:instrText>
      </w:r>
      <w:r>
        <w:rPr>
          <w:rFonts w:hint="eastAsia" w:ascii="仿宋" w:hAnsi="仿宋" w:eastAsia="仿宋"/>
          <w:sz w:val="24"/>
        </w:rPr>
        <w:instrText xml:space="preserve"> </w:instrText>
      </w:r>
      <w:r>
        <w:rPr>
          <w:rFonts w:hint="eastAsia" w:ascii="仿宋" w:hAnsi="仿宋" w:eastAsia="仿宋"/>
          <w:sz w:val="24"/>
        </w:rPr>
        <w:fldChar w:fldCharType="separate"/>
      </w:r>
      <w:r>
        <w:rPr>
          <w:rFonts w:ascii="仿宋" w:hAnsi="仿宋" w:eastAsia="仿宋"/>
          <w:sz w:val="24"/>
        </w:rPr>
        <w:t>18</w:t>
      </w:r>
      <w:r>
        <w:rPr>
          <w:rFonts w:hint="eastAsia" w:ascii="仿宋" w:hAnsi="仿宋" w:eastAsia="仿宋"/>
          <w:sz w:val="24"/>
        </w:rPr>
        <w:fldChar w:fldCharType="end"/>
      </w:r>
      <w:r>
        <w:rPr>
          <w:rFonts w:hint="eastAsia" w:ascii="仿宋" w:hAnsi="仿宋" w:eastAsia="仿宋"/>
          <w:sz w:val="24"/>
        </w:rPr>
        <w:fldChar w:fldCharType="end"/>
      </w:r>
    </w:p>
    <w:p w14:paraId="45ED1658">
      <w:pPr>
        <w:pStyle w:val="11"/>
        <w:tabs>
          <w:tab w:val="right" w:leader="dot" w:pos="9060"/>
        </w:tabs>
        <w:rPr>
          <w:rFonts w:hint="eastAsia" w:ascii="仿宋" w:hAnsi="仿宋" w:eastAsia="仿宋"/>
          <w:sz w:val="24"/>
          <w14:ligatures w14:val="standardContextual"/>
        </w:rPr>
      </w:pPr>
      <w:r>
        <w:fldChar w:fldCharType="begin"/>
      </w:r>
      <w:r>
        <w:instrText xml:space="preserve"> HYPERLINK \l "_Toc205940245" </w:instrText>
      </w:r>
      <w:r>
        <w:fldChar w:fldCharType="separate"/>
      </w:r>
      <w:r>
        <w:rPr>
          <w:rStyle w:val="17"/>
          <w:rFonts w:hint="eastAsia" w:ascii="仿宋" w:hAnsi="仿宋" w:eastAsia="仿宋" w:cs="仿宋"/>
          <w:sz w:val="24"/>
          <w:lang w:val="zh-CN"/>
        </w:rPr>
        <w:t>六、有关建议</w:t>
      </w:r>
      <w:r>
        <w:rPr>
          <w:rFonts w:hint="eastAsia" w:ascii="仿宋" w:hAnsi="仿宋" w:eastAsia="仿宋"/>
          <w:sz w:val="24"/>
        </w:rPr>
        <w:tab/>
      </w:r>
      <w:r>
        <w:rPr>
          <w:rFonts w:hint="eastAsia" w:ascii="仿宋" w:hAnsi="仿宋" w:eastAsia="仿宋"/>
          <w:sz w:val="24"/>
        </w:rPr>
        <w:fldChar w:fldCharType="begin"/>
      </w:r>
      <w:r>
        <w:rPr>
          <w:rFonts w:hint="eastAsia" w:ascii="仿宋" w:hAnsi="仿宋" w:eastAsia="仿宋"/>
          <w:sz w:val="24"/>
        </w:rPr>
        <w:instrText xml:space="preserve"> </w:instrText>
      </w:r>
      <w:r>
        <w:rPr>
          <w:rFonts w:ascii="仿宋" w:hAnsi="仿宋" w:eastAsia="仿宋"/>
          <w:sz w:val="24"/>
        </w:rPr>
        <w:instrText xml:space="preserve">PAGEREF _Toc205940245 \h</w:instrText>
      </w:r>
      <w:r>
        <w:rPr>
          <w:rFonts w:hint="eastAsia" w:ascii="仿宋" w:hAnsi="仿宋" w:eastAsia="仿宋"/>
          <w:sz w:val="24"/>
        </w:rPr>
        <w:instrText xml:space="preserve"> </w:instrText>
      </w:r>
      <w:r>
        <w:rPr>
          <w:rFonts w:hint="eastAsia" w:ascii="仿宋" w:hAnsi="仿宋" w:eastAsia="仿宋"/>
          <w:sz w:val="24"/>
        </w:rPr>
        <w:fldChar w:fldCharType="separate"/>
      </w:r>
      <w:r>
        <w:rPr>
          <w:rFonts w:ascii="仿宋" w:hAnsi="仿宋" w:eastAsia="仿宋"/>
          <w:sz w:val="24"/>
        </w:rPr>
        <w:t>20</w:t>
      </w:r>
      <w:r>
        <w:rPr>
          <w:rFonts w:hint="eastAsia" w:ascii="仿宋" w:hAnsi="仿宋" w:eastAsia="仿宋"/>
          <w:sz w:val="24"/>
        </w:rPr>
        <w:fldChar w:fldCharType="end"/>
      </w:r>
      <w:r>
        <w:rPr>
          <w:rFonts w:hint="eastAsia" w:ascii="仿宋" w:hAnsi="仿宋" w:eastAsia="仿宋"/>
          <w:sz w:val="24"/>
        </w:rPr>
        <w:fldChar w:fldCharType="end"/>
      </w:r>
    </w:p>
    <w:p w14:paraId="337F11ED">
      <w:pPr>
        <w:pStyle w:val="12"/>
        <w:tabs>
          <w:tab w:val="right" w:leader="dot" w:pos="9060"/>
        </w:tabs>
        <w:rPr>
          <w:rFonts w:hint="eastAsia" w:ascii="仿宋" w:hAnsi="仿宋" w:eastAsia="仿宋"/>
          <w:sz w:val="24"/>
          <w14:ligatures w14:val="standardContextual"/>
        </w:rPr>
      </w:pPr>
      <w:r>
        <w:fldChar w:fldCharType="begin"/>
      </w:r>
      <w:r>
        <w:instrText xml:space="preserve"> HYPERLINK \l "_Toc205940246" </w:instrText>
      </w:r>
      <w:r>
        <w:fldChar w:fldCharType="separate"/>
      </w:r>
      <w:r>
        <w:rPr>
          <w:rStyle w:val="17"/>
          <w:rFonts w:hint="eastAsia" w:ascii="仿宋" w:hAnsi="仿宋" w:eastAsia="仿宋" w:cs="Times New Roman"/>
          <w:sz w:val="24"/>
        </w:rPr>
        <w:t>（一）完善制度管理和绩效指标设定</w:t>
      </w:r>
      <w:r>
        <w:rPr>
          <w:rFonts w:hint="eastAsia" w:ascii="仿宋" w:hAnsi="仿宋" w:eastAsia="仿宋"/>
          <w:sz w:val="24"/>
        </w:rPr>
        <w:tab/>
      </w:r>
      <w:r>
        <w:rPr>
          <w:rFonts w:hint="eastAsia" w:ascii="仿宋" w:hAnsi="仿宋" w:eastAsia="仿宋"/>
          <w:sz w:val="24"/>
        </w:rPr>
        <w:fldChar w:fldCharType="begin"/>
      </w:r>
      <w:r>
        <w:rPr>
          <w:rFonts w:hint="eastAsia" w:ascii="仿宋" w:hAnsi="仿宋" w:eastAsia="仿宋"/>
          <w:sz w:val="24"/>
        </w:rPr>
        <w:instrText xml:space="preserve"> </w:instrText>
      </w:r>
      <w:r>
        <w:rPr>
          <w:rFonts w:ascii="仿宋" w:hAnsi="仿宋" w:eastAsia="仿宋"/>
          <w:sz w:val="24"/>
        </w:rPr>
        <w:instrText xml:space="preserve">PAGEREF _Toc205940246 \h</w:instrText>
      </w:r>
      <w:r>
        <w:rPr>
          <w:rFonts w:hint="eastAsia" w:ascii="仿宋" w:hAnsi="仿宋" w:eastAsia="仿宋"/>
          <w:sz w:val="24"/>
        </w:rPr>
        <w:instrText xml:space="preserve"> </w:instrText>
      </w:r>
      <w:r>
        <w:rPr>
          <w:rFonts w:hint="eastAsia" w:ascii="仿宋" w:hAnsi="仿宋" w:eastAsia="仿宋"/>
          <w:sz w:val="24"/>
        </w:rPr>
        <w:fldChar w:fldCharType="separate"/>
      </w:r>
      <w:r>
        <w:rPr>
          <w:rFonts w:ascii="仿宋" w:hAnsi="仿宋" w:eastAsia="仿宋"/>
          <w:sz w:val="24"/>
        </w:rPr>
        <w:t>20</w:t>
      </w:r>
      <w:r>
        <w:rPr>
          <w:rFonts w:hint="eastAsia" w:ascii="仿宋" w:hAnsi="仿宋" w:eastAsia="仿宋"/>
          <w:sz w:val="24"/>
        </w:rPr>
        <w:fldChar w:fldCharType="end"/>
      </w:r>
      <w:r>
        <w:rPr>
          <w:rFonts w:hint="eastAsia" w:ascii="仿宋" w:hAnsi="仿宋" w:eastAsia="仿宋"/>
          <w:sz w:val="24"/>
        </w:rPr>
        <w:fldChar w:fldCharType="end"/>
      </w:r>
    </w:p>
    <w:p w14:paraId="2CDF706A">
      <w:pPr>
        <w:pStyle w:val="12"/>
        <w:tabs>
          <w:tab w:val="right" w:leader="dot" w:pos="9060"/>
        </w:tabs>
        <w:rPr>
          <w:rFonts w:hint="eastAsia" w:ascii="仿宋" w:hAnsi="仿宋" w:eastAsia="仿宋"/>
          <w:sz w:val="24"/>
          <w14:ligatures w14:val="standardContextual"/>
        </w:rPr>
      </w:pPr>
      <w:r>
        <w:fldChar w:fldCharType="begin"/>
      </w:r>
      <w:r>
        <w:instrText xml:space="preserve"> HYPERLINK \l "_Toc205940247" </w:instrText>
      </w:r>
      <w:r>
        <w:fldChar w:fldCharType="separate"/>
      </w:r>
      <w:r>
        <w:rPr>
          <w:rStyle w:val="17"/>
          <w:rFonts w:hint="eastAsia" w:ascii="仿宋" w:hAnsi="仿宋" w:eastAsia="仿宋" w:cs="Times New Roman"/>
          <w:sz w:val="24"/>
        </w:rPr>
        <w:t>（二）加强产出时效控制</w:t>
      </w:r>
      <w:r>
        <w:rPr>
          <w:rFonts w:hint="eastAsia" w:ascii="仿宋" w:hAnsi="仿宋" w:eastAsia="仿宋"/>
          <w:sz w:val="24"/>
        </w:rPr>
        <w:tab/>
      </w:r>
      <w:r>
        <w:rPr>
          <w:rFonts w:hint="eastAsia" w:ascii="仿宋" w:hAnsi="仿宋" w:eastAsia="仿宋"/>
          <w:sz w:val="24"/>
        </w:rPr>
        <w:fldChar w:fldCharType="begin"/>
      </w:r>
      <w:r>
        <w:rPr>
          <w:rFonts w:hint="eastAsia" w:ascii="仿宋" w:hAnsi="仿宋" w:eastAsia="仿宋"/>
          <w:sz w:val="24"/>
        </w:rPr>
        <w:instrText xml:space="preserve"> </w:instrText>
      </w:r>
      <w:r>
        <w:rPr>
          <w:rFonts w:ascii="仿宋" w:hAnsi="仿宋" w:eastAsia="仿宋"/>
          <w:sz w:val="24"/>
        </w:rPr>
        <w:instrText xml:space="preserve">PAGEREF _Toc205940247 \h</w:instrText>
      </w:r>
      <w:r>
        <w:rPr>
          <w:rFonts w:hint="eastAsia" w:ascii="仿宋" w:hAnsi="仿宋" w:eastAsia="仿宋"/>
          <w:sz w:val="24"/>
        </w:rPr>
        <w:instrText xml:space="preserve"> </w:instrText>
      </w:r>
      <w:r>
        <w:rPr>
          <w:rFonts w:hint="eastAsia" w:ascii="仿宋" w:hAnsi="仿宋" w:eastAsia="仿宋"/>
          <w:sz w:val="24"/>
        </w:rPr>
        <w:fldChar w:fldCharType="separate"/>
      </w:r>
      <w:r>
        <w:rPr>
          <w:rFonts w:ascii="仿宋" w:hAnsi="仿宋" w:eastAsia="仿宋"/>
          <w:sz w:val="24"/>
        </w:rPr>
        <w:t>20</w:t>
      </w:r>
      <w:r>
        <w:rPr>
          <w:rFonts w:hint="eastAsia" w:ascii="仿宋" w:hAnsi="仿宋" w:eastAsia="仿宋"/>
          <w:sz w:val="24"/>
        </w:rPr>
        <w:fldChar w:fldCharType="end"/>
      </w:r>
      <w:r>
        <w:rPr>
          <w:rFonts w:hint="eastAsia" w:ascii="仿宋" w:hAnsi="仿宋" w:eastAsia="仿宋"/>
          <w:sz w:val="24"/>
        </w:rPr>
        <w:fldChar w:fldCharType="end"/>
      </w:r>
    </w:p>
    <w:p w14:paraId="12E858A5">
      <w:pPr>
        <w:pStyle w:val="12"/>
        <w:tabs>
          <w:tab w:val="right" w:leader="dot" w:pos="9060"/>
        </w:tabs>
        <w:rPr>
          <w:rFonts w:hint="eastAsia" w:ascii="仿宋" w:hAnsi="仿宋" w:eastAsia="仿宋"/>
          <w:sz w:val="24"/>
          <w14:ligatures w14:val="standardContextual"/>
        </w:rPr>
      </w:pPr>
      <w:r>
        <w:fldChar w:fldCharType="begin"/>
      </w:r>
      <w:r>
        <w:instrText xml:space="preserve"> HYPERLINK \l "_Toc205940248" </w:instrText>
      </w:r>
      <w:r>
        <w:fldChar w:fldCharType="separate"/>
      </w:r>
      <w:r>
        <w:rPr>
          <w:rStyle w:val="17"/>
          <w:rFonts w:hint="eastAsia" w:ascii="仿宋" w:hAnsi="仿宋" w:eastAsia="仿宋" w:cs="Times New Roman"/>
          <w:sz w:val="24"/>
        </w:rPr>
        <w:t>（三）保障全市基础教育的多媒体教学设备需求</w:t>
      </w:r>
      <w:r>
        <w:rPr>
          <w:rFonts w:hint="eastAsia" w:ascii="仿宋" w:hAnsi="仿宋" w:eastAsia="仿宋"/>
          <w:sz w:val="24"/>
        </w:rPr>
        <w:tab/>
      </w:r>
      <w:r>
        <w:rPr>
          <w:rFonts w:hint="eastAsia" w:ascii="仿宋" w:hAnsi="仿宋" w:eastAsia="仿宋"/>
          <w:sz w:val="24"/>
        </w:rPr>
        <w:fldChar w:fldCharType="begin"/>
      </w:r>
      <w:r>
        <w:rPr>
          <w:rFonts w:hint="eastAsia" w:ascii="仿宋" w:hAnsi="仿宋" w:eastAsia="仿宋"/>
          <w:sz w:val="24"/>
        </w:rPr>
        <w:instrText xml:space="preserve"> </w:instrText>
      </w:r>
      <w:r>
        <w:rPr>
          <w:rFonts w:ascii="仿宋" w:hAnsi="仿宋" w:eastAsia="仿宋"/>
          <w:sz w:val="24"/>
        </w:rPr>
        <w:instrText xml:space="preserve">PAGEREF _Toc205940248 \h</w:instrText>
      </w:r>
      <w:r>
        <w:rPr>
          <w:rFonts w:hint="eastAsia" w:ascii="仿宋" w:hAnsi="仿宋" w:eastAsia="仿宋"/>
          <w:sz w:val="24"/>
        </w:rPr>
        <w:instrText xml:space="preserve"> </w:instrText>
      </w:r>
      <w:r>
        <w:rPr>
          <w:rFonts w:hint="eastAsia" w:ascii="仿宋" w:hAnsi="仿宋" w:eastAsia="仿宋"/>
          <w:sz w:val="24"/>
        </w:rPr>
        <w:fldChar w:fldCharType="separate"/>
      </w:r>
      <w:r>
        <w:rPr>
          <w:rFonts w:ascii="仿宋" w:hAnsi="仿宋" w:eastAsia="仿宋"/>
          <w:sz w:val="24"/>
        </w:rPr>
        <w:t>20</w:t>
      </w:r>
      <w:r>
        <w:rPr>
          <w:rFonts w:hint="eastAsia" w:ascii="仿宋" w:hAnsi="仿宋" w:eastAsia="仿宋"/>
          <w:sz w:val="24"/>
        </w:rPr>
        <w:fldChar w:fldCharType="end"/>
      </w:r>
      <w:r>
        <w:rPr>
          <w:rFonts w:hint="eastAsia" w:ascii="仿宋" w:hAnsi="仿宋" w:eastAsia="仿宋"/>
          <w:sz w:val="24"/>
        </w:rPr>
        <w:fldChar w:fldCharType="end"/>
      </w:r>
    </w:p>
    <w:p w14:paraId="769D6603">
      <w:pPr>
        <w:pStyle w:val="11"/>
        <w:tabs>
          <w:tab w:val="right" w:leader="dot" w:pos="9060"/>
        </w:tabs>
        <w:rPr>
          <w:rFonts w:hint="eastAsia" w:ascii="仿宋" w:hAnsi="仿宋" w:eastAsia="仿宋"/>
          <w:sz w:val="24"/>
          <w14:ligatures w14:val="standardContextual"/>
        </w:rPr>
      </w:pPr>
      <w:r>
        <w:fldChar w:fldCharType="begin"/>
      </w:r>
      <w:r>
        <w:instrText xml:space="preserve"> HYPERLINK \l "_Toc205940249" </w:instrText>
      </w:r>
      <w:r>
        <w:fldChar w:fldCharType="separate"/>
      </w:r>
      <w:r>
        <w:rPr>
          <w:rStyle w:val="17"/>
          <w:rFonts w:hint="eastAsia" w:ascii="仿宋" w:hAnsi="仿宋" w:eastAsia="仿宋" w:cs="仿宋"/>
          <w:sz w:val="24"/>
          <w:lang w:val="zh-CN"/>
        </w:rPr>
        <w:t>七、其他需要说明的问题</w:t>
      </w:r>
      <w:r>
        <w:rPr>
          <w:rFonts w:hint="eastAsia" w:ascii="仿宋" w:hAnsi="仿宋" w:eastAsia="仿宋"/>
          <w:sz w:val="24"/>
        </w:rPr>
        <w:tab/>
      </w:r>
      <w:r>
        <w:rPr>
          <w:rFonts w:hint="eastAsia" w:ascii="仿宋" w:hAnsi="仿宋" w:eastAsia="仿宋"/>
          <w:sz w:val="24"/>
        </w:rPr>
        <w:fldChar w:fldCharType="begin"/>
      </w:r>
      <w:r>
        <w:rPr>
          <w:rFonts w:hint="eastAsia" w:ascii="仿宋" w:hAnsi="仿宋" w:eastAsia="仿宋"/>
          <w:sz w:val="24"/>
        </w:rPr>
        <w:instrText xml:space="preserve"> </w:instrText>
      </w:r>
      <w:r>
        <w:rPr>
          <w:rFonts w:ascii="仿宋" w:hAnsi="仿宋" w:eastAsia="仿宋"/>
          <w:sz w:val="24"/>
        </w:rPr>
        <w:instrText xml:space="preserve">PAGEREF _Toc205940249 \h</w:instrText>
      </w:r>
      <w:r>
        <w:rPr>
          <w:rFonts w:hint="eastAsia" w:ascii="仿宋" w:hAnsi="仿宋" w:eastAsia="仿宋"/>
          <w:sz w:val="24"/>
        </w:rPr>
        <w:instrText xml:space="preserve"> </w:instrText>
      </w:r>
      <w:r>
        <w:rPr>
          <w:rFonts w:hint="eastAsia" w:ascii="仿宋" w:hAnsi="仿宋" w:eastAsia="仿宋"/>
          <w:sz w:val="24"/>
        </w:rPr>
        <w:fldChar w:fldCharType="separate"/>
      </w:r>
      <w:r>
        <w:rPr>
          <w:rFonts w:ascii="仿宋" w:hAnsi="仿宋" w:eastAsia="仿宋"/>
          <w:sz w:val="24"/>
        </w:rPr>
        <w:t>21</w:t>
      </w:r>
      <w:r>
        <w:rPr>
          <w:rFonts w:hint="eastAsia" w:ascii="仿宋" w:hAnsi="仿宋" w:eastAsia="仿宋"/>
          <w:sz w:val="24"/>
        </w:rPr>
        <w:fldChar w:fldCharType="end"/>
      </w:r>
      <w:r>
        <w:rPr>
          <w:rFonts w:hint="eastAsia" w:ascii="仿宋" w:hAnsi="仿宋" w:eastAsia="仿宋"/>
          <w:sz w:val="24"/>
        </w:rPr>
        <w:fldChar w:fldCharType="end"/>
      </w:r>
    </w:p>
    <w:p w14:paraId="0F5F8A83">
      <w:pPr>
        <w:pStyle w:val="11"/>
        <w:tabs>
          <w:tab w:val="right" w:leader="dot" w:pos="9060"/>
        </w:tabs>
        <w:rPr>
          <w:rFonts w:hint="eastAsia" w:ascii="仿宋" w:hAnsi="仿宋" w:eastAsia="仿宋"/>
          <w:sz w:val="24"/>
          <w14:ligatures w14:val="standardContextual"/>
        </w:rPr>
      </w:pPr>
      <w:r>
        <w:fldChar w:fldCharType="begin"/>
      </w:r>
      <w:r>
        <w:instrText xml:space="preserve"> HYPERLINK \l "_Toc205940250" </w:instrText>
      </w:r>
      <w:r>
        <w:fldChar w:fldCharType="separate"/>
      </w:r>
      <w:r>
        <w:rPr>
          <w:rStyle w:val="17"/>
          <w:rFonts w:hint="eastAsia" w:ascii="仿宋" w:hAnsi="仿宋" w:eastAsia="仿宋" w:cs="仿宋"/>
          <w:sz w:val="24"/>
          <w:lang w:val="zh-CN"/>
        </w:rPr>
        <w:t>附表</w:t>
      </w:r>
      <w:r>
        <w:rPr>
          <w:rStyle w:val="17"/>
          <w:rFonts w:hint="eastAsia" w:ascii="仿宋" w:hAnsi="仿宋" w:eastAsia="仿宋" w:cs="仿宋"/>
          <w:sz w:val="24"/>
        </w:rPr>
        <w:t xml:space="preserve">  </w:t>
      </w:r>
      <w:r>
        <w:rPr>
          <w:rStyle w:val="17"/>
          <w:rFonts w:hint="eastAsia" w:ascii="仿宋" w:hAnsi="仿宋" w:eastAsia="仿宋" w:cs="仿宋"/>
          <w:sz w:val="24"/>
          <w:lang w:val="zh-CN"/>
        </w:rPr>
        <w:t>2024年石狮市中小学班级多媒体教学设备全覆盖工程项目评价指标表</w:t>
      </w:r>
      <w:r>
        <w:rPr>
          <w:rFonts w:hint="eastAsia" w:ascii="仿宋" w:hAnsi="仿宋" w:eastAsia="仿宋"/>
          <w:sz w:val="24"/>
        </w:rPr>
        <w:tab/>
      </w:r>
      <w:r>
        <w:rPr>
          <w:rFonts w:hint="eastAsia" w:ascii="仿宋" w:hAnsi="仿宋" w:eastAsia="仿宋"/>
          <w:sz w:val="24"/>
        </w:rPr>
        <w:fldChar w:fldCharType="begin"/>
      </w:r>
      <w:r>
        <w:rPr>
          <w:rFonts w:hint="eastAsia" w:ascii="仿宋" w:hAnsi="仿宋" w:eastAsia="仿宋"/>
          <w:sz w:val="24"/>
        </w:rPr>
        <w:instrText xml:space="preserve"> </w:instrText>
      </w:r>
      <w:r>
        <w:rPr>
          <w:rFonts w:ascii="仿宋" w:hAnsi="仿宋" w:eastAsia="仿宋"/>
          <w:sz w:val="24"/>
        </w:rPr>
        <w:instrText xml:space="preserve">PAGEREF _Toc205940250 \h</w:instrText>
      </w:r>
      <w:r>
        <w:rPr>
          <w:rFonts w:hint="eastAsia" w:ascii="仿宋" w:hAnsi="仿宋" w:eastAsia="仿宋"/>
          <w:sz w:val="24"/>
        </w:rPr>
        <w:instrText xml:space="preserve"> </w:instrText>
      </w:r>
      <w:r>
        <w:rPr>
          <w:rFonts w:hint="eastAsia" w:ascii="仿宋" w:hAnsi="仿宋" w:eastAsia="仿宋"/>
          <w:sz w:val="24"/>
        </w:rPr>
        <w:fldChar w:fldCharType="separate"/>
      </w:r>
      <w:r>
        <w:rPr>
          <w:rFonts w:ascii="仿宋" w:hAnsi="仿宋" w:eastAsia="仿宋"/>
          <w:sz w:val="24"/>
        </w:rPr>
        <w:t>23</w:t>
      </w:r>
      <w:r>
        <w:rPr>
          <w:rFonts w:hint="eastAsia" w:ascii="仿宋" w:hAnsi="仿宋" w:eastAsia="仿宋"/>
          <w:sz w:val="24"/>
        </w:rPr>
        <w:fldChar w:fldCharType="end"/>
      </w:r>
      <w:r>
        <w:rPr>
          <w:rFonts w:hint="eastAsia" w:ascii="仿宋" w:hAnsi="仿宋" w:eastAsia="仿宋"/>
          <w:sz w:val="24"/>
        </w:rPr>
        <w:fldChar w:fldCharType="end"/>
      </w:r>
    </w:p>
    <w:p w14:paraId="5F517C29">
      <w:pPr>
        <w:pStyle w:val="11"/>
        <w:tabs>
          <w:tab w:val="right" w:leader="dot" w:pos="9060"/>
        </w:tabs>
        <w:rPr>
          <w:rFonts w:hint="eastAsia" w:ascii="仿宋" w:hAnsi="仿宋" w:eastAsia="仿宋"/>
          <w:sz w:val="24"/>
          <w14:ligatures w14:val="standardContextual"/>
        </w:rPr>
      </w:pPr>
      <w:r>
        <w:fldChar w:fldCharType="begin"/>
      </w:r>
      <w:r>
        <w:instrText xml:space="preserve"> HYPERLINK \l "_Toc205940251" </w:instrText>
      </w:r>
      <w:r>
        <w:fldChar w:fldCharType="separate"/>
      </w:r>
      <w:r>
        <w:rPr>
          <w:rStyle w:val="17"/>
          <w:rFonts w:hint="eastAsia" w:ascii="仿宋" w:hAnsi="仿宋" w:eastAsia="仿宋" w:cs="仿宋"/>
          <w:sz w:val="24"/>
          <w:lang w:val="zh-CN"/>
        </w:rPr>
        <w:t>附录</w:t>
      </w:r>
      <w:r>
        <w:rPr>
          <w:rStyle w:val="17"/>
          <w:rFonts w:hint="eastAsia" w:ascii="仿宋" w:hAnsi="仿宋" w:eastAsia="仿宋" w:cs="仿宋"/>
          <w:sz w:val="24"/>
        </w:rPr>
        <w:t xml:space="preserve">  </w:t>
      </w:r>
      <w:r>
        <w:rPr>
          <w:rStyle w:val="17"/>
          <w:rFonts w:hint="eastAsia" w:ascii="仿宋" w:hAnsi="仿宋" w:eastAsia="仿宋" w:cs="仿宋"/>
          <w:sz w:val="24"/>
          <w:lang w:val="zh-CN"/>
        </w:rPr>
        <w:t>2024年石狮市中小学班级多媒体教学设备全覆盖工程项目调查问卷</w:t>
      </w:r>
      <w:r>
        <w:rPr>
          <w:rFonts w:hint="eastAsia" w:ascii="仿宋" w:hAnsi="仿宋" w:eastAsia="仿宋"/>
          <w:sz w:val="24"/>
        </w:rPr>
        <w:tab/>
      </w:r>
      <w:r>
        <w:rPr>
          <w:rFonts w:hint="eastAsia" w:ascii="仿宋" w:hAnsi="仿宋" w:eastAsia="仿宋"/>
          <w:sz w:val="24"/>
        </w:rPr>
        <w:fldChar w:fldCharType="begin"/>
      </w:r>
      <w:r>
        <w:rPr>
          <w:rFonts w:hint="eastAsia" w:ascii="仿宋" w:hAnsi="仿宋" w:eastAsia="仿宋"/>
          <w:sz w:val="24"/>
        </w:rPr>
        <w:instrText xml:space="preserve"> </w:instrText>
      </w:r>
      <w:r>
        <w:rPr>
          <w:rFonts w:ascii="仿宋" w:hAnsi="仿宋" w:eastAsia="仿宋"/>
          <w:sz w:val="24"/>
        </w:rPr>
        <w:instrText xml:space="preserve">PAGEREF _Toc205940251 \h</w:instrText>
      </w:r>
      <w:r>
        <w:rPr>
          <w:rFonts w:hint="eastAsia" w:ascii="仿宋" w:hAnsi="仿宋" w:eastAsia="仿宋"/>
          <w:sz w:val="24"/>
        </w:rPr>
        <w:instrText xml:space="preserve"> </w:instrText>
      </w:r>
      <w:r>
        <w:rPr>
          <w:rFonts w:hint="eastAsia" w:ascii="仿宋" w:hAnsi="仿宋" w:eastAsia="仿宋"/>
          <w:sz w:val="24"/>
        </w:rPr>
        <w:fldChar w:fldCharType="separate"/>
      </w:r>
      <w:r>
        <w:rPr>
          <w:rFonts w:ascii="仿宋" w:hAnsi="仿宋" w:eastAsia="仿宋"/>
          <w:sz w:val="24"/>
        </w:rPr>
        <w:t>27</w:t>
      </w:r>
      <w:r>
        <w:rPr>
          <w:rFonts w:hint="eastAsia" w:ascii="仿宋" w:hAnsi="仿宋" w:eastAsia="仿宋"/>
          <w:sz w:val="24"/>
        </w:rPr>
        <w:fldChar w:fldCharType="end"/>
      </w:r>
      <w:r>
        <w:rPr>
          <w:rFonts w:hint="eastAsia" w:ascii="仿宋" w:hAnsi="仿宋" w:eastAsia="仿宋"/>
          <w:sz w:val="24"/>
        </w:rPr>
        <w:fldChar w:fldCharType="end"/>
      </w:r>
    </w:p>
    <w:p w14:paraId="5415100D">
      <w:pPr>
        <w:pStyle w:val="7"/>
        <w:rPr>
          <w:sz w:val="30"/>
          <w:szCs w:val="30"/>
        </w:rPr>
      </w:pPr>
      <w:r>
        <w:rPr>
          <w:rFonts w:ascii="仿宋" w:hAnsi="仿宋" w:eastAsia="仿宋"/>
          <w:sz w:val="24"/>
          <w:szCs w:val="24"/>
        </w:rPr>
        <w:fldChar w:fldCharType="end"/>
      </w:r>
    </w:p>
    <w:p w14:paraId="4715B6C9">
      <w:pPr>
        <w:rPr>
          <w:sz w:val="30"/>
          <w:szCs w:val="30"/>
        </w:rPr>
      </w:pPr>
    </w:p>
    <w:p w14:paraId="74718233">
      <w:pPr>
        <w:rPr>
          <w:sz w:val="30"/>
          <w:szCs w:val="30"/>
        </w:rPr>
        <w:sectPr>
          <w:headerReference r:id="rId3" w:type="default"/>
          <w:footerReference r:id="rId4" w:type="default"/>
          <w:pgSz w:w="11906" w:h="16838"/>
          <w:pgMar w:top="1701" w:right="1418" w:bottom="1418" w:left="1418" w:header="737" w:footer="851" w:gutter="0"/>
          <w:cols w:space="425" w:num="1"/>
          <w:titlePg/>
          <w:docGrid w:type="lines" w:linePitch="466" w:charSpace="0"/>
        </w:sectPr>
      </w:pPr>
    </w:p>
    <w:p w14:paraId="7E178FAA">
      <w:pPr>
        <w:spacing w:line="360" w:lineRule="auto"/>
        <w:ind w:firstLine="480" w:firstLineChars="200"/>
        <w:rPr>
          <w:rFonts w:hint="eastAsia" w:ascii="仿宋" w:hAnsi="仿宋" w:eastAsia="仿宋" w:cs="Times New Roman"/>
          <w:sz w:val="24"/>
        </w:rPr>
      </w:pPr>
      <w:r>
        <w:rPr>
          <w:rFonts w:hint="eastAsia" w:ascii="仿宋" w:hAnsi="仿宋" w:eastAsia="仿宋" w:cs="Times New Roman"/>
          <w:sz w:val="24"/>
        </w:rPr>
        <w:t>为加强财政资金管理，强化支出责任，提高财政资金的使用效益，建立科学、合理的财政支出绩效评价管理体系，集大财经咨询（福州）有限公司接受石狮市财政局委托，组织专业人员成立评价工作组，根据中共中央、国务院《关于全面实施预算绩效管理的意见》（中发〔2018〕34号）、福建省委、省政府《关于全面实施预算绩效管理的实施意见》（闽委发〔2019〕5号）、福建省财政厅《关于全面实施预算绩效管理若干措施的通知》（闽财绩〔2019〕2号）、财政部《项目支出绩效评价管理办法》（财预〔2020〕10号）、《财政部关于委托第三方机构参与预算绩效管理的指导意见》（财预〔2021〕6号）等文件精神和要求，对2024年石狮市中小学多媒体设备全覆盖工程项目开展绩效评价，以第三方身份出具报告。评价报告主要是供石狮市财政局了解该项目经费支出的绩效情况。</w:t>
      </w:r>
    </w:p>
    <w:p w14:paraId="68EF7161">
      <w:pPr>
        <w:spacing w:line="360" w:lineRule="auto"/>
        <w:ind w:firstLine="480" w:firstLineChars="200"/>
        <w:rPr>
          <w:rFonts w:ascii="仿宋_GB2312" w:hAnsi="Times New Roman" w:eastAsia="仿宋_GB2312" w:cs="Times New Roman"/>
          <w:sz w:val="24"/>
        </w:rPr>
      </w:pPr>
    </w:p>
    <w:p w14:paraId="44DD838F">
      <w:pPr>
        <w:spacing w:line="360" w:lineRule="auto"/>
        <w:ind w:firstLine="562" w:firstLineChars="200"/>
        <w:outlineLvl w:val="0"/>
        <w:rPr>
          <w:rFonts w:hint="eastAsia" w:ascii="仿宋" w:hAnsi="仿宋" w:eastAsia="仿宋" w:cs="仿宋"/>
          <w:b/>
          <w:bCs/>
          <w:sz w:val="28"/>
          <w:szCs w:val="28"/>
        </w:rPr>
      </w:pPr>
      <w:bookmarkStart w:id="0" w:name="_Toc205940230"/>
      <w:bookmarkStart w:id="1" w:name="_Toc11103"/>
      <w:bookmarkStart w:id="2" w:name="_Toc184981296"/>
      <w:bookmarkStart w:id="3" w:name="_Toc184981055"/>
      <w:r>
        <w:rPr>
          <w:rFonts w:hint="eastAsia" w:ascii="仿宋" w:hAnsi="仿宋" w:eastAsia="仿宋" w:cs="仿宋"/>
          <w:b/>
          <w:bCs/>
          <w:sz w:val="28"/>
          <w:szCs w:val="28"/>
        </w:rPr>
        <w:t>一、基本情况</w:t>
      </w:r>
      <w:bookmarkEnd w:id="0"/>
      <w:bookmarkEnd w:id="1"/>
      <w:bookmarkEnd w:id="2"/>
      <w:bookmarkEnd w:id="3"/>
    </w:p>
    <w:p w14:paraId="010CDF51">
      <w:pPr>
        <w:spacing w:line="360" w:lineRule="auto"/>
        <w:ind w:firstLine="482" w:firstLineChars="200"/>
        <w:outlineLvl w:val="1"/>
        <w:rPr>
          <w:rFonts w:ascii="仿宋_GB2312" w:hAnsi="Times New Roman" w:eastAsia="仿宋_GB2312" w:cs="Times New Roman"/>
          <w:b/>
          <w:bCs/>
          <w:sz w:val="24"/>
        </w:rPr>
      </w:pPr>
      <w:bookmarkStart w:id="4" w:name="_Toc184981297"/>
      <w:bookmarkStart w:id="5" w:name="_Toc184981056"/>
      <w:bookmarkStart w:id="6" w:name="_Toc27083"/>
      <w:bookmarkStart w:id="7" w:name="_Toc205940231"/>
      <w:r>
        <w:rPr>
          <w:rFonts w:hint="eastAsia" w:ascii="仿宋_GB2312" w:hAnsi="Times New Roman" w:eastAsia="仿宋_GB2312" w:cs="Times New Roman"/>
          <w:b/>
          <w:bCs/>
          <w:sz w:val="24"/>
        </w:rPr>
        <w:t>（一）项目概况</w:t>
      </w:r>
      <w:bookmarkEnd w:id="4"/>
      <w:bookmarkEnd w:id="5"/>
      <w:bookmarkEnd w:id="6"/>
      <w:bookmarkEnd w:id="7"/>
    </w:p>
    <w:p w14:paraId="190FA26E">
      <w:pPr>
        <w:spacing w:line="360" w:lineRule="auto"/>
        <w:ind w:firstLine="480" w:firstLineChars="200"/>
        <w:rPr>
          <w:rFonts w:hint="eastAsia" w:ascii="仿宋" w:hAnsi="仿宋" w:eastAsia="仿宋" w:cs="Times New Roman"/>
          <w:sz w:val="24"/>
        </w:rPr>
      </w:pPr>
      <w:bookmarkStart w:id="8" w:name="_Toc184981058"/>
      <w:r>
        <w:rPr>
          <w:rFonts w:hint="eastAsia" w:ascii="仿宋" w:hAnsi="仿宋" w:eastAsia="仿宋" w:cs="Times New Roman"/>
          <w:sz w:val="24"/>
        </w:rPr>
        <w:t>1.主要内容及实施情况</w:t>
      </w:r>
      <w:bookmarkEnd w:id="8"/>
    </w:p>
    <w:p w14:paraId="07D72769">
      <w:pPr>
        <w:spacing w:line="360" w:lineRule="auto"/>
        <w:ind w:firstLine="480" w:firstLineChars="200"/>
        <w:rPr>
          <w:rFonts w:hint="eastAsia" w:ascii="仿宋" w:hAnsi="仿宋" w:eastAsia="仿宋" w:cs="Times New Roman"/>
          <w:sz w:val="24"/>
        </w:rPr>
      </w:pPr>
      <w:bookmarkStart w:id="9" w:name="_Hlk205153113"/>
      <w:r>
        <w:rPr>
          <w:rFonts w:hint="eastAsia" w:ascii="仿宋_GB2312" w:hAnsi="Times New Roman" w:eastAsia="仿宋_GB2312" w:cs="Times New Roman"/>
          <w:sz w:val="24"/>
        </w:rPr>
        <w:t>为贯彻落实《中共福建省委福建省人民政府关于开展2024年为民办实事工作的通知》精神及福建省教育厅、福建省财政厅《2024年福建省中小学班级多媒体教学设备全覆盖工程实施方案》（闽教科〔2024〕1号）的要求，石狮市教育局启动中小学班级多媒体教学设备全覆盖工程。</w:t>
      </w:r>
      <w:r>
        <w:rPr>
          <w:rFonts w:hint="eastAsia" w:ascii="仿宋" w:hAnsi="仿宋" w:eastAsia="仿宋" w:cs="Times New Roman"/>
          <w:sz w:val="24"/>
        </w:rPr>
        <w:t>石狮市根据2023年12月底在“全国教育信息化工作管理信息系统”填报的中小学班级多媒体设备配置情况，进行自查、统计汇总，结合石狮市实际申报改造任务。在接到泉州市教育局关于多媒体教学设备分解任务后，石狮市教育局将改造任务分解到辖区内各有关学校。采购招标工作由市教育局采取统一采购方式进行，以完成泉州市下达的为民办实事项目改造任务为目标，确保班级多媒体教学设备全覆盖工程质量符合标准要求。该项目于2024年8月26日完成了辖区内项目采购签约工作，于2024年12月30日前完成了238套多媒体教学设备的安装验收工作，其中纳入省级为民办实事“全覆盖工程”的68套多媒体教学设备于2024年8月20日前完成验收。</w:t>
      </w:r>
    </w:p>
    <w:bookmarkEnd w:id="9"/>
    <w:p w14:paraId="640FABA1">
      <w:pPr>
        <w:spacing w:line="360" w:lineRule="auto"/>
        <w:ind w:firstLine="480" w:firstLineChars="200"/>
        <w:rPr>
          <w:rFonts w:hint="eastAsia" w:ascii="仿宋" w:hAnsi="仿宋" w:eastAsia="仿宋" w:cs="Times New Roman"/>
          <w:sz w:val="24"/>
        </w:rPr>
      </w:pPr>
      <w:r>
        <w:rPr>
          <w:rFonts w:hint="eastAsia" w:ascii="仿宋" w:hAnsi="仿宋" w:eastAsia="仿宋" w:cs="Times New Roman"/>
          <w:sz w:val="24"/>
        </w:rPr>
        <w:t>2.资金投入和使用情况</w:t>
      </w:r>
    </w:p>
    <w:p w14:paraId="19CF85BC">
      <w:pPr>
        <w:spacing w:line="360" w:lineRule="auto"/>
        <w:ind w:firstLine="480" w:firstLineChars="200"/>
        <w:rPr>
          <w:rFonts w:hint="eastAsia" w:ascii="仿宋" w:hAnsi="仿宋" w:eastAsia="仿宋" w:cs="Times New Roman"/>
          <w:sz w:val="24"/>
        </w:rPr>
      </w:pPr>
      <w:bookmarkStart w:id="10" w:name="_Hlk205153148"/>
      <w:r>
        <w:rPr>
          <w:rFonts w:hint="eastAsia" w:ascii="仿宋" w:hAnsi="仿宋" w:eastAsia="仿宋" w:cs="Times New Roman"/>
          <w:sz w:val="24"/>
        </w:rPr>
        <w:t>本次2024年石狮市中小学班级多媒体教学设备全覆盖工程项目绩效评价共238套设备，总计469.3360万元。其中68套列为省级财政补助项目，纳入省级为民办实事工程，</w:t>
      </w:r>
      <w:r>
        <w:rPr>
          <w:rFonts w:ascii="仿宋" w:hAnsi="仿宋" w:eastAsia="仿宋" w:cs="Times New Roman"/>
          <w:sz w:val="24"/>
        </w:rPr>
        <w:t>2024年省委、省政府“全覆盖工程”为民办实事项目</w:t>
      </w:r>
      <w:r>
        <w:rPr>
          <w:rFonts w:hint="eastAsia" w:ascii="仿宋" w:hAnsi="仿宋" w:eastAsia="仿宋" w:cs="Times New Roman"/>
          <w:sz w:val="24"/>
        </w:rPr>
        <w:t>文件精神</w:t>
      </w:r>
      <w:r>
        <w:rPr>
          <w:rFonts w:ascii="仿宋" w:hAnsi="仿宋" w:eastAsia="仿宋" w:cs="Times New Roman"/>
          <w:sz w:val="24"/>
        </w:rPr>
        <w:t>明确，每套多媒体教学设备按2.5万元测算，省级财政承担50%，即每套补助1.25万元；下达石狮市指标68套，省级补助</w:t>
      </w:r>
      <w:r>
        <w:rPr>
          <w:rFonts w:hint="eastAsia" w:ascii="仿宋" w:hAnsi="仿宋" w:eastAsia="仿宋" w:cs="Times New Roman"/>
          <w:sz w:val="24"/>
        </w:rPr>
        <w:t>共计</w:t>
      </w:r>
      <w:r>
        <w:rPr>
          <w:rFonts w:ascii="仿宋" w:hAnsi="仿宋" w:eastAsia="仿宋" w:cs="Times New Roman"/>
          <w:sz w:val="24"/>
        </w:rPr>
        <w:t>85万元，其余</w:t>
      </w:r>
      <w:r>
        <w:rPr>
          <w:rFonts w:hint="eastAsia" w:ascii="仿宋" w:hAnsi="仿宋" w:eastAsia="仿宋" w:cs="Times New Roman"/>
          <w:sz w:val="24"/>
        </w:rPr>
        <w:t>384.3360万元</w:t>
      </w:r>
      <w:r>
        <w:rPr>
          <w:rFonts w:ascii="仿宋" w:hAnsi="仿宋" w:eastAsia="仿宋" w:cs="Times New Roman"/>
          <w:sz w:val="24"/>
        </w:rPr>
        <w:t>由市财政</w:t>
      </w:r>
      <w:r>
        <w:rPr>
          <w:rFonts w:hint="eastAsia" w:ascii="仿宋" w:hAnsi="仿宋" w:eastAsia="仿宋" w:cs="Times New Roman"/>
          <w:sz w:val="24"/>
        </w:rPr>
        <w:t>支出</w:t>
      </w:r>
      <w:r>
        <w:rPr>
          <w:rFonts w:ascii="仿宋" w:hAnsi="仿宋" w:eastAsia="仿宋" w:cs="Times New Roman"/>
          <w:sz w:val="24"/>
        </w:rPr>
        <w:t>。</w:t>
      </w:r>
      <w:bookmarkEnd w:id="10"/>
      <w:r>
        <w:rPr>
          <w:rFonts w:hint="eastAsia" w:ascii="仿宋" w:hAnsi="仿宋" w:eastAsia="仿宋" w:cs="Times New Roman"/>
          <w:sz w:val="24"/>
        </w:rPr>
        <w:t>各校分配金额明细见表1。</w:t>
      </w:r>
    </w:p>
    <w:p w14:paraId="2B4D3BE5">
      <w:pPr>
        <w:pStyle w:val="6"/>
        <w:numPr>
          <w:ilvl w:val="0"/>
          <w:numId w:val="0"/>
        </w:numPr>
        <w:tabs>
          <w:tab w:val="clear" w:pos="2040"/>
        </w:tabs>
        <w:spacing w:line="360" w:lineRule="auto"/>
        <w:jc w:val="center"/>
        <w:rPr>
          <w:rFonts w:hint="eastAsia" w:ascii="仿宋" w:hAnsi="仿宋" w:eastAsia="仿宋" w:cs="Times New Roman"/>
          <w:b/>
          <w:bCs/>
          <w:sz w:val="24"/>
        </w:rPr>
      </w:pPr>
      <w:r>
        <w:rPr>
          <w:rFonts w:hint="eastAsia" w:ascii="仿宋" w:hAnsi="仿宋" w:eastAsia="仿宋" w:cs="Times New Roman"/>
          <w:b/>
          <w:bCs/>
          <w:sz w:val="24"/>
        </w:rPr>
        <w:t xml:space="preserve">                 表1  全覆盖工程各校分配金额情况表           单位：万元</w:t>
      </w:r>
    </w:p>
    <w:tbl>
      <w:tblPr>
        <w:tblStyle w:val="13"/>
        <w:tblW w:w="8551" w:type="dxa"/>
        <w:tblInd w:w="91" w:type="dxa"/>
        <w:tblLayout w:type="fixed"/>
        <w:tblCellMar>
          <w:top w:w="0" w:type="dxa"/>
          <w:left w:w="108" w:type="dxa"/>
          <w:bottom w:w="0" w:type="dxa"/>
          <w:right w:w="108" w:type="dxa"/>
        </w:tblCellMar>
      </w:tblPr>
      <w:tblGrid>
        <w:gridCol w:w="663"/>
        <w:gridCol w:w="4174"/>
        <w:gridCol w:w="1866"/>
        <w:gridCol w:w="1848"/>
      </w:tblGrid>
      <w:tr w14:paraId="355542FF">
        <w:tblPrEx>
          <w:tblCellMar>
            <w:top w:w="0" w:type="dxa"/>
            <w:left w:w="108" w:type="dxa"/>
            <w:bottom w:w="0" w:type="dxa"/>
            <w:right w:w="108" w:type="dxa"/>
          </w:tblCellMar>
        </w:tblPrEx>
        <w:trPr>
          <w:trHeight w:val="397" w:hRule="exact"/>
          <w:tblHeader/>
        </w:trPr>
        <w:tc>
          <w:tcPr>
            <w:tcW w:w="663" w:type="dxa"/>
            <w:tcBorders>
              <w:top w:val="single" w:color="000000" w:sz="4" w:space="0"/>
              <w:left w:val="single" w:color="000000" w:sz="4" w:space="0"/>
              <w:bottom w:val="single" w:color="000000" w:sz="4" w:space="0"/>
              <w:right w:val="single" w:color="000000" w:sz="4" w:space="0"/>
            </w:tcBorders>
            <w:vAlign w:val="bottom"/>
          </w:tcPr>
          <w:p w14:paraId="4CFF96BC">
            <w:pPr>
              <w:pStyle w:val="6"/>
              <w:numPr>
                <w:ilvl w:val="0"/>
                <w:numId w:val="0"/>
              </w:numPr>
              <w:tabs>
                <w:tab w:val="clear" w:pos="2040"/>
              </w:tabs>
              <w:jc w:val="center"/>
              <w:rPr>
                <w:rFonts w:hint="eastAsia" w:ascii="仿宋" w:hAnsi="仿宋" w:eastAsia="仿宋" w:cs="Times New Roman"/>
                <w:b/>
                <w:bCs/>
                <w:szCs w:val="21"/>
              </w:rPr>
            </w:pPr>
            <w:r>
              <w:rPr>
                <w:rFonts w:hint="eastAsia" w:ascii="仿宋" w:hAnsi="仿宋" w:eastAsia="仿宋" w:cs="Times New Roman"/>
                <w:b/>
                <w:bCs/>
                <w:szCs w:val="21"/>
              </w:rPr>
              <w:t>序号</w:t>
            </w:r>
          </w:p>
        </w:tc>
        <w:tc>
          <w:tcPr>
            <w:tcW w:w="4174" w:type="dxa"/>
            <w:tcBorders>
              <w:top w:val="single" w:color="000000" w:sz="4" w:space="0"/>
              <w:bottom w:val="single" w:color="000000" w:sz="4" w:space="0"/>
              <w:right w:val="single" w:color="000000" w:sz="4" w:space="0"/>
            </w:tcBorders>
            <w:vAlign w:val="bottom"/>
          </w:tcPr>
          <w:p w14:paraId="04467C46">
            <w:pPr>
              <w:pStyle w:val="6"/>
              <w:numPr>
                <w:ilvl w:val="0"/>
                <w:numId w:val="0"/>
              </w:numPr>
              <w:tabs>
                <w:tab w:val="clear" w:pos="2040"/>
              </w:tabs>
              <w:jc w:val="center"/>
              <w:rPr>
                <w:rFonts w:hint="eastAsia" w:ascii="仿宋" w:hAnsi="仿宋" w:eastAsia="仿宋" w:cs="Times New Roman"/>
                <w:b/>
                <w:bCs/>
                <w:szCs w:val="21"/>
              </w:rPr>
            </w:pPr>
            <w:r>
              <w:rPr>
                <w:rFonts w:hint="eastAsia" w:ascii="仿宋" w:hAnsi="仿宋" w:eastAsia="仿宋" w:cs="Times New Roman"/>
                <w:b/>
                <w:bCs/>
                <w:szCs w:val="21"/>
              </w:rPr>
              <w:t>学校</w:t>
            </w:r>
          </w:p>
        </w:tc>
        <w:tc>
          <w:tcPr>
            <w:tcW w:w="1866" w:type="dxa"/>
            <w:tcBorders>
              <w:top w:val="single" w:color="000000" w:sz="4" w:space="0"/>
              <w:bottom w:val="single" w:color="000000" w:sz="4" w:space="0"/>
              <w:right w:val="single" w:color="000000" w:sz="4" w:space="0"/>
            </w:tcBorders>
            <w:vAlign w:val="bottom"/>
          </w:tcPr>
          <w:p w14:paraId="1F1A31F8">
            <w:pPr>
              <w:pStyle w:val="6"/>
              <w:numPr>
                <w:ilvl w:val="0"/>
                <w:numId w:val="0"/>
              </w:numPr>
              <w:tabs>
                <w:tab w:val="clear" w:pos="2040"/>
              </w:tabs>
              <w:jc w:val="center"/>
              <w:rPr>
                <w:rFonts w:hint="eastAsia" w:ascii="仿宋" w:hAnsi="仿宋" w:eastAsia="仿宋" w:cs="Times New Roman"/>
                <w:b/>
                <w:bCs/>
                <w:szCs w:val="21"/>
              </w:rPr>
            </w:pPr>
            <w:r>
              <w:rPr>
                <w:rFonts w:hint="eastAsia" w:ascii="仿宋" w:hAnsi="仿宋" w:eastAsia="仿宋" w:cs="Times New Roman"/>
                <w:b/>
                <w:bCs/>
                <w:szCs w:val="21"/>
              </w:rPr>
              <w:t>总金额</w:t>
            </w:r>
          </w:p>
        </w:tc>
        <w:tc>
          <w:tcPr>
            <w:tcW w:w="1848" w:type="dxa"/>
            <w:tcBorders>
              <w:top w:val="single" w:color="000000" w:sz="4" w:space="0"/>
              <w:bottom w:val="single" w:color="000000" w:sz="4" w:space="0"/>
              <w:right w:val="single" w:color="000000" w:sz="4" w:space="0"/>
            </w:tcBorders>
          </w:tcPr>
          <w:p w14:paraId="4AFBB4D6">
            <w:pPr>
              <w:pStyle w:val="6"/>
              <w:numPr>
                <w:ilvl w:val="0"/>
                <w:numId w:val="0"/>
              </w:numPr>
              <w:tabs>
                <w:tab w:val="clear" w:pos="2040"/>
              </w:tabs>
              <w:jc w:val="center"/>
              <w:rPr>
                <w:rFonts w:hint="eastAsia" w:ascii="仿宋" w:hAnsi="仿宋" w:eastAsia="仿宋" w:cs="Times New Roman"/>
                <w:b/>
                <w:bCs/>
                <w:szCs w:val="21"/>
              </w:rPr>
            </w:pPr>
            <w:r>
              <w:rPr>
                <w:rFonts w:hint="eastAsia" w:ascii="仿宋" w:hAnsi="仿宋" w:eastAsia="仿宋" w:cs="Times New Roman"/>
                <w:b/>
                <w:bCs/>
                <w:szCs w:val="21"/>
              </w:rPr>
              <w:t>省补助金额</w:t>
            </w:r>
          </w:p>
        </w:tc>
      </w:tr>
      <w:tr w14:paraId="4CF225BD">
        <w:tblPrEx>
          <w:tblCellMar>
            <w:top w:w="0" w:type="dxa"/>
            <w:left w:w="108" w:type="dxa"/>
            <w:bottom w:w="0" w:type="dxa"/>
            <w:right w:w="108" w:type="dxa"/>
          </w:tblCellMar>
        </w:tblPrEx>
        <w:trPr>
          <w:trHeight w:val="397" w:hRule="exact"/>
        </w:trPr>
        <w:tc>
          <w:tcPr>
            <w:tcW w:w="663" w:type="dxa"/>
            <w:tcBorders>
              <w:left w:val="single" w:color="000000" w:sz="4" w:space="0"/>
              <w:bottom w:val="single" w:color="000000" w:sz="4" w:space="0"/>
              <w:right w:val="single" w:color="000000" w:sz="4" w:space="0"/>
            </w:tcBorders>
            <w:vAlign w:val="center"/>
          </w:tcPr>
          <w:p w14:paraId="22F7EE88">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1</w:t>
            </w:r>
          </w:p>
        </w:tc>
        <w:tc>
          <w:tcPr>
            <w:tcW w:w="4174" w:type="dxa"/>
            <w:tcBorders>
              <w:bottom w:val="single" w:color="000000" w:sz="4" w:space="0"/>
              <w:right w:val="single" w:color="000000" w:sz="4" w:space="0"/>
            </w:tcBorders>
            <w:vAlign w:val="center"/>
          </w:tcPr>
          <w:p w14:paraId="1C868C3C">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石狮市灵秀镇华山小学</w:t>
            </w:r>
          </w:p>
        </w:tc>
        <w:tc>
          <w:tcPr>
            <w:tcW w:w="1866" w:type="dxa"/>
            <w:tcBorders>
              <w:bottom w:val="single" w:color="000000" w:sz="4" w:space="0"/>
              <w:right w:val="single" w:color="000000" w:sz="4" w:space="0"/>
            </w:tcBorders>
          </w:tcPr>
          <w:p w14:paraId="70BE8F71">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3.944</w:t>
            </w:r>
          </w:p>
        </w:tc>
        <w:tc>
          <w:tcPr>
            <w:tcW w:w="1848" w:type="dxa"/>
            <w:tcBorders>
              <w:bottom w:val="single" w:color="000000" w:sz="4" w:space="0"/>
              <w:right w:val="single" w:color="000000" w:sz="4" w:space="0"/>
            </w:tcBorders>
          </w:tcPr>
          <w:p w14:paraId="5991E45A">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2.5</w:t>
            </w:r>
          </w:p>
        </w:tc>
      </w:tr>
      <w:tr w14:paraId="0B0F040B">
        <w:tblPrEx>
          <w:tblCellMar>
            <w:top w:w="0" w:type="dxa"/>
            <w:left w:w="108" w:type="dxa"/>
            <w:bottom w:w="0" w:type="dxa"/>
            <w:right w:w="108" w:type="dxa"/>
          </w:tblCellMar>
        </w:tblPrEx>
        <w:trPr>
          <w:trHeight w:val="397" w:hRule="exact"/>
        </w:trPr>
        <w:tc>
          <w:tcPr>
            <w:tcW w:w="663" w:type="dxa"/>
            <w:tcBorders>
              <w:left w:val="single" w:color="000000" w:sz="4" w:space="0"/>
              <w:bottom w:val="single" w:color="000000" w:sz="4" w:space="0"/>
              <w:right w:val="single" w:color="000000" w:sz="4" w:space="0"/>
            </w:tcBorders>
            <w:vAlign w:val="center"/>
          </w:tcPr>
          <w:p w14:paraId="009EA3B9">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2</w:t>
            </w:r>
          </w:p>
        </w:tc>
        <w:tc>
          <w:tcPr>
            <w:tcW w:w="4174" w:type="dxa"/>
            <w:tcBorders>
              <w:bottom w:val="single" w:color="000000" w:sz="4" w:space="0"/>
              <w:right w:val="single" w:color="000000" w:sz="4" w:space="0"/>
            </w:tcBorders>
            <w:vAlign w:val="center"/>
          </w:tcPr>
          <w:p w14:paraId="60FB9E70">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石狮市新湖中心小学</w:t>
            </w:r>
          </w:p>
        </w:tc>
        <w:tc>
          <w:tcPr>
            <w:tcW w:w="1866" w:type="dxa"/>
            <w:tcBorders>
              <w:left w:val="single" w:color="000000" w:sz="4" w:space="0"/>
              <w:bottom w:val="single" w:color="000000" w:sz="4" w:space="0"/>
              <w:right w:val="single" w:color="000000" w:sz="4" w:space="0"/>
            </w:tcBorders>
          </w:tcPr>
          <w:p w14:paraId="2FFA0B4D">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41.412</w:t>
            </w:r>
          </w:p>
        </w:tc>
        <w:tc>
          <w:tcPr>
            <w:tcW w:w="1848" w:type="dxa"/>
            <w:tcBorders>
              <w:left w:val="single" w:color="000000" w:sz="4" w:space="0"/>
              <w:bottom w:val="single" w:color="000000" w:sz="4" w:space="0"/>
              <w:right w:val="single" w:color="000000" w:sz="4" w:space="0"/>
            </w:tcBorders>
          </w:tcPr>
          <w:p w14:paraId="26905B65">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2.5</w:t>
            </w:r>
          </w:p>
        </w:tc>
      </w:tr>
      <w:tr w14:paraId="3D3F5F44">
        <w:tblPrEx>
          <w:tblCellMar>
            <w:top w:w="0" w:type="dxa"/>
            <w:left w:w="108" w:type="dxa"/>
            <w:bottom w:w="0" w:type="dxa"/>
            <w:right w:w="108" w:type="dxa"/>
          </w:tblCellMar>
        </w:tblPrEx>
        <w:trPr>
          <w:trHeight w:val="397" w:hRule="exact"/>
        </w:trPr>
        <w:tc>
          <w:tcPr>
            <w:tcW w:w="663" w:type="dxa"/>
            <w:tcBorders>
              <w:left w:val="single" w:color="000000" w:sz="4" w:space="0"/>
              <w:bottom w:val="single" w:color="000000" w:sz="4" w:space="0"/>
              <w:right w:val="single" w:color="000000" w:sz="4" w:space="0"/>
            </w:tcBorders>
            <w:vAlign w:val="center"/>
          </w:tcPr>
          <w:p w14:paraId="5A1ABF02">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3</w:t>
            </w:r>
          </w:p>
        </w:tc>
        <w:tc>
          <w:tcPr>
            <w:tcW w:w="4174" w:type="dxa"/>
            <w:tcBorders>
              <w:bottom w:val="single" w:color="000000" w:sz="4" w:space="0"/>
              <w:right w:val="single" w:color="000000" w:sz="4" w:space="0"/>
            </w:tcBorders>
            <w:vAlign w:val="center"/>
          </w:tcPr>
          <w:p w14:paraId="4F1EA597">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石狮市第八实验小学</w:t>
            </w:r>
          </w:p>
        </w:tc>
        <w:tc>
          <w:tcPr>
            <w:tcW w:w="1866" w:type="dxa"/>
            <w:tcBorders>
              <w:left w:val="single" w:color="000000" w:sz="4" w:space="0"/>
              <w:bottom w:val="single" w:color="auto" w:sz="4" w:space="0"/>
              <w:right w:val="single" w:color="000000" w:sz="4" w:space="0"/>
            </w:tcBorders>
          </w:tcPr>
          <w:p w14:paraId="65C360FA">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7.888</w:t>
            </w:r>
          </w:p>
        </w:tc>
        <w:tc>
          <w:tcPr>
            <w:tcW w:w="1848" w:type="dxa"/>
            <w:tcBorders>
              <w:left w:val="single" w:color="000000" w:sz="4" w:space="0"/>
              <w:bottom w:val="single" w:color="auto" w:sz="4" w:space="0"/>
              <w:right w:val="single" w:color="000000" w:sz="4" w:space="0"/>
            </w:tcBorders>
          </w:tcPr>
          <w:p w14:paraId="136C4FD5">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2.5</w:t>
            </w:r>
          </w:p>
        </w:tc>
      </w:tr>
      <w:tr w14:paraId="6E725900">
        <w:tblPrEx>
          <w:tblCellMar>
            <w:top w:w="0" w:type="dxa"/>
            <w:left w:w="108" w:type="dxa"/>
            <w:bottom w:w="0" w:type="dxa"/>
            <w:right w:w="108" w:type="dxa"/>
          </w:tblCellMar>
        </w:tblPrEx>
        <w:trPr>
          <w:trHeight w:val="397" w:hRule="exact"/>
        </w:trPr>
        <w:tc>
          <w:tcPr>
            <w:tcW w:w="663" w:type="dxa"/>
            <w:tcBorders>
              <w:left w:val="single" w:color="000000" w:sz="4" w:space="0"/>
              <w:bottom w:val="single" w:color="000000" w:sz="4" w:space="0"/>
              <w:right w:val="single" w:color="000000" w:sz="4" w:space="0"/>
            </w:tcBorders>
            <w:vAlign w:val="center"/>
          </w:tcPr>
          <w:p w14:paraId="43369915">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4</w:t>
            </w:r>
          </w:p>
        </w:tc>
        <w:tc>
          <w:tcPr>
            <w:tcW w:w="4174" w:type="dxa"/>
            <w:tcBorders>
              <w:bottom w:val="single" w:color="000000" w:sz="4" w:space="0"/>
              <w:right w:val="single" w:color="auto" w:sz="4" w:space="0"/>
            </w:tcBorders>
            <w:vAlign w:val="center"/>
          </w:tcPr>
          <w:p w14:paraId="209B8B41">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石狮市灵秀镇塘园小学</w:t>
            </w:r>
          </w:p>
        </w:tc>
        <w:tc>
          <w:tcPr>
            <w:tcW w:w="1866" w:type="dxa"/>
            <w:tcBorders>
              <w:top w:val="single" w:color="auto" w:sz="4" w:space="0"/>
              <w:left w:val="single" w:color="auto" w:sz="4" w:space="0"/>
              <w:bottom w:val="single" w:color="auto" w:sz="4" w:space="0"/>
              <w:right w:val="single" w:color="auto" w:sz="4" w:space="0"/>
            </w:tcBorders>
          </w:tcPr>
          <w:p w14:paraId="0A3A012D">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15.776</w:t>
            </w:r>
          </w:p>
        </w:tc>
        <w:tc>
          <w:tcPr>
            <w:tcW w:w="1848" w:type="dxa"/>
            <w:tcBorders>
              <w:top w:val="single" w:color="auto" w:sz="4" w:space="0"/>
              <w:left w:val="single" w:color="auto" w:sz="4" w:space="0"/>
              <w:bottom w:val="single" w:color="auto" w:sz="4" w:space="0"/>
              <w:right w:val="single" w:color="auto" w:sz="4" w:space="0"/>
            </w:tcBorders>
          </w:tcPr>
          <w:p w14:paraId="6E4BD68A">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2.5</w:t>
            </w:r>
          </w:p>
        </w:tc>
      </w:tr>
      <w:tr w14:paraId="302B2255">
        <w:tblPrEx>
          <w:tblCellMar>
            <w:top w:w="0" w:type="dxa"/>
            <w:left w:w="108" w:type="dxa"/>
            <w:bottom w:w="0" w:type="dxa"/>
            <w:right w:w="108" w:type="dxa"/>
          </w:tblCellMar>
        </w:tblPrEx>
        <w:trPr>
          <w:trHeight w:val="397" w:hRule="exact"/>
        </w:trPr>
        <w:tc>
          <w:tcPr>
            <w:tcW w:w="663" w:type="dxa"/>
            <w:tcBorders>
              <w:left w:val="single" w:color="000000" w:sz="4" w:space="0"/>
              <w:bottom w:val="single" w:color="auto" w:sz="4" w:space="0"/>
              <w:right w:val="single" w:color="000000" w:sz="4" w:space="0"/>
            </w:tcBorders>
            <w:vAlign w:val="center"/>
          </w:tcPr>
          <w:p w14:paraId="33CD525B">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5</w:t>
            </w:r>
          </w:p>
        </w:tc>
        <w:tc>
          <w:tcPr>
            <w:tcW w:w="4174" w:type="dxa"/>
            <w:tcBorders>
              <w:bottom w:val="single" w:color="auto" w:sz="4" w:space="0"/>
              <w:right w:val="single" w:color="auto" w:sz="4" w:space="0"/>
            </w:tcBorders>
            <w:vAlign w:val="center"/>
          </w:tcPr>
          <w:p w14:paraId="66DD428D">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石狮市祥芝镇紫湖小学</w:t>
            </w:r>
          </w:p>
        </w:tc>
        <w:tc>
          <w:tcPr>
            <w:tcW w:w="1866" w:type="dxa"/>
            <w:tcBorders>
              <w:top w:val="single" w:color="auto" w:sz="4" w:space="0"/>
              <w:left w:val="single" w:color="auto" w:sz="4" w:space="0"/>
              <w:bottom w:val="single" w:color="auto" w:sz="4" w:space="0"/>
              <w:right w:val="single" w:color="auto" w:sz="4" w:space="0"/>
            </w:tcBorders>
          </w:tcPr>
          <w:p w14:paraId="514EFEBA">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1.972</w:t>
            </w:r>
          </w:p>
        </w:tc>
        <w:tc>
          <w:tcPr>
            <w:tcW w:w="1848" w:type="dxa"/>
            <w:tcBorders>
              <w:top w:val="single" w:color="auto" w:sz="4" w:space="0"/>
              <w:left w:val="single" w:color="auto" w:sz="4" w:space="0"/>
              <w:bottom w:val="single" w:color="auto" w:sz="4" w:space="0"/>
              <w:right w:val="single" w:color="auto" w:sz="4" w:space="0"/>
            </w:tcBorders>
          </w:tcPr>
          <w:p w14:paraId="5E8F07CD">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1.25</w:t>
            </w:r>
          </w:p>
        </w:tc>
      </w:tr>
      <w:tr w14:paraId="5162D318">
        <w:tblPrEx>
          <w:tblCellMar>
            <w:top w:w="0" w:type="dxa"/>
            <w:left w:w="108" w:type="dxa"/>
            <w:bottom w:w="0" w:type="dxa"/>
            <w:right w:w="108" w:type="dxa"/>
          </w:tblCellMar>
        </w:tblPrEx>
        <w:trPr>
          <w:trHeight w:val="397" w:hRule="exact"/>
        </w:trPr>
        <w:tc>
          <w:tcPr>
            <w:tcW w:w="663" w:type="dxa"/>
            <w:tcBorders>
              <w:top w:val="single" w:color="auto" w:sz="4" w:space="0"/>
              <w:left w:val="single" w:color="auto" w:sz="4" w:space="0"/>
              <w:bottom w:val="single" w:color="auto" w:sz="4" w:space="0"/>
              <w:right w:val="single" w:color="auto" w:sz="4" w:space="0"/>
            </w:tcBorders>
            <w:vAlign w:val="center"/>
          </w:tcPr>
          <w:p w14:paraId="01D0EF13">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6</w:t>
            </w:r>
          </w:p>
        </w:tc>
        <w:tc>
          <w:tcPr>
            <w:tcW w:w="4174" w:type="dxa"/>
            <w:tcBorders>
              <w:top w:val="single" w:color="auto" w:sz="4" w:space="0"/>
              <w:left w:val="single" w:color="auto" w:sz="4" w:space="0"/>
              <w:bottom w:val="single" w:color="auto" w:sz="4" w:space="0"/>
              <w:right w:val="single" w:color="auto" w:sz="4" w:space="0"/>
            </w:tcBorders>
            <w:vAlign w:val="center"/>
          </w:tcPr>
          <w:p w14:paraId="4770575C">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石狮市第五实验小学</w:t>
            </w:r>
          </w:p>
        </w:tc>
        <w:tc>
          <w:tcPr>
            <w:tcW w:w="1866" w:type="dxa"/>
            <w:tcBorders>
              <w:top w:val="single" w:color="auto" w:sz="4" w:space="0"/>
              <w:left w:val="single" w:color="auto" w:sz="4" w:space="0"/>
              <w:bottom w:val="single" w:color="auto" w:sz="4" w:space="0"/>
              <w:right w:val="single" w:color="auto" w:sz="4" w:space="0"/>
            </w:tcBorders>
          </w:tcPr>
          <w:p w14:paraId="3BD44BC0">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23.664</w:t>
            </w:r>
          </w:p>
        </w:tc>
        <w:tc>
          <w:tcPr>
            <w:tcW w:w="1848" w:type="dxa"/>
            <w:tcBorders>
              <w:top w:val="single" w:color="auto" w:sz="4" w:space="0"/>
              <w:left w:val="single" w:color="auto" w:sz="4" w:space="0"/>
              <w:bottom w:val="single" w:color="auto" w:sz="4" w:space="0"/>
              <w:right w:val="single" w:color="auto" w:sz="4" w:space="0"/>
            </w:tcBorders>
          </w:tcPr>
          <w:p w14:paraId="5A6AE1BC">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2.5</w:t>
            </w:r>
          </w:p>
        </w:tc>
      </w:tr>
      <w:tr w14:paraId="7EF7FB7A">
        <w:tblPrEx>
          <w:tblCellMar>
            <w:top w:w="0" w:type="dxa"/>
            <w:left w:w="108" w:type="dxa"/>
            <w:bottom w:w="0" w:type="dxa"/>
            <w:right w:w="108" w:type="dxa"/>
          </w:tblCellMar>
        </w:tblPrEx>
        <w:trPr>
          <w:trHeight w:val="397" w:hRule="exact"/>
        </w:trPr>
        <w:tc>
          <w:tcPr>
            <w:tcW w:w="663" w:type="dxa"/>
            <w:tcBorders>
              <w:top w:val="single" w:color="auto" w:sz="4" w:space="0"/>
              <w:left w:val="single" w:color="auto" w:sz="4" w:space="0"/>
              <w:bottom w:val="single" w:color="auto" w:sz="4" w:space="0"/>
              <w:right w:val="single" w:color="auto" w:sz="4" w:space="0"/>
            </w:tcBorders>
            <w:vAlign w:val="center"/>
          </w:tcPr>
          <w:p w14:paraId="57492BD7">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7</w:t>
            </w:r>
          </w:p>
        </w:tc>
        <w:tc>
          <w:tcPr>
            <w:tcW w:w="4174" w:type="dxa"/>
            <w:tcBorders>
              <w:top w:val="single" w:color="auto" w:sz="4" w:space="0"/>
              <w:left w:val="single" w:color="auto" w:sz="4" w:space="0"/>
              <w:bottom w:val="single" w:color="auto" w:sz="4" w:space="0"/>
              <w:right w:val="single" w:color="auto" w:sz="4" w:space="0"/>
            </w:tcBorders>
            <w:vAlign w:val="center"/>
          </w:tcPr>
          <w:p w14:paraId="2D23B511">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石狮市第三实验小学复光校区</w:t>
            </w:r>
          </w:p>
        </w:tc>
        <w:tc>
          <w:tcPr>
            <w:tcW w:w="1866" w:type="dxa"/>
            <w:tcBorders>
              <w:top w:val="single" w:color="auto" w:sz="4" w:space="0"/>
              <w:left w:val="single" w:color="auto" w:sz="4" w:space="0"/>
              <w:bottom w:val="single" w:color="auto" w:sz="4" w:space="0"/>
              <w:right w:val="single" w:color="auto" w:sz="4" w:space="0"/>
            </w:tcBorders>
          </w:tcPr>
          <w:p w14:paraId="4DE61E79">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19.72</w:t>
            </w:r>
          </w:p>
        </w:tc>
        <w:tc>
          <w:tcPr>
            <w:tcW w:w="1848" w:type="dxa"/>
            <w:tcBorders>
              <w:top w:val="single" w:color="auto" w:sz="4" w:space="0"/>
              <w:left w:val="single" w:color="auto" w:sz="4" w:space="0"/>
              <w:bottom w:val="single" w:color="auto" w:sz="4" w:space="0"/>
              <w:right w:val="single" w:color="auto" w:sz="4" w:space="0"/>
            </w:tcBorders>
          </w:tcPr>
          <w:p w14:paraId="102BE4DF">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2.5</w:t>
            </w:r>
          </w:p>
        </w:tc>
      </w:tr>
      <w:tr w14:paraId="03793BE9">
        <w:tblPrEx>
          <w:tblCellMar>
            <w:top w:w="0" w:type="dxa"/>
            <w:left w:w="108" w:type="dxa"/>
            <w:bottom w:w="0" w:type="dxa"/>
            <w:right w:w="108" w:type="dxa"/>
          </w:tblCellMar>
        </w:tblPrEx>
        <w:trPr>
          <w:trHeight w:val="397" w:hRule="exact"/>
        </w:trPr>
        <w:tc>
          <w:tcPr>
            <w:tcW w:w="663" w:type="dxa"/>
            <w:tcBorders>
              <w:top w:val="single" w:color="auto" w:sz="4" w:space="0"/>
              <w:left w:val="single" w:color="auto" w:sz="4" w:space="0"/>
              <w:bottom w:val="single" w:color="auto" w:sz="4" w:space="0"/>
              <w:right w:val="single" w:color="auto" w:sz="4" w:space="0"/>
            </w:tcBorders>
            <w:vAlign w:val="center"/>
          </w:tcPr>
          <w:p w14:paraId="0A776791">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8</w:t>
            </w:r>
          </w:p>
        </w:tc>
        <w:tc>
          <w:tcPr>
            <w:tcW w:w="4174" w:type="dxa"/>
            <w:tcBorders>
              <w:top w:val="single" w:color="auto" w:sz="4" w:space="0"/>
              <w:left w:val="single" w:color="auto" w:sz="4" w:space="0"/>
              <w:bottom w:val="single" w:color="auto" w:sz="4" w:space="0"/>
              <w:right w:val="single" w:color="auto" w:sz="4" w:space="0"/>
            </w:tcBorders>
            <w:vAlign w:val="center"/>
          </w:tcPr>
          <w:p w14:paraId="21CCDD0D">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石狮市宝盖镇桃源小学</w:t>
            </w:r>
          </w:p>
        </w:tc>
        <w:tc>
          <w:tcPr>
            <w:tcW w:w="1866" w:type="dxa"/>
            <w:tcBorders>
              <w:top w:val="single" w:color="auto" w:sz="4" w:space="0"/>
              <w:left w:val="single" w:color="auto" w:sz="4" w:space="0"/>
              <w:bottom w:val="single" w:color="auto" w:sz="4" w:space="0"/>
              <w:right w:val="single" w:color="auto" w:sz="4" w:space="0"/>
            </w:tcBorders>
          </w:tcPr>
          <w:p w14:paraId="4B48F81D">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7.888</w:t>
            </w:r>
          </w:p>
        </w:tc>
        <w:tc>
          <w:tcPr>
            <w:tcW w:w="1848" w:type="dxa"/>
            <w:tcBorders>
              <w:top w:val="single" w:color="auto" w:sz="4" w:space="0"/>
              <w:left w:val="single" w:color="auto" w:sz="4" w:space="0"/>
              <w:bottom w:val="single" w:color="auto" w:sz="4" w:space="0"/>
              <w:right w:val="single" w:color="auto" w:sz="4" w:space="0"/>
            </w:tcBorders>
          </w:tcPr>
          <w:p w14:paraId="496359CF">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2.5</w:t>
            </w:r>
          </w:p>
        </w:tc>
      </w:tr>
      <w:tr w14:paraId="3185EB71">
        <w:tblPrEx>
          <w:tblCellMar>
            <w:top w:w="0" w:type="dxa"/>
            <w:left w:w="108" w:type="dxa"/>
            <w:bottom w:w="0" w:type="dxa"/>
            <w:right w:w="108" w:type="dxa"/>
          </w:tblCellMar>
        </w:tblPrEx>
        <w:trPr>
          <w:trHeight w:val="397" w:hRule="exact"/>
        </w:trPr>
        <w:tc>
          <w:tcPr>
            <w:tcW w:w="663" w:type="dxa"/>
            <w:tcBorders>
              <w:top w:val="single" w:color="auto" w:sz="4" w:space="0"/>
              <w:left w:val="single" w:color="auto" w:sz="4" w:space="0"/>
              <w:bottom w:val="single" w:color="auto" w:sz="4" w:space="0"/>
              <w:right w:val="single" w:color="auto" w:sz="4" w:space="0"/>
            </w:tcBorders>
            <w:vAlign w:val="center"/>
          </w:tcPr>
          <w:p w14:paraId="5CFC07B9">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9</w:t>
            </w:r>
          </w:p>
        </w:tc>
        <w:tc>
          <w:tcPr>
            <w:tcW w:w="4174" w:type="dxa"/>
            <w:tcBorders>
              <w:top w:val="single" w:color="auto" w:sz="4" w:space="0"/>
              <w:left w:val="single" w:color="auto" w:sz="4" w:space="0"/>
              <w:bottom w:val="single" w:color="auto" w:sz="4" w:space="0"/>
              <w:right w:val="single" w:color="auto" w:sz="4" w:space="0"/>
            </w:tcBorders>
            <w:vAlign w:val="center"/>
          </w:tcPr>
          <w:p w14:paraId="4BC1393F">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石狮市锦尚镇东店小学</w:t>
            </w:r>
          </w:p>
        </w:tc>
        <w:tc>
          <w:tcPr>
            <w:tcW w:w="1866" w:type="dxa"/>
            <w:tcBorders>
              <w:top w:val="single" w:color="auto" w:sz="4" w:space="0"/>
              <w:left w:val="single" w:color="auto" w:sz="4" w:space="0"/>
              <w:bottom w:val="single" w:color="auto" w:sz="4" w:space="0"/>
              <w:right w:val="single" w:color="auto" w:sz="4" w:space="0"/>
            </w:tcBorders>
          </w:tcPr>
          <w:p w14:paraId="4EBDF516">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1.972</w:t>
            </w:r>
          </w:p>
        </w:tc>
        <w:tc>
          <w:tcPr>
            <w:tcW w:w="1848" w:type="dxa"/>
            <w:tcBorders>
              <w:top w:val="single" w:color="auto" w:sz="4" w:space="0"/>
              <w:left w:val="single" w:color="auto" w:sz="4" w:space="0"/>
              <w:bottom w:val="single" w:color="auto" w:sz="4" w:space="0"/>
              <w:right w:val="single" w:color="auto" w:sz="4" w:space="0"/>
            </w:tcBorders>
          </w:tcPr>
          <w:p w14:paraId="6870269B">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1.25</w:t>
            </w:r>
          </w:p>
        </w:tc>
      </w:tr>
      <w:tr w14:paraId="6407EC58">
        <w:tblPrEx>
          <w:tblCellMar>
            <w:top w:w="0" w:type="dxa"/>
            <w:left w:w="108" w:type="dxa"/>
            <w:bottom w:w="0" w:type="dxa"/>
            <w:right w:w="108" w:type="dxa"/>
          </w:tblCellMar>
        </w:tblPrEx>
        <w:trPr>
          <w:trHeight w:val="397" w:hRule="exact"/>
        </w:trPr>
        <w:tc>
          <w:tcPr>
            <w:tcW w:w="663" w:type="dxa"/>
            <w:tcBorders>
              <w:top w:val="single" w:color="auto" w:sz="4" w:space="0"/>
              <w:left w:val="single" w:color="auto" w:sz="4" w:space="0"/>
              <w:bottom w:val="single" w:color="auto" w:sz="4" w:space="0"/>
              <w:right w:val="single" w:color="auto" w:sz="4" w:space="0"/>
            </w:tcBorders>
            <w:vAlign w:val="center"/>
          </w:tcPr>
          <w:p w14:paraId="79A60D70">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10</w:t>
            </w:r>
          </w:p>
        </w:tc>
        <w:tc>
          <w:tcPr>
            <w:tcW w:w="4174" w:type="dxa"/>
            <w:tcBorders>
              <w:top w:val="single" w:color="auto" w:sz="4" w:space="0"/>
              <w:left w:val="single" w:color="auto" w:sz="4" w:space="0"/>
              <w:bottom w:val="single" w:color="auto" w:sz="4" w:space="0"/>
              <w:right w:val="single" w:color="auto" w:sz="4" w:space="0"/>
            </w:tcBorders>
            <w:vAlign w:val="center"/>
          </w:tcPr>
          <w:p w14:paraId="725E7526">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石狮市蚶江镇峰山小学</w:t>
            </w:r>
          </w:p>
        </w:tc>
        <w:tc>
          <w:tcPr>
            <w:tcW w:w="1866" w:type="dxa"/>
            <w:tcBorders>
              <w:top w:val="single" w:color="auto" w:sz="4" w:space="0"/>
              <w:left w:val="single" w:color="auto" w:sz="4" w:space="0"/>
              <w:bottom w:val="single" w:color="auto" w:sz="4" w:space="0"/>
              <w:right w:val="single" w:color="auto" w:sz="4" w:space="0"/>
            </w:tcBorders>
          </w:tcPr>
          <w:p w14:paraId="2CC12F90">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11.832</w:t>
            </w:r>
          </w:p>
        </w:tc>
        <w:tc>
          <w:tcPr>
            <w:tcW w:w="1848" w:type="dxa"/>
            <w:tcBorders>
              <w:top w:val="single" w:color="auto" w:sz="4" w:space="0"/>
              <w:left w:val="single" w:color="auto" w:sz="4" w:space="0"/>
              <w:bottom w:val="single" w:color="auto" w:sz="4" w:space="0"/>
              <w:right w:val="single" w:color="auto" w:sz="4" w:space="0"/>
            </w:tcBorders>
          </w:tcPr>
          <w:p w14:paraId="0A4A6B6D">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2.5</w:t>
            </w:r>
          </w:p>
        </w:tc>
      </w:tr>
      <w:tr w14:paraId="75CAA842">
        <w:tblPrEx>
          <w:tblCellMar>
            <w:top w:w="0" w:type="dxa"/>
            <w:left w:w="108" w:type="dxa"/>
            <w:bottom w:w="0" w:type="dxa"/>
            <w:right w:w="108" w:type="dxa"/>
          </w:tblCellMar>
        </w:tblPrEx>
        <w:trPr>
          <w:trHeight w:val="397" w:hRule="exact"/>
        </w:trPr>
        <w:tc>
          <w:tcPr>
            <w:tcW w:w="663" w:type="dxa"/>
            <w:tcBorders>
              <w:top w:val="single" w:color="auto" w:sz="4" w:space="0"/>
              <w:left w:val="single" w:color="auto" w:sz="4" w:space="0"/>
              <w:bottom w:val="single" w:color="auto" w:sz="4" w:space="0"/>
              <w:right w:val="single" w:color="auto" w:sz="4" w:space="0"/>
            </w:tcBorders>
            <w:vAlign w:val="center"/>
          </w:tcPr>
          <w:p w14:paraId="1F02CB34">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11</w:t>
            </w:r>
          </w:p>
        </w:tc>
        <w:tc>
          <w:tcPr>
            <w:tcW w:w="4174" w:type="dxa"/>
            <w:tcBorders>
              <w:top w:val="single" w:color="auto" w:sz="4" w:space="0"/>
              <w:left w:val="single" w:color="auto" w:sz="4" w:space="0"/>
              <w:bottom w:val="single" w:color="auto" w:sz="4" w:space="0"/>
              <w:right w:val="single" w:color="auto" w:sz="4" w:space="0"/>
            </w:tcBorders>
            <w:vAlign w:val="center"/>
          </w:tcPr>
          <w:p w14:paraId="493A5E8F">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石狮市第六实验小学</w:t>
            </w:r>
          </w:p>
        </w:tc>
        <w:tc>
          <w:tcPr>
            <w:tcW w:w="1866" w:type="dxa"/>
            <w:tcBorders>
              <w:top w:val="single" w:color="auto" w:sz="4" w:space="0"/>
              <w:left w:val="single" w:color="auto" w:sz="4" w:space="0"/>
              <w:bottom w:val="single" w:color="auto" w:sz="4" w:space="0"/>
              <w:right w:val="single" w:color="auto" w:sz="4" w:space="0"/>
            </w:tcBorders>
          </w:tcPr>
          <w:p w14:paraId="5F4A7787">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11.832</w:t>
            </w:r>
          </w:p>
        </w:tc>
        <w:tc>
          <w:tcPr>
            <w:tcW w:w="1848" w:type="dxa"/>
            <w:tcBorders>
              <w:top w:val="single" w:color="auto" w:sz="4" w:space="0"/>
              <w:left w:val="single" w:color="auto" w:sz="4" w:space="0"/>
              <w:bottom w:val="single" w:color="auto" w:sz="4" w:space="0"/>
              <w:right w:val="single" w:color="auto" w:sz="4" w:space="0"/>
            </w:tcBorders>
          </w:tcPr>
          <w:p w14:paraId="46D85F3E">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2.5</w:t>
            </w:r>
          </w:p>
        </w:tc>
      </w:tr>
      <w:tr w14:paraId="74C15F6C">
        <w:tblPrEx>
          <w:tblCellMar>
            <w:top w:w="0" w:type="dxa"/>
            <w:left w:w="108" w:type="dxa"/>
            <w:bottom w:w="0" w:type="dxa"/>
            <w:right w:w="108" w:type="dxa"/>
          </w:tblCellMar>
        </w:tblPrEx>
        <w:trPr>
          <w:trHeight w:val="397" w:hRule="exact"/>
        </w:trPr>
        <w:tc>
          <w:tcPr>
            <w:tcW w:w="663" w:type="dxa"/>
            <w:tcBorders>
              <w:top w:val="single" w:color="auto" w:sz="4" w:space="0"/>
              <w:left w:val="single" w:color="auto" w:sz="4" w:space="0"/>
              <w:bottom w:val="single" w:color="auto" w:sz="4" w:space="0"/>
              <w:right w:val="single" w:color="auto" w:sz="4" w:space="0"/>
            </w:tcBorders>
            <w:vAlign w:val="center"/>
          </w:tcPr>
          <w:p w14:paraId="7AA5EAE7">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12</w:t>
            </w:r>
          </w:p>
        </w:tc>
        <w:tc>
          <w:tcPr>
            <w:tcW w:w="4174" w:type="dxa"/>
            <w:tcBorders>
              <w:top w:val="single" w:color="auto" w:sz="4" w:space="0"/>
              <w:left w:val="single" w:color="auto" w:sz="4" w:space="0"/>
              <w:bottom w:val="single" w:color="auto" w:sz="4" w:space="0"/>
              <w:right w:val="single" w:color="auto" w:sz="4" w:space="0"/>
            </w:tcBorders>
            <w:vAlign w:val="center"/>
          </w:tcPr>
          <w:p w14:paraId="4A3194BB">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石狮市实验小学</w:t>
            </w:r>
          </w:p>
        </w:tc>
        <w:tc>
          <w:tcPr>
            <w:tcW w:w="1866" w:type="dxa"/>
            <w:tcBorders>
              <w:top w:val="single" w:color="auto" w:sz="4" w:space="0"/>
              <w:left w:val="single" w:color="auto" w:sz="4" w:space="0"/>
              <w:bottom w:val="single" w:color="auto" w:sz="4" w:space="0"/>
              <w:right w:val="single" w:color="auto" w:sz="4" w:space="0"/>
            </w:tcBorders>
          </w:tcPr>
          <w:p w14:paraId="6B23AAAA">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7.888</w:t>
            </w:r>
          </w:p>
        </w:tc>
        <w:tc>
          <w:tcPr>
            <w:tcW w:w="1848" w:type="dxa"/>
            <w:tcBorders>
              <w:top w:val="single" w:color="auto" w:sz="4" w:space="0"/>
              <w:left w:val="single" w:color="auto" w:sz="4" w:space="0"/>
              <w:bottom w:val="single" w:color="auto" w:sz="4" w:space="0"/>
              <w:right w:val="single" w:color="auto" w:sz="4" w:space="0"/>
            </w:tcBorders>
          </w:tcPr>
          <w:p w14:paraId="525728B4">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0</w:t>
            </w:r>
          </w:p>
        </w:tc>
      </w:tr>
      <w:tr w14:paraId="4D6E01CB">
        <w:tblPrEx>
          <w:tblCellMar>
            <w:top w:w="0" w:type="dxa"/>
            <w:left w:w="108" w:type="dxa"/>
            <w:bottom w:w="0" w:type="dxa"/>
            <w:right w:w="108" w:type="dxa"/>
          </w:tblCellMar>
        </w:tblPrEx>
        <w:trPr>
          <w:trHeight w:val="397" w:hRule="exact"/>
        </w:trPr>
        <w:tc>
          <w:tcPr>
            <w:tcW w:w="663" w:type="dxa"/>
            <w:tcBorders>
              <w:top w:val="single" w:color="auto" w:sz="4" w:space="0"/>
              <w:left w:val="single" w:color="auto" w:sz="4" w:space="0"/>
              <w:bottom w:val="single" w:color="auto" w:sz="4" w:space="0"/>
              <w:right w:val="single" w:color="auto" w:sz="4" w:space="0"/>
            </w:tcBorders>
            <w:vAlign w:val="center"/>
          </w:tcPr>
          <w:p w14:paraId="3976B0DD">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13</w:t>
            </w:r>
          </w:p>
        </w:tc>
        <w:tc>
          <w:tcPr>
            <w:tcW w:w="4174" w:type="dxa"/>
            <w:tcBorders>
              <w:top w:val="single" w:color="auto" w:sz="4" w:space="0"/>
              <w:left w:val="single" w:color="auto" w:sz="4" w:space="0"/>
              <w:bottom w:val="single" w:color="auto" w:sz="4" w:space="0"/>
              <w:right w:val="single" w:color="auto" w:sz="4" w:space="0"/>
            </w:tcBorders>
            <w:vAlign w:val="center"/>
          </w:tcPr>
          <w:p w14:paraId="196BE73A">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石狮市鸿山镇鸿山小学</w:t>
            </w:r>
          </w:p>
        </w:tc>
        <w:tc>
          <w:tcPr>
            <w:tcW w:w="1866" w:type="dxa"/>
            <w:tcBorders>
              <w:top w:val="single" w:color="auto" w:sz="4" w:space="0"/>
              <w:left w:val="single" w:color="auto" w:sz="4" w:space="0"/>
              <w:bottom w:val="single" w:color="auto" w:sz="4" w:space="0"/>
              <w:right w:val="single" w:color="auto" w:sz="4" w:space="0"/>
            </w:tcBorders>
          </w:tcPr>
          <w:p w14:paraId="5B9266D9">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9.86</w:t>
            </w:r>
          </w:p>
        </w:tc>
        <w:tc>
          <w:tcPr>
            <w:tcW w:w="1848" w:type="dxa"/>
            <w:tcBorders>
              <w:top w:val="single" w:color="auto" w:sz="4" w:space="0"/>
              <w:left w:val="single" w:color="auto" w:sz="4" w:space="0"/>
              <w:bottom w:val="single" w:color="auto" w:sz="4" w:space="0"/>
              <w:right w:val="single" w:color="auto" w:sz="4" w:space="0"/>
            </w:tcBorders>
          </w:tcPr>
          <w:p w14:paraId="1A807750">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0</w:t>
            </w:r>
          </w:p>
        </w:tc>
      </w:tr>
      <w:tr w14:paraId="6587FAF9">
        <w:tblPrEx>
          <w:tblCellMar>
            <w:top w:w="0" w:type="dxa"/>
            <w:left w:w="108" w:type="dxa"/>
            <w:bottom w:w="0" w:type="dxa"/>
            <w:right w:w="108" w:type="dxa"/>
          </w:tblCellMar>
        </w:tblPrEx>
        <w:trPr>
          <w:trHeight w:val="397" w:hRule="exact"/>
        </w:trPr>
        <w:tc>
          <w:tcPr>
            <w:tcW w:w="663" w:type="dxa"/>
            <w:tcBorders>
              <w:top w:val="single" w:color="auto" w:sz="4" w:space="0"/>
              <w:left w:val="single" w:color="auto" w:sz="4" w:space="0"/>
              <w:bottom w:val="single" w:color="auto" w:sz="4" w:space="0"/>
              <w:right w:val="single" w:color="auto" w:sz="4" w:space="0"/>
            </w:tcBorders>
            <w:vAlign w:val="center"/>
          </w:tcPr>
          <w:p w14:paraId="10479866">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14</w:t>
            </w:r>
          </w:p>
        </w:tc>
        <w:tc>
          <w:tcPr>
            <w:tcW w:w="4174" w:type="dxa"/>
            <w:tcBorders>
              <w:top w:val="single" w:color="auto" w:sz="4" w:space="0"/>
              <w:left w:val="single" w:color="auto" w:sz="4" w:space="0"/>
              <w:bottom w:val="single" w:color="auto" w:sz="4" w:space="0"/>
              <w:right w:val="single" w:color="auto" w:sz="4" w:space="0"/>
            </w:tcBorders>
            <w:vAlign w:val="center"/>
          </w:tcPr>
          <w:p w14:paraId="25AE37C1">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石狮市蚶江镇华锦小学</w:t>
            </w:r>
          </w:p>
        </w:tc>
        <w:tc>
          <w:tcPr>
            <w:tcW w:w="1866" w:type="dxa"/>
            <w:tcBorders>
              <w:top w:val="single" w:color="auto" w:sz="4" w:space="0"/>
              <w:left w:val="single" w:color="auto" w:sz="4" w:space="0"/>
              <w:bottom w:val="single" w:color="auto" w:sz="4" w:space="0"/>
              <w:right w:val="single" w:color="auto" w:sz="4" w:space="0"/>
            </w:tcBorders>
          </w:tcPr>
          <w:p w14:paraId="279DB185">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5.916</w:t>
            </w:r>
          </w:p>
        </w:tc>
        <w:tc>
          <w:tcPr>
            <w:tcW w:w="1848" w:type="dxa"/>
            <w:tcBorders>
              <w:top w:val="single" w:color="auto" w:sz="4" w:space="0"/>
              <w:left w:val="single" w:color="auto" w:sz="4" w:space="0"/>
              <w:bottom w:val="single" w:color="auto" w:sz="4" w:space="0"/>
              <w:right w:val="single" w:color="auto" w:sz="4" w:space="0"/>
            </w:tcBorders>
          </w:tcPr>
          <w:p w14:paraId="67AFFCF4">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0</w:t>
            </w:r>
          </w:p>
        </w:tc>
      </w:tr>
      <w:tr w14:paraId="6FCF2742">
        <w:tblPrEx>
          <w:tblCellMar>
            <w:top w:w="0" w:type="dxa"/>
            <w:left w:w="108" w:type="dxa"/>
            <w:bottom w:w="0" w:type="dxa"/>
            <w:right w:w="108" w:type="dxa"/>
          </w:tblCellMar>
        </w:tblPrEx>
        <w:trPr>
          <w:trHeight w:val="397" w:hRule="exact"/>
        </w:trPr>
        <w:tc>
          <w:tcPr>
            <w:tcW w:w="663" w:type="dxa"/>
            <w:tcBorders>
              <w:top w:val="single" w:color="auto" w:sz="4" w:space="0"/>
              <w:left w:val="single" w:color="auto" w:sz="4" w:space="0"/>
              <w:bottom w:val="single" w:color="auto" w:sz="4" w:space="0"/>
              <w:right w:val="single" w:color="auto" w:sz="4" w:space="0"/>
            </w:tcBorders>
            <w:vAlign w:val="center"/>
          </w:tcPr>
          <w:p w14:paraId="2CB41699">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15</w:t>
            </w:r>
          </w:p>
        </w:tc>
        <w:tc>
          <w:tcPr>
            <w:tcW w:w="4174" w:type="dxa"/>
            <w:tcBorders>
              <w:top w:val="single" w:color="auto" w:sz="4" w:space="0"/>
              <w:left w:val="single" w:color="auto" w:sz="4" w:space="0"/>
              <w:bottom w:val="single" w:color="auto" w:sz="4" w:space="0"/>
              <w:right w:val="single" w:color="auto" w:sz="4" w:space="0"/>
            </w:tcBorders>
            <w:vAlign w:val="center"/>
          </w:tcPr>
          <w:p w14:paraId="13D3B3E4">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石狮市长福实验小学</w:t>
            </w:r>
          </w:p>
        </w:tc>
        <w:tc>
          <w:tcPr>
            <w:tcW w:w="1866" w:type="dxa"/>
            <w:tcBorders>
              <w:top w:val="single" w:color="auto" w:sz="4" w:space="0"/>
              <w:left w:val="single" w:color="auto" w:sz="4" w:space="0"/>
              <w:bottom w:val="single" w:color="auto" w:sz="4" w:space="0"/>
              <w:right w:val="single" w:color="auto" w:sz="4" w:space="0"/>
            </w:tcBorders>
          </w:tcPr>
          <w:p w14:paraId="3BA8F02B">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19.72</w:t>
            </w:r>
          </w:p>
        </w:tc>
        <w:tc>
          <w:tcPr>
            <w:tcW w:w="1848" w:type="dxa"/>
            <w:tcBorders>
              <w:top w:val="single" w:color="auto" w:sz="4" w:space="0"/>
              <w:left w:val="single" w:color="auto" w:sz="4" w:space="0"/>
              <w:bottom w:val="single" w:color="auto" w:sz="4" w:space="0"/>
              <w:right w:val="single" w:color="auto" w:sz="4" w:space="0"/>
            </w:tcBorders>
          </w:tcPr>
          <w:p w14:paraId="5B128041">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0</w:t>
            </w:r>
          </w:p>
        </w:tc>
      </w:tr>
      <w:tr w14:paraId="7801BABF">
        <w:tblPrEx>
          <w:tblCellMar>
            <w:top w:w="0" w:type="dxa"/>
            <w:left w:w="108" w:type="dxa"/>
            <w:bottom w:w="0" w:type="dxa"/>
            <w:right w:w="108" w:type="dxa"/>
          </w:tblCellMar>
        </w:tblPrEx>
        <w:trPr>
          <w:trHeight w:val="397" w:hRule="exact"/>
        </w:trPr>
        <w:tc>
          <w:tcPr>
            <w:tcW w:w="663" w:type="dxa"/>
            <w:tcBorders>
              <w:top w:val="single" w:color="auto" w:sz="4" w:space="0"/>
              <w:left w:val="single" w:color="auto" w:sz="4" w:space="0"/>
              <w:bottom w:val="single" w:color="auto" w:sz="4" w:space="0"/>
              <w:right w:val="single" w:color="auto" w:sz="4" w:space="0"/>
            </w:tcBorders>
            <w:vAlign w:val="center"/>
          </w:tcPr>
          <w:p w14:paraId="79221386">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16</w:t>
            </w:r>
          </w:p>
        </w:tc>
        <w:tc>
          <w:tcPr>
            <w:tcW w:w="4174" w:type="dxa"/>
            <w:tcBorders>
              <w:top w:val="single" w:color="auto" w:sz="4" w:space="0"/>
              <w:left w:val="single" w:color="auto" w:sz="4" w:space="0"/>
              <w:bottom w:val="single" w:color="auto" w:sz="4" w:space="0"/>
              <w:right w:val="single" w:color="auto" w:sz="4" w:space="0"/>
            </w:tcBorders>
            <w:vAlign w:val="center"/>
          </w:tcPr>
          <w:p w14:paraId="2B53E1F5">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石狮市蚶江中心小学</w:t>
            </w:r>
          </w:p>
        </w:tc>
        <w:tc>
          <w:tcPr>
            <w:tcW w:w="1866" w:type="dxa"/>
            <w:tcBorders>
              <w:top w:val="single" w:color="auto" w:sz="4" w:space="0"/>
              <w:left w:val="single" w:color="auto" w:sz="4" w:space="0"/>
              <w:bottom w:val="single" w:color="auto" w:sz="4" w:space="0"/>
              <w:right w:val="single" w:color="auto" w:sz="4" w:space="0"/>
            </w:tcBorders>
          </w:tcPr>
          <w:p w14:paraId="4C104B98">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9.86</w:t>
            </w:r>
          </w:p>
        </w:tc>
        <w:tc>
          <w:tcPr>
            <w:tcW w:w="1848" w:type="dxa"/>
            <w:tcBorders>
              <w:top w:val="single" w:color="auto" w:sz="4" w:space="0"/>
              <w:left w:val="single" w:color="auto" w:sz="4" w:space="0"/>
              <w:bottom w:val="single" w:color="auto" w:sz="4" w:space="0"/>
              <w:right w:val="single" w:color="auto" w:sz="4" w:space="0"/>
            </w:tcBorders>
          </w:tcPr>
          <w:p w14:paraId="2830ED06">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0</w:t>
            </w:r>
          </w:p>
        </w:tc>
      </w:tr>
      <w:tr w14:paraId="4C54FEBA">
        <w:tblPrEx>
          <w:tblCellMar>
            <w:top w:w="0" w:type="dxa"/>
            <w:left w:w="108" w:type="dxa"/>
            <w:bottom w:w="0" w:type="dxa"/>
            <w:right w:w="108" w:type="dxa"/>
          </w:tblCellMar>
        </w:tblPrEx>
        <w:trPr>
          <w:trHeight w:val="397" w:hRule="exact"/>
        </w:trPr>
        <w:tc>
          <w:tcPr>
            <w:tcW w:w="663" w:type="dxa"/>
            <w:tcBorders>
              <w:top w:val="single" w:color="auto" w:sz="4" w:space="0"/>
              <w:left w:val="single" w:color="auto" w:sz="4" w:space="0"/>
              <w:bottom w:val="single" w:color="auto" w:sz="4" w:space="0"/>
              <w:right w:val="single" w:color="auto" w:sz="4" w:space="0"/>
            </w:tcBorders>
            <w:vAlign w:val="center"/>
          </w:tcPr>
          <w:p w14:paraId="75661ABC">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17</w:t>
            </w:r>
          </w:p>
        </w:tc>
        <w:tc>
          <w:tcPr>
            <w:tcW w:w="4174" w:type="dxa"/>
            <w:tcBorders>
              <w:top w:val="single" w:color="auto" w:sz="4" w:space="0"/>
              <w:left w:val="single" w:color="auto" w:sz="4" w:space="0"/>
              <w:bottom w:val="single" w:color="auto" w:sz="4" w:space="0"/>
              <w:right w:val="single" w:color="auto" w:sz="4" w:space="0"/>
            </w:tcBorders>
            <w:vAlign w:val="center"/>
          </w:tcPr>
          <w:p w14:paraId="691C871F">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石狮市实验中学附属小学东明校区</w:t>
            </w:r>
          </w:p>
        </w:tc>
        <w:tc>
          <w:tcPr>
            <w:tcW w:w="1866" w:type="dxa"/>
            <w:tcBorders>
              <w:top w:val="single" w:color="auto" w:sz="4" w:space="0"/>
              <w:left w:val="single" w:color="auto" w:sz="4" w:space="0"/>
              <w:bottom w:val="single" w:color="auto" w:sz="4" w:space="0"/>
              <w:right w:val="single" w:color="auto" w:sz="4" w:space="0"/>
            </w:tcBorders>
          </w:tcPr>
          <w:p w14:paraId="06788E9A">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1.972</w:t>
            </w:r>
          </w:p>
        </w:tc>
        <w:tc>
          <w:tcPr>
            <w:tcW w:w="1848" w:type="dxa"/>
            <w:tcBorders>
              <w:top w:val="single" w:color="auto" w:sz="4" w:space="0"/>
              <w:left w:val="single" w:color="auto" w:sz="4" w:space="0"/>
              <w:bottom w:val="single" w:color="auto" w:sz="4" w:space="0"/>
              <w:right w:val="single" w:color="auto" w:sz="4" w:space="0"/>
            </w:tcBorders>
          </w:tcPr>
          <w:p w14:paraId="5A03515B">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1.25</w:t>
            </w:r>
          </w:p>
        </w:tc>
      </w:tr>
      <w:tr w14:paraId="516478D1">
        <w:tblPrEx>
          <w:tblCellMar>
            <w:top w:w="0" w:type="dxa"/>
            <w:left w:w="108" w:type="dxa"/>
            <w:bottom w:w="0" w:type="dxa"/>
            <w:right w:w="108" w:type="dxa"/>
          </w:tblCellMar>
        </w:tblPrEx>
        <w:trPr>
          <w:trHeight w:val="397" w:hRule="exact"/>
        </w:trPr>
        <w:tc>
          <w:tcPr>
            <w:tcW w:w="663" w:type="dxa"/>
            <w:tcBorders>
              <w:top w:val="single" w:color="auto" w:sz="4" w:space="0"/>
              <w:left w:val="single" w:color="000000" w:sz="4" w:space="0"/>
              <w:bottom w:val="single" w:color="000000" w:sz="4" w:space="0"/>
              <w:right w:val="single" w:color="000000" w:sz="4" w:space="0"/>
            </w:tcBorders>
            <w:vAlign w:val="center"/>
          </w:tcPr>
          <w:p w14:paraId="73BD0A45">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18</w:t>
            </w:r>
          </w:p>
        </w:tc>
        <w:tc>
          <w:tcPr>
            <w:tcW w:w="4174" w:type="dxa"/>
            <w:tcBorders>
              <w:top w:val="single" w:color="auto" w:sz="4" w:space="0"/>
              <w:bottom w:val="single" w:color="000000" w:sz="4" w:space="0"/>
              <w:right w:val="single" w:color="000000" w:sz="4" w:space="0"/>
            </w:tcBorders>
            <w:vAlign w:val="center"/>
          </w:tcPr>
          <w:p w14:paraId="363FFE11">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石狮市凤里街道宽仁小学</w:t>
            </w:r>
          </w:p>
        </w:tc>
        <w:tc>
          <w:tcPr>
            <w:tcW w:w="1866" w:type="dxa"/>
            <w:tcBorders>
              <w:top w:val="single" w:color="auto" w:sz="4" w:space="0"/>
              <w:bottom w:val="single" w:color="000000" w:sz="4" w:space="0"/>
              <w:right w:val="single" w:color="000000" w:sz="4" w:space="0"/>
            </w:tcBorders>
          </w:tcPr>
          <w:p w14:paraId="50029589">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5.916</w:t>
            </w:r>
          </w:p>
        </w:tc>
        <w:tc>
          <w:tcPr>
            <w:tcW w:w="1848" w:type="dxa"/>
            <w:tcBorders>
              <w:top w:val="single" w:color="auto" w:sz="4" w:space="0"/>
              <w:bottom w:val="single" w:color="000000" w:sz="4" w:space="0"/>
              <w:right w:val="single" w:color="000000" w:sz="4" w:space="0"/>
            </w:tcBorders>
          </w:tcPr>
          <w:p w14:paraId="0E2F8DED">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3.75</w:t>
            </w:r>
          </w:p>
        </w:tc>
      </w:tr>
      <w:tr w14:paraId="6CDEE0E0">
        <w:tblPrEx>
          <w:tblCellMar>
            <w:top w:w="0" w:type="dxa"/>
            <w:left w:w="108" w:type="dxa"/>
            <w:bottom w:w="0" w:type="dxa"/>
            <w:right w:w="108" w:type="dxa"/>
          </w:tblCellMar>
        </w:tblPrEx>
        <w:trPr>
          <w:trHeight w:val="397" w:hRule="exact"/>
        </w:trPr>
        <w:tc>
          <w:tcPr>
            <w:tcW w:w="663" w:type="dxa"/>
            <w:tcBorders>
              <w:left w:val="single" w:color="000000" w:sz="4" w:space="0"/>
              <w:bottom w:val="single" w:color="000000" w:sz="4" w:space="0"/>
              <w:right w:val="single" w:color="000000" w:sz="4" w:space="0"/>
            </w:tcBorders>
            <w:vAlign w:val="center"/>
          </w:tcPr>
          <w:p w14:paraId="167BBADA">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19</w:t>
            </w:r>
          </w:p>
        </w:tc>
        <w:tc>
          <w:tcPr>
            <w:tcW w:w="4174" w:type="dxa"/>
            <w:tcBorders>
              <w:bottom w:val="single" w:color="000000" w:sz="4" w:space="0"/>
              <w:right w:val="single" w:color="000000" w:sz="4" w:space="0"/>
            </w:tcBorders>
            <w:vAlign w:val="center"/>
          </w:tcPr>
          <w:p w14:paraId="23BBF744">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石狮市实验小学蚶江校区</w:t>
            </w:r>
          </w:p>
        </w:tc>
        <w:tc>
          <w:tcPr>
            <w:tcW w:w="1866" w:type="dxa"/>
            <w:tcBorders>
              <w:top w:val="single" w:color="auto" w:sz="4" w:space="0"/>
              <w:bottom w:val="single" w:color="000000" w:sz="4" w:space="0"/>
              <w:right w:val="single" w:color="000000" w:sz="4" w:space="0"/>
            </w:tcBorders>
          </w:tcPr>
          <w:p w14:paraId="7D09BCC6">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11.832</w:t>
            </w:r>
          </w:p>
        </w:tc>
        <w:tc>
          <w:tcPr>
            <w:tcW w:w="1848" w:type="dxa"/>
            <w:tcBorders>
              <w:top w:val="single" w:color="auto" w:sz="4" w:space="0"/>
              <w:bottom w:val="single" w:color="000000" w:sz="4" w:space="0"/>
              <w:right w:val="single" w:color="000000" w:sz="4" w:space="0"/>
            </w:tcBorders>
          </w:tcPr>
          <w:p w14:paraId="799BE64C">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2.5</w:t>
            </w:r>
          </w:p>
        </w:tc>
      </w:tr>
      <w:tr w14:paraId="2C5CA949">
        <w:tblPrEx>
          <w:tblCellMar>
            <w:top w:w="0" w:type="dxa"/>
            <w:left w:w="108" w:type="dxa"/>
            <w:bottom w:w="0" w:type="dxa"/>
            <w:right w:w="108" w:type="dxa"/>
          </w:tblCellMar>
        </w:tblPrEx>
        <w:trPr>
          <w:trHeight w:val="397" w:hRule="exact"/>
        </w:trPr>
        <w:tc>
          <w:tcPr>
            <w:tcW w:w="663" w:type="dxa"/>
            <w:tcBorders>
              <w:left w:val="single" w:color="000000" w:sz="4" w:space="0"/>
              <w:bottom w:val="single" w:color="000000" w:sz="4" w:space="0"/>
              <w:right w:val="single" w:color="000000" w:sz="4" w:space="0"/>
            </w:tcBorders>
            <w:vAlign w:val="center"/>
          </w:tcPr>
          <w:p w14:paraId="3D65E78A">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20</w:t>
            </w:r>
          </w:p>
        </w:tc>
        <w:tc>
          <w:tcPr>
            <w:tcW w:w="4174" w:type="dxa"/>
            <w:tcBorders>
              <w:bottom w:val="single" w:color="000000" w:sz="4" w:space="0"/>
              <w:right w:val="single" w:color="000000" w:sz="4" w:space="0"/>
            </w:tcBorders>
            <w:vAlign w:val="center"/>
          </w:tcPr>
          <w:p w14:paraId="09705DD9">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石狮市蚶江镇洪窟小学</w:t>
            </w:r>
          </w:p>
        </w:tc>
        <w:tc>
          <w:tcPr>
            <w:tcW w:w="1866" w:type="dxa"/>
            <w:tcBorders>
              <w:top w:val="single" w:color="auto" w:sz="4" w:space="0"/>
              <w:bottom w:val="single" w:color="000000" w:sz="4" w:space="0"/>
              <w:right w:val="single" w:color="000000" w:sz="4" w:space="0"/>
            </w:tcBorders>
          </w:tcPr>
          <w:p w14:paraId="36CCF09A">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5.916</w:t>
            </w:r>
          </w:p>
        </w:tc>
        <w:tc>
          <w:tcPr>
            <w:tcW w:w="1848" w:type="dxa"/>
            <w:tcBorders>
              <w:top w:val="single" w:color="auto" w:sz="4" w:space="0"/>
              <w:bottom w:val="single" w:color="000000" w:sz="4" w:space="0"/>
              <w:right w:val="single" w:color="000000" w:sz="4" w:space="0"/>
            </w:tcBorders>
          </w:tcPr>
          <w:p w14:paraId="6F370235">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1.25</w:t>
            </w:r>
          </w:p>
        </w:tc>
      </w:tr>
      <w:tr w14:paraId="71CF8A8D">
        <w:tblPrEx>
          <w:tblCellMar>
            <w:top w:w="0" w:type="dxa"/>
            <w:left w:w="108" w:type="dxa"/>
            <w:bottom w:w="0" w:type="dxa"/>
            <w:right w:w="108" w:type="dxa"/>
          </w:tblCellMar>
        </w:tblPrEx>
        <w:trPr>
          <w:trHeight w:val="397" w:hRule="exact"/>
        </w:trPr>
        <w:tc>
          <w:tcPr>
            <w:tcW w:w="663" w:type="dxa"/>
            <w:tcBorders>
              <w:left w:val="single" w:color="000000" w:sz="4" w:space="0"/>
              <w:bottom w:val="single" w:color="auto" w:sz="4" w:space="0"/>
              <w:right w:val="single" w:color="000000" w:sz="4" w:space="0"/>
            </w:tcBorders>
            <w:vAlign w:val="center"/>
          </w:tcPr>
          <w:p w14:paraId="79D71D13">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21</w:t>
            </w:r>
          </w:p>
        </w:tc>
        <w:tc>
          <w:tcPr>
            <w:tcW w:w="4174" w:type="dxa"/>
            <w:tcBorders>
              <w:bottom w:val="single" w:color="auto" w:sz="4" w:space="0"/>
              <w:right w:val="single" w:color="000000" w:sz="4" w:space="0"/>
            </w:tcBorders>
            <w:vAlign w:val="center"/>
          </w:tcPr>
          <w:p w14:paraId="4C834DA6">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石狮市宝盖镇塘头小学</w:t>
            </w:r>
          </w:p>
        </w:tc>
        <w:tc>
          <w:tcPr>
            <w:tcW w:w="1866" w:type="dxa"/>
            <w:tcBorders>
              <w:top w:val="single" w:color="auto" w:sz="4" w:space="0"/>
              <w:bottom w:val="single" w:color="000000" w:sz="4" w:space="0"/>
              <w:right w:val="single" w:color="000000" w:sz="4" w:space="0"/>
            </w:tcBorders>
          </w:tcPr>
          <w:p w14:paraId="6446BAEF">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0</w:t>
            </w:r>
          </w:p>
        </w:tc>
        <w:tc>
          <w:tcPr>
            <w:tcW w:w="1848" w:type="dxa"/>
            <w:tcBorders>
              <w:top w:val="single" w:color="auto" w:sz="4" w:space="0"/>
              <w:bottom w:val="single" w:color="000000" w:sz="4" w:space="0"/>
              <w:right w:val="single" w:color="000000" w:sz="4" w:space="0"/>
            </w:tcBorders>
          </w:tcPr>
          <w:p w14:paraId="087E56AB">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0</w:t>
            </w:r>
          </w:p>
        </w:tc>
      </w:tr>
      <w:tr w14:paraId="62E38A71">
        <w:tblPrEx>
          <w:tblCellMar>
            <w:top w:w="0" w:type="dxa"/>
            <w:left w:w="108" w:type="dxa"/>
            <w:bottom w:w="0" w:type="dxa"/>
            <w:right w:w="108" w:type="dxa"/>
          </w:tblCellMar>
        </w:tblPrEx>
        <w:trPr>
          <w:trHeight w:val="397" w:hRule="exact"/>
        </w:trPr>
        <w:tc>
          <w:tcPr>
            <w:tcW w:w="663" w:type="dxa"/>
            <w:tcBorders>
              <w:top w:val="single" w:color="auto" w:sz="4" w:space="0"/>
              <w:left w:val="single" w:color="auto" w:sz="4" w:space="0"/>
              <w:bottom w:val="single" w:color="auto" w:sz="4" w:space="0"/>
              <w:right w:val="single" w:color="auto" w:sz="4" w:space="0"/>
            </w:tcBorders>
            <w:vAlign w:val="center"/>
          </w:tcPr>
          <w:p w14:paraId="42033869">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22</w:t>
            </w:r>
          </w:p>
        </w:tc>
        <w:tc>
          <w:tcPr>
            <w:tcW w:w="4174" w:type="dxa"/>
            <w:tcBorders>
              <w:top w:val="single" w:color="auto" w:sz="4" w:space="0"/>
              <w:left w:val="single" w:color="auto" w:sz="4" w:space="0"/>
              <w:bottom w:val="single" w:color="auto" w:sz="4" w:space="0"/>
              <w:right w:val="single" w:color="auto" w:sz="4" w:space="0"/>
            </w:tcBorders>
            <w:vAlign w:val="center"/>
          </w:tcPr>
          <w:p w14:paraId="1097F149">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石狮市永宁中心小学</w:t>
            </w:r>
          </w:p>
        </w:tc>
        <w:tc>
          <w:tcPr>
            <w:tcW w:w="1866" w:type="dxa"/>
            <w:tcBorders>
              <w:top w:val="single" w:color="auto" w:sz="4" w:space="0"/>
              <w:left w:val="single" w:color="auto" w:sz="4" w:space="0"/>
              <w:bottom w:val="single" w:color="auto" w:sz="4" w:space="0"/>
              <w:right w:val="single" w:color="000000" w:sz="4" w:space="0"/>
            </w:tcBorders>
          </w:tcPr>
          <w:p w14:paraId="30102888">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7.888</w:t>
            </w:r>
          </w:p>
        </w:tc>
        <w:tc>
          <w:tcPr>
            <w:tcW w:w="1848" w:type="dxa"/>
            <w:tcBorders>
              <w:top w:val="single" w:color="auto" w:sz="4" w:space="0"/>
              <w:bottom w:val="single" w:color="auto" w:sz="4" w:space="0"/>
              <w:right w:val="single" w:color="000000" w:sz="4" w:space="0"/>
            </w:tcBorders>
          </w:tcPr>
          <w:p w14:paraId="76EFA6EB">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2.5</w:t>
            </w:r>
          </w:p>
        </w:tc>
      </w:tr>
      <w:tr w14:paraId="7EFA6EE1">
        <w:tblPrEx>
          <w:tblCellMar>
            <w:top w:w="0" w:type="dxa"/>
            <w:left w:w="108" w:type="dxa"/>
            <w:bottom w:w="0" w:type="dxa"/>
            <w:right w:w="108" w:type="dxa"/>
          </w:tblCellMar>
        </w:tblPrEx>
        <w:trPr>
          <w:trHeight w:val="397" w:hRule="exact"/>
        </w:trPr>
        <w:tc>
          <w:tcPr>
            <w:tcW w:w="663" w:type="dxa"/>
            <w:tcBorders>
              <w:top w:val="single" w:color="auto" w:sz="4" w:space="0"/>
              <w:left w:val="single" w:color="auto" w:sz="4" w:space="0"/>
              <w:bottom w:val="single" w:color="auto" w:sz="4" w:space="0"/>
              <w:right w:val="single" w:color="auto" w:sz="4" w:space="0"/>
            </w:tcBorders>
            <w:vAlign w:val="center"/>
          </w:tcPr>
          <w:p w14:paraId="4E4301AB">
            <w:pPr>
              <w:pStyle w:val="6"/>
              <w:numPr>
                <w:ilvl w:val="0"/>
                <w:numId w:val="0"/>
              </w:numPr>
              <w:tabs>
                <w:tab w:val="clear" w:pos="2040"/>
              </w:tabs>
              <w:jc w:val="center"/>
              <w:rPr>
                <w:rFonts w:hint="eastAsia" w:ascii="仿宋" w:hAnsi="仿宋" w:eastAsia="仿宋"/>
                <w:szCs w:val="21"/>
              </w:rPr>
            </w:pPr>
            <w:r>
              <w:rPr>
                <w:rFonts w:hint="eastAsia" w:ascii="仿宋" w:hAnsi="仿宋" w:eastAsia="仿宋"/>
                <w:szCs w:val="21"/>
              </w:rPr>
              <w:t>23</w:t>
            </w:r>
          </w:p>
        </w:tc>
        <w:tc>
          <w:tcPr>
            <w:tcW w:w="4174" w:type="dxa"/>
            <w:tcBorders>
              <w:top w:val="single" w:color="auto" w:sz="4" w:space="0"/>
              <w:left w:val="single" w:color="auto" w:sz="4" w:space="0"/>
              <w:bottom w:val="single" w:color="auto" w:sz="4" w:space="0"/>
              <w:right w:val="single" w:color="auto" w:sz="4" w:space="0"/>
            </w:tcBorders>
            <w:vAlign w:val="center"/>
          </w:tcPr>
          <w:p w14:paraId="7BA3D72E">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石狮市祥芝镇大堡小学</w:t>
            </w:r>
          </w:p>
        </w:tc>
        <w:tc>
          <w:tcPr>
            <w:tcW w:w="1866" w:type="dxa"/>
            <w:tcBorders>
              <w:top w:val="single" w:color="auto" w:sz="4" w:space="0"/>
              <w:left w:val="single" w:color="auto" w:sz="4" w:space="0"/>
              <w:bottom w:val="single" w:color="auto" w:sz="4" w:space="0"/>
              <w:right w:val="single" w:color="000000" w:sz="4" w:space="0"/>
            </w:tcBorders>
          </w:tcPr>
          <w:p w14:paraId="57830CA6">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25.636</w:t>
            </w:r>
          </w:p>
        </w:tc>
        <w:tc>
          <w:tcPr>
            <w:tcW w:w="1848" w:type="dxa"/>
            <w:tcBorders>
              <w:top w:val="single" w:color="auto" w:sz="4" w:space="0"/>
              <w:bottom w:val="single" w:color="auto" w:sz="4" w:space="0"/>
              <w:right w:val="single" w:color="000000" w:sz="4" w:space="0"/>
            </w:tcBorders>
          </w:tcPr>
          <w:p w14:paraId="59892FC5">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3.75</w:t>
            </w:r>
          </w:p>
        </w:tc>
      </w:tr>
      <w:tr w14:paraId="3A7246E3">
        <w:tblPrEx>
          <w:tblCellMar>
            <w:top w:w="0" w:type="dxa"/>
            <w:left w:w="108" w:type="dxa"/>
            <w:bottom w:w="0" w:type="dxa"/>
            <w:right w:w="108" w:type="dxa"/>
          </w:tblCellMar>
        </w:tblPrEx>
        <w:trPr>
          <w:trHeight w:val="397" w:hRule="exact"/>
        </w:trPr>
        <w:tc>
          <w:tcPr>
            <w:tcW w:w="663" w:type="dxa"/>
            <w:tcBorders>
              <w:top w:val="single" w:color="auto" w:sz="4" w:space="0"/>
              <w:left w:val="single" w:color="auto" w:sz="4" w:space="0"/>
              <w:bottom w:val="single" w:color="auto" w:sz="4" w:space="0"/>
              <w:right w:val="single" w:color="auto" w:sz="4" w:space="0"/>
            </w:tcBorders>
            <w:vAlign w:val="center"/>
          </w:tcPr>
          <w:p w14:paraId="687CB787">
            <w:pPr>
              <w:pStyle w:val="6"/>
              <w:numPr>
                <w:ilvl w:val="0"/>
                <w:numId w:val="0"/>
              </w:numPr>
              <w:tabs>
                <w:tab w:val="clear" w:pos="2040"/>
              </w:tabs>
              <w:jc w:val="center"/>
              <w:rPr>
                <w:rFonts w:hint="eastAsia" w:ascii="仿宋" w:hAnsi="仿宋" w:eastAsia="仿宋"/>
                <w:szCs w:val="21"/>
              </w:rPr>
            </w:pPr>
            <w:r>
              <w:rPr>
                <w:rFonts w:hint="eastAsia" w:ascii="仿宋" w:hAnsi="仿宋" w:eastAsia="仿宋"/>
                <w:szCs w:val="21"/>
              </w:rPr>
              <w:t>24</w:t>
            </w:r>
          </w:p>
        </w:tc>
        <w:tc>
          <w:tcPr>
            <w:tcW w:w="4174" w:type="dxa"/>
            <w:tcBorders>
              <w:top w:val="single" w:color="auto" w:sz="4" w:space="0"/>
              <w:left w:val="single" w:color="auto" w:sz="4" w:space="0"/>
              <w:bottom w:val="single" w:color="auto" w:sz="4" w:space="0"/>
              <w:right w:val="single" w:color="auto" w:sz="4" w:space="0"/>
            </w:tcBorders>
            <w:vAlign w:val="center"/>
          </w:tcPr>
          <w:p w14:paraId="1399B7BF">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石狮市第四实验小学</w:t>
            </w:r>
          </w:p>
        </w:tc>
        <w:tc>
          <w:tcPr>
            <w:tcW w:w="1866" w:type="dxa"/>
            <w:tcBorders>
              <w:top w:val="single" w:color="auto" w:sz="4" w:space="0"/>
              <w:left w:val="single" w:color="auto" w:sz="4" w:space="0"/>
              <w:bottom w:val="single" w:color="auto" w:sz="4" w:space="0"/>
              <w:right w:val="single" w:color="000000" w:sz="4" w:space="0"/>
            </w:tcBorders>
          </w:tcPr>
          <w:p w14:paraId="0B2ADDFA">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19.72</w:t>
            </w:r>
          </w:p>
        </w:tc>
        <w:tc>
          <w:tcPr>
            <w:tcW w:w="1848" w:type="dxa"/>
            <w:tcBorders>
              <w:top w:val="single" w:color="auto" w:sz="4" w:space="0"/>
              <w:bottom w:val="single" w:color="auto" w:sz="4" w:space="0"/>
              <w:right w:val="single" w:color="000000" w:sz="4" w:space="0"/>
            </w:tcBorders>
          </w:tcPr>
          <w:p w14:paraId="06926D28">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3.75</w:t>
            </w:r>
          </w:p>
        </w:tc>
      </w:tr>
      <w:tr w14:paraId="57A47E00">
        <w:tblPrEx>
          <w:tblCellMar>
            <w:top w:w="0" w:type="dxa"/>
            <w:left w:w="108" w:type="dxa"/>
            <w:bottom w:w="0" w:type="dxa"/>
            <w:right w:w="108" w:type="dxa"/>
          </w:tblCellMar>
        </w:tblPrEx>
        <w:trPr>
          <w:trHeight w:val="397" w:hRule="exact"/>
        </w:trPr>
        <w:tc>
          <w:tcPr>
            <w:tcW w:w="663" w:type="dxa"/>
            <w:tcBorders>
              <w:top w:val="single" w:color="auto" w:sz="4" w:space="0"/>
              <w:left w:val="single" w:color="auto" w:sz="4" w:space="0"/>
              <w:bottom w:val="single" w:color="auto" w:sz="4" w:space="0"/>
              <w:right w:val="single" w:color="auto" w:sz="4" w:space="0"/>
            </w:tcBorders>
            <w:vAlign w:val="center"/>
          </w:tcPr>
          <w:p w14:paraId="4D164483">
            <w:pPr>
              <w:pStyle w:val="6"/>
              <w:numPr>
                <w:ilvl w:val="0"/>
                <w:numId w:val="0"/>
              </w:numPr>
              <w:tabs>
                <w:tab w:val="clear" w:pos="2040"/>
              </w:tabs>
              <w:jc w:val="center"/>
              <w:rPr>
                <w:rFonts w:hint="eastAsia" w:ascii="仿宋" w:hAnsi="仿宋" w:eastAsia="仿宋"/>
                <w:szCs w:val="21"/>
              </w:rPr>
            </w:pPr>
            <w:r>
              <w:rPr>
                <w:rFonts w:hint="eastAsia" w:ascii="仿宋" w:hAnsi="仿宋" w:eastAsia="仿宋"/>
                <w:szCs w:val="21"/>
              </w:rPr>
              <w:t>25</w:t>
            </w:r>
          </w:p>
        </w:tc>
        <w:tc>
          <w:tcPr>
            <w:tcW w:w="4174" w:type="dxa"/>
            <w:tcBorders>
              <w:top w:val="single" w:color="auto" w:sz="4" w:space="0"/>
              <w:left w:val="single" w:color="auto" w:sz="4" w:space="0"/>
              <w:bottom w:val="single" w:color="auto" w:sz="4" w:space="0"/>
              <w:right w:val="single" w:color="auto" w:sz="4" w:space="0"/>
            </w:tcBorders>
            <w:vAlign w:val="center"/>
          </w:tcPr>
          <w:p w14:paraId="6A4F2B75">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石狮市蚶江镇石壁小学</w:t>
            </w:r>
          </w:p>
        </w:tc>
        <w:tc>
          <w:tcPr>
            <w:tcW w:w="1866" w:type="dxa"/>
            <w:tcBorders>
              <w:top w:val="single" w:color="auto" w:sz="4" w:space="0"/>
              <w:left w:val="single" w:color="auto" w:sz="4" w:space="0"/>
              <w:bottom w:val="single" w:color="000000" w:sz="4" w:space="0"/>
              <w:right w:val="single" w:color="000000" w:sz="4" w:space="0"/>
            </w:tcBorders>
          </w:tcPr>
          <w:p w14:paraId="7A43077C">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1.972</w:t>
            </w:r>
          </w:p>
        </w:tc>
        <w:tc>
          <w:tcPr>
            <w:tcW w:w="1848" w:type="dxa"/>
            <w:tcBorders>
              <w:top w:val="single" w:color="auto" w:sz="4" w:space="0"/>
              <w:bottom w:val="single" w:color="000000" w:sz="4" w:space="0"/>
              <w:right w:val="single" w:color="000000" w:sz="4" w:space="0"/>
            </w:tcBorders>
          </w:tcPr>
          <w:p w14:paraId="78831408">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1.25</w:t>
            </w:r>
          </w:p>
        </w:tc>
      </w:tr>
      <w:tr w14:paraId="647FACB0">
        <w:tblPrEx>
          <w:tblCellMar>
            <w:top w:w="0" w:type="dxa"/>
            <w:left w:w="108" w:type="dxa"/>
            <w:bottom w:w="0" w:type="dxa"/>
            <w:right w:w="108" w:type="dxa"/>
          </w:tblCellMar>
        </w:tblPrEx>
        <w:trPr>
          <w:trHeight w:val="397" w:hRule="exact"/>
        </w:trPr>
        <w:tc>
          <w:tcPr>
            <w:tcW w:w="663" w:type="dxa"/>
            <w:tcBorders>
              <w:top w:val="single" w:color="auto" w:sz="4" w:space="0"/>
              <w:left w:val="single" w:color="000000" w:sz="4" w:space="0"/>
              <w:bottom w:val="single" w:color="000000" w:sz="4" w:space="0"/>
              <w:right w:val="single" w:color="000000" w:sz="4" w:space="0"/>
            </w:tcBorders>
            <w:vAlign w:val="center"/>
          </w:tcPr>
          <w:p w14:paraId="5C82B305">
            <w:pPr>
              <w:pStyle w:val="6"/>
              <w:numPr>
                <w:ilvl w:val="0"/>
                <w:numId w:val="0"/>
              </w:numPr>
              <w:tabs>
                <w:tab w:val="clear" w:pos="2040"/>
              </w:tabs>
              <w:jc w:val="center"/>
              <w:rPr>
                <w:rFonts w:hint="eastAsia" w:ascii="仿宋" w:hAnsi="仿宋" w:eastAsia="仿宋"/>
                <w:szCs w:val="21"/>
              </w:rPr>
            </w:pPr>
            <w:r>
              <w:rPr>
                <w:rFonts w:hint="eastAsia" w:ascii="仿宋" w:hAnsi="仿宋" w:eastAsia="仿宋"/>
                <w:szCs w:val="21"/>
              </w:rPr>
              <w:t>26</w:t>
            </w:r>
          </w:p>
        </w:tc>
        <w:tc>
          <w:tcPr>
            <w:tcW w:w="4174" w:type="dxa"/>
            <w:tcBorders>
              <w:top w:val="single" w:color="auto" w:sz="4" w:space="0"/>
              <w:bottom w:val="single" w:color="000000" w:sz="4" w:space="0"/>
              <w:right w:val="single" w:color="000000" w:sz="4" w:space="0"/>
            </w:tcBorders>
            <w:vAlign w:val="center"/>
          </w:tcPr>
          <w:p w14:paraId="1D1AABAC">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石狮市锦尚镇锦里小学</w:t>
            </w:r>
          </w:p>
        </w:tc>
        <w:tc>
          <w:tcPr>
            <w:tcW w:w="1866" w:type="dxa"/>
            <w:tcBorders>
              <w:top w:val="single" w:color="auto" w:sz="4" w:space="0"/>
              <w:bottom w:val="single" w:color="000000" w:sz="4" w:space="0"/>
              <w:right w:val="single" w:color="000000" w:sz="4" w:space="0"/>
            </w:tcBorders>
          </w:tcPr>
          <w:p w14:paraId="2338ABB2">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7.888</w:t>
            </w:r>
          </w:p>
        </w:tc>
        <w:tc>
          <w:tcPr>
            <w:tcW w:w="1848" w:type="dxa"/>
            <w:tcBorders>
              <w:top w:val="single" w:color="auto" w:sz="4" w:space="0"/>
              <w:bottom w:val="single" w:color="000000" w:sz="4" w:space="0"/>
              <w:right w:val="single" w:color="000000" w:sz="4" w:space="0"/>
            </w:tcBorders>
          </w:tcPr>
          <w:p w14:paraId="501F86B5">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2.5</w:t>
            </w:r>
          </w:p>
        </w:tc>
      </w:tr>
      <w:tr w14:paraId="6317825C">
        <w:tblPrEx>
          <w:tblCellMar>
            <w:top w:w="0" w:type="dxa"/>
            <w:left w:w="108" w:type="dxa"/>
            <w:bottom w:w="0" w:type="dxa"/>
            <w:right w:w="108" w:type="dxa"/>
          </w:tblCellMar>
        </w:tblPrEx>
        <w:trPr>
          <w:trHeight w:val="397" w:hRule="exact"/>
        </w:trPr>
        <w:tc>
          <w:tcPr>
            <w:tcW w:w="663" w:type="dxa"/>
            <w:tcBorders>
              <w:left w:val="single" w:color="000000" w:sz="4" w:space="0"/>
              <w:bottom w:val="single" w:color="000000" w:sz="4" w:space="0"/>
              <w:right w:val="single" w:color="000000" w:sz="4" w:space="0"/>
            </w:tcBorders>
            <w:vAlign w:val="center"/>
          </w:tcPr>
          <w:p w14:paraId="1110BB1A">
            <w:pPr>
              <w:pStyle w:val="6"/>
              <w:numPr>
                <w:ilvl w:val="0"/>
                <w:numId w:val="0"/>
              </w:numPr>
              <w:tabs>
                <w:tab w:val="clear" w:pos="2040"/>
              </w:tabs>
              <w:jc w:val="center"/>
              <w:rPr>
                <w:rFonts w:hint="eastAsia" w:ascii="仿宋" w:hAnsi="仿宋" w:eastAsia="仿宋"/>
                <w:szCs w:val="21"/>
              </w:rPr>
            </w:pPr>
            <w:r>
              <w:rPr>
                <w:rFonts w:hint="eastAsia" w:ascii="仿宋" w:hAnsi="仿宋" w:eastAsia="仿宋"/>
                <w:szCs w:val="21"/>
              </w:rPr>
              <w:t>27</w:t>
            </w:r>
          </w:p>
        </w:tc>
        <w:tc>
          <w:tcPr>
            <w:tcW w:w="4174" w:type="dxa"/>
            <w:tcBorders>
              <w:bottom w:val="single" w:color="000000" w:sz="4" w:space="0"/>
              <w:right w:val="single" w:color="000000" w:sz="4" w:space="0"/>
            </w:tcBorders>
            <w:vAlign w:val="center"/>
          </w:tcPr>
          <w:p w14:paraId="49E67BC8">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石狮市祥芝镇莲坂小学</w:t>
            </w:r>
          </w:p>
        </w:tc>
        <w:tc>
          <w:tcPr>
            <w:tcW w:w="1866" w:type="dxa"/>
            <w:tcBorders>
              <w:top w:val="single" w:color="auto" w:sz="4" w:space="0"/>
              <w:bottom w:val="single" w:color="000000" w:sz="4" w:space="0"/>
              <w:right w:val="single" w:color="000000" w:sz="4" w:space="0"/>
            </w:tcBorders>
          </w:tcPr>
          <w:p w14:paraId="2A278F5C">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1.972</w:t>
            </w:r>
          </w:p>
        </w:tc>
        <w:tc>
          <w:tcPr>
            <w:tcW w:w="1848" w:type="dxa"/>
            <w:tcBorders>
              <w:top w:val="single" w:color="auto" w:sz="4" w:space="0"/>
              <w:bottom w:val="single" w:color="000000" w:sz="4" w:space="0"/>
              <w:right w:val="single" w:color="000000" w:sz="4" w:space="0"/>
            </w:tcBorders>
          </w:tcPr>
          <w:p w14:paraId="4AB37EE2">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1.25</w:t>
            </w:r>
          </w:p>
        </w:tc>
      </w:tr>
      <w:tr w14:paraId="54F7F4BF">
        <w:tblPrEx>
          <w:tblCellMar>
            <w:top w:w="0" w:type="dxa"/>
            <w:left w:w="108" w:type="dxa"/>
            <w:bottom w:w="0" w:type="dxa"/>
            <w:right w:w="108" w:type="dxa"/>
          </w:tblCellMar>
        </w:tblPrEx>
        <w:trPr>
          <w:trHeight w:val="397" w:hRule="exact"/>
        </w:trPr>
        <w:tc>
          <w:tcPr>
            <w:tcW w:w="663" w:type="dxa"/>
            <w:tcBorders>
              <w:left w:val="single" w:color="000000" w:sz="4" w:space="0"/>
              <w:bottom w:val="single" w:color="000000" w:sz="4" w:space="0"/>
              <w:right w:val="single" w:color="000000" w:sz="4" w:space="0"/>
            </w:tcBorders>
            <w:vAlign w:val="center"/>
          </w:tcPr>
          <w:p w14:paraId="17F0F098">
            <w:pPr>
              <w:pStyle w:val="6"/>
              <w:numPr>
                <w:ilvl w:val="0"/>
                <w:numId w:val="0"/>
              </w:numPr>
              <w:tabs>
                <w:tab w:val="clear" w:pos="2040"/>
              </w:tabs>
              <w:jc w:val="center"/>
              <w:rPr>
                <w:rFonts w:hint="eastAsia" w:ascii="仿宋" w:hAnsi="仿宋" w:eastAsia="仿宋"/>
                <w:szCs w:val="21"/>
              </w:rPr>
            </w:pPr>
            <w:r>
              <w:rPr>
                <w:rFonts w:hint="eastAsia" w:ascii="仿宋" w:hAnsi="仿宋" w:eastAsia="仿宋"/>
                <w:szCs w:val="21"/>
              </w:rPr>
              <w:t>28</w:t>
            </w:r>
          </w:p>
        </w:tc>
        <w:tc>
          <w:tcPr>
            <w:tcW w:w="4174" w:type="dxa"/>
            <w:tcBorders>
              <w:bottom w:val="single" w:color="000000" w:sz="4" w:space="0"/>
              <w:right w:val="single" w:color="000000" w:sz="4" w:space="0"/>
            </w:tcBorders>
            <w:vAlign w:val="center"/>
          </w:tcPr>
          <w:p w14:paraId="114AC3A6">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石狮市福民中心小学</w:t>
            </w:r>
          </w:p>
        </w:tc>
        <w:tc>
          <w:tcPr>
            <w:tcW w:w="1866" w:type="dxa"/>
            <w:tcBorders>
              <w:top w:val="single" w:color="auto" w:sz="4" w:space="0"/>
              <w:bottom w:val="single" w:color="000000" w:sz="4" w:space="0"/>
              <w:right w:val="single" w:color="000000" w:sz="4" w:space="0"/>
            </w:tcBorders>
          </w:tcPr>
          <w:p w14:paraId="7C407544">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15.776</w:t>
            </w:r>
          </w:p>
        </w:tc>
        <w:tc>
          <w:tcPr>
            <w:tcW w:w="1848" w:type="dxa"/>
            <w:tcBorders>
              <w:top w:val="single" w:color="auto" w:sz="4" w:space="0"/>
              <w:bottom w:val="single" w:color="000000" w:sz="4" w:space="0"/>
              <w:right w:val="single" w:color="000000" w:sz="4" w:space="0"/>
            </w:tcBorders>
          </w:tcPr>
          <w:p w14:paraId="4FDFBA39">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3.75</w:t>
            </w:r>
          </w:p>
        </w:tc>
      </w:tr>
      <w:tr w14:paraId="758BBEDB">
        <w:tblPrEx>
          <w:tblCellMar>
            <w:top w:w="0" w:type="dxa"/>
            <w:left w:w="108" w:type="dxa"/>
            <w:bottom w:w="0" w:type="dxa"/>
            <w:right w:w="108" w:type="dxa"/>
          </w:tblCellMar>
        </w:tblPrEx>
        <w:trPr>
          <w:trHeight w:val="397" w:hRule="exact"/>
        </w:trPr>
        <w:tc>
          <w:tcPr>
            <w:tcW w:w="663" w:type="dxa"/>
            <w:tcBorders>
              <w:left w:val="single" w:color="000000" w:sz="4" w:space="0"/>
              <w:bottom w:val="single" w:color="000000" w:sz="4" w:space="0"/>
              <w:right w:val="single" w:color="000000" w:sz="4" w:space="0"/>
            </w:tcBorders>
            <w:vAlign w:val="center"/>
          </w:tcPr>
          <w:p w14:paraId="47752DA3">
            <w:pPr>
              <w:pStyle w:val="6"/>
              <w:numPr>
                <w:ilvl w:val="0"/>
                <w:numId w:val="0"/>
              </w:numPr>
              <w:tabs>
                <w:tab w:val="clear" w:pos="2040"/>
              </w:tabs>
              <w:jc w:val="center"/>
              <w:rPr>
                <w:rFonts w:hint="eastAsia" w:ascii="仿宋" w:hAnsi="仿宋" w:eastAsia="仿宋"/>
                <w:szCs w:val="21"/>
              </w:rPr>
            </w:pPr>
            <w:r>
              <w:rPr>
                <w:rFonts w:hint="eastAsia" w:ascii="仿宋" w:hAnsi="仿宋" w:eastAsia="仿宋"/>
                <w:szCs w:val="21"/>
              </w:rPr>
              <w:t>29</w:t>
            </w:r>
          </w:p>
        </w:tc>
        <w:tc>
          <w:tcPr>
            <w:tcW w:w="4174" w:type="dxa"/>
            <w:tcBorders>
              <w:bottom w:val="single" w:color="000000" w:sz="4" w:space="0"/>
              <w:right w:val="single" w:color="000000" w:sz="4" w:space="0"/>
            </w:tcBorders>
            <w:vAlign w:val="center"/>
          </w:tcPr>
          <w:p w14:paraId="75648F6B">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石狮市教师进修学校附属小学</w:t>
            </w:r>
          </w:p>
        </w:tc>
        <w:tc>
          <w:tcPr>
            <w:tcW w:w="1866" w:type="dxa"/>
            <w:tcBorders>
              <w:top w:val="single" w:color="auto" w:sz="4" w:space="0"/>
              <w:bottom w:val="single" w:color="000000" w:sz="4" w:space="0"/>
              <w:right w:val="single" w:color="000000" w:sz="4" w:space="0"/>
            </w:tcBorders>
          </w:tcPr>
          <w:p w14:paraId="2DDEE778">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23.664</w:t>
            </w:r>
          </w:p>
        </w:tc>
        <w:tc>
          <w:tcPr>
            <w:tcW w:w="1848" w:type="dxa"/>
            <w:tcBorders>
              <w:top w:val="single" w:color="auto" w:sz="4" w:space="0"/>
              <w:bottom w:val="single" w:color="000000" w:sz="4" w:space="0"/>
              <w:right w:val="single" w:color="000000" w:sz="4" w:space="0"/>
            </w:tcBorders>
          </w:tcPr>
          <w:p w14:paraId="5B62BA23">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2.5</w:t>
            </w:r>
          </w:p>
        </w:tc>
      </w:tr>
      <w:tr w14:paraId="62FA4663">
        <w:tblPrEx>
          <w:tblCellMar>
            <w:top w:w="0" w:type="dxa"/>
            <w:left w:w="108" w:type="dxa"/>
            <w:bottom w:w="0" w:type="dxa"/>
            <w:right w:w="108" w:type="dxa"/>
          </w:tblCellMar>
        </w:tblPrEx>
        <w:trPr>
          <w:trHeight w:val="397" w:hRule="exact"/>
        </w:trPr>
        <w:tc>
          <w:tcPr>
            <w:tcW w:w="663" w:type="dxa"/>
            <w:tcBorders>
              <w:left w:val="single" w:color="000000" w:sz="4" w:space="0"/>
              <w:bottom w:val="single" w:color="000000" w:sz="4" w:space="0"/>
              <w:right w:val="single" w:color="000000" w:sz="4" w:space="0"/>
            </w:tcBorders>
            <w:vAlign w:val="center"/>
          </w:tcPr>
          <w:p w14:paraId="0D25D837">
            <w:pPr>
              <w:pStyle w:val="6"/>
              <w:numPr>
                <w:ilvl w:val="0"/>
                <w:numId w:val="0"/>
              </w:numPr>
              <w:tabs>
                <w:tab w:val="clear" w:pos="2040"/>
              </w:tabs>
              <w:jc w:val="center"/>
              <w:rPr>
                <w:rFonts w:hint="eastAsia" w:ascii="仿宋" w:hAnsi="仿宋" w:eastAsia="仿宋"/>
                <w:szCs w:val="21"/>
              </w:rPr>
            </w:pPr>
            <w:r>
              <w:rPr>
                <w:rFonts w:hint="eastAsia" w:ascii="仿宋" w:hAnsi="仿宋" w:eastAsia="仿宋"/>
                <w:szCs w:val="21"/>
              </w:rPr>
              <w:t>30</w:t>
            </w:r>
          </w:p>
        </w:tc>
        <w:tc>
          <w:tcPr>
            <w:tcW w:w="4174" w:type="dxa"/>
            <w:tcBorders>
              <w:bottom w:val="single" w:color="000000" w:sz="4" w:space="0"/>
              <w:right w:val="single" w:color="000000" w:sz="4" w:space="0"/>
            </w:tcBorders>
            <w:vAlign w:val="center"/>
          </w:tcPr>
          <w:p w14:paraId="7FE464CF">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石狮市宝盖镇坑东小学</w:t>
            </w:r>
          </w:p>
        </w:tc>
        <w:tc>
          <w:tcPr>
            <w:tcW w:w="1866" w:type="dxa"/>
            <w:tcBorders>
              <w:top w:val="single" w:color="auto" w:sz="4" w:space="0"/>
              <w:bottom w:val="single" w:color="000000" w:sz="4" w:space="0"/>
              <w:right w:val="single" w:color="000000" w:sz="4" w:space="0"/>
            </w:tcBorders>
          </w:tcPr>
          <w:p w14:paraId="77FC4731">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9.86</w:t>
            </w:r>
          </w:p>
        </w:tc>
        <w:tc>
          <w:tcPr>
            <w:tcW w:w="1848" w:type="dxa"/>
            <w:tcBorders>
              <w:top w:val="single" w:color="auto" w:sz="4" w:space="0"/>
              <w:bottom w:val="single" w:color="000000" w:sz="4" w:space="0"/>
              <w:right w:val="single" w:color="000000" w:sz="4" w:space="0"/>
            </w:tcBorders>
          </w:tcPr>
          <w:p w14:paraId="24441585">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2.5</w:t>
            </w:r>
          </w:p>
        </w:tc>
      </w:tr>
      <w:tr w14:paraId="4C3F6A86">
        <w:tblPrEx>
          <w:tblCellMar>
            <w:top w:w="0" w:type="dxa"/>
            <w:left w:w="108" w:type="dxa"/>
            <w:bottom w:w="0" w:type="dxa"/>
            <w:right w:w="108" w:type="dxa"/>
          </w:tblCellMar>
        </w:tblPrEx>
        <w:trPr>
          <w:trHeight w:val="397" w:hRule="exact"/>
        </w:trPr>
        <w:tc>
          <w:tcPr>
            <w:tcW w:w="663" w:type="dxa"/>
            <w:tcBorders>
              <w:left w:val="single" w:color="000000" w:sz="4" w:space="0"/>
              <w:bottom w:val="single" w:color="000000" w:sz="4" w:space="0"/>
              <w:right w:val="single" w:color="000000" w:sz="4" w:space="0"/>
            </w:tcBorders>
            <w:vAlign w:val="center"/>
          </w:tcPr>
          <w:p w14:paraId="366B3136">
            <w:pPr>
              <w:pStyle w:val="6"/>
              <w:numPr>
                <w:ilvl w:val="0"/>
                <w:numId w:val="0"/>
              </w:numPr>
              <w:tabs>
                <w:tab w:val="clear" w:pos="2040"/>
              </w:tabs>
              <w:jc w:val="center"/>
              <w:rPr>
                <w:rFonts w:hint="eastAsia" w:ascii="仿宋" w:hAnsi="仿宋" w:eastAsia="仿宋"/>
                <w:szCs w:val="21"/>
              </w:rPr>
            </w:pPr>
            <w:r>
              <w:rPr>
                <w:rFonts w:hint="eastAsia" w:ascii="仿宋" w:hAnsi="仿宋" w:eastAsia="仿宋"/>
                <w:szCs w:val="21"/>
              </w:rPr>
              <w:t>31</w:t>
            </w:r>
          </w:p>
        </w:tc>
        <w:tc>
          <w:tcPr>
            <w:tcW w:w="4174" w:type="dxa"/>
            <w:tcBorders>
              <w:bottom w:val="single" w:color="000000" w:sz="4" w:space="0"/>
              <w:right w:val="single" w:color="000000" w:sz="4" w:space="0"/>
            </w:tcBorders>
            <w:vAlign w:val="center"/>
          </w:tcPr>
          <w:p w14:paraId="494BB803">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石狮市鸿山镇锦林小学</w:t>
            </w:r>
          </w:p>
        </w:tc>
        <w:tc>
          <w:tcPr>
            <w:tcW w:w="1866" w:type="dxa"/>
            <w:tcBorders>
              <w:top w:val="single" w:color="auto" w:sz="4" w:space="0"/>
              <w:bottom w:val="single" w:color="000000" w:sz="4" w:space="0"/>
              <w:right w:val="single" w:color="000000" w:sz="4" w:space="0"/>
            </w:tcBorders>
          </w:tcPr>
          <w:p w14:paraId="78DF2B4B">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5.916</w:t>
            </w:r>
          </w:p>
        </w:tc>
        <w:tc>
          <w:tcPr>
            <w:tcW w:w="1848" w:type="dxa"/>
            <w:tcBorders>
              <w:top w:val="single" w:color="auto" w:sz="4" w:space="0"/>
              <w:bottom w:val="single" w:color="000000" w:sz="4" w:space="0"/>
              <w:right w:val="single" w:color="000000" w:sz="4" w:space="0"/>
            </w:tcBorders>
          </w:tcPr>
          <w:p w14:paraId="248CE524">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2.5</w:t>
            </w:r>
          </w:p>
        </w:tc>
      </w:tr>
      <w:tr w14:paraId="6A3E544C">
        <w:tblPrEx>
          <w:tblCellMar>
            <w:top w:w="0" w:type="dxa"/>
            <w:left w:w="108" w:type="dxa"/>
            <w:bottom w:w="0" w:type="dxa"/>
            <w:right w:w="108" w:type="dxa"/>
          </w:tblCellMar>
        </w:tblPrEx>
        <w:trPr>
          <w:trHeight w:val="397" w:hRule="exact"/>
        </w:trPr>
        <w:tc>
          <w:tcPr>
            <w:tcW w:w="663" w:type="dxa"/>
            <w:tcBorders>
              <w:left w:val="single" w:color="000000" w:sz="4" w:space="0"/>
              <w:bottom w:val="single" w:color="000000" w:sz="4" w:space="0"/>
              <w:right w:val="single" w:color="000000" w:sz="4" w:space="0"/>
            </w:tcBorders>
            <w:vAlign w:val="center"/>
          </w:tcPr>
          <w:p w14:paraId="37E6655B">
            <w:pPr>
              <w:pStyle w:val="6"/>
              <w:numPr>
                <w:ilvl w:val="0"/>
                <w:numId w:val="0"/>
              </w:numPr>
              <w:tabs>
                <w:tab w:val="clear" w:pos="2040"/>
              </w:tabs>
              <w:jc w:val="center"/>
              <w:rPr>
                <w:rFonts w:hint="eastAsia" w:ascii="仿宋" w:hAnsi="仿宋" w:eastAsia="仿宋"/>
                <w:szCs w:val="21"/>
              </w:rPr>
            </w:pPr>
            <w:r>
              <w:rPr>
                <w:rFonts w:hint="eastAsia" w:ascii="仿宋" w:hAnsi="仿宋" w:eastAsia="仿宋"/>
                <w:szCs w:val="21"/>
              </w:rPr>
              <w:t>32</w:t>
            </w:r>
          </w:p>
        </w:tc>
        <w:tc>
          <w:tcPr>
            <w:tcW w:w="4174" w:type="dxa"/>
            <w:tcBorders>
              <w:bottom w:val="single" w:color="000000" w:sz="4" w:space="0"/>
              <w:right w:val="single" w:color="000000" w:sz="4" w:space="0"/>
            </w:tcBorders>
            <w:vAlign w:val="center"/>
          </w:tcPr>
          <w:p w14:paraId="1CCB2343">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石狮市宝盖镇塘边小学</w:t>
            </w:r>
          </w:p>
        </w:tc>
        <w:tc>
          <w:tcPr>
            <w:tcW w:w="1866" w:type="dxa"/>
            <w:tcBorders>
              <w:top w:val="single" w:color="auto" w:sz="4" w:space="0"/>
              <w:bottom w:val="single" w:color="000000" w:sz="4" w:space="0"/>
              <w:right w:val="single" w:color="000000" w:sz="4" w:space="0"/>
            </w:tcBorders>
          </w:tcPr>
          <w:p w14:paraId="38147497">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7.888</w:t>
            </w:r>
          </w:p>
        </w:tc>
        <w:tc>
          <w:tcPr>
            <w:tcW w:w="1848" w:type="dxa"/>
            <w:tcBorders>
              <w:top w:val="single" w:color="auto" w:sz="4" w:space="0"/>
              <w:bottom w:val="single" w:color="000000" w:sz="4" w:space="0"/>
              <w:right w:val="single" w:color="000000" w:sz="4" w:space="0"/>
            </w:tcBorders>
          </w:tcPr>
          <w:p w14:paraId="03C9A7FD">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3.75</w:t>
            </w:r>
          </w:p>
        </w:tc>
      </w:tr>
      <w:tr w14:paraId="43FB3AEE">
        <w:tblPrEx>
          <w:tblCellMar>
            <w:top w:w="0" w:type="dxa"/>
            <w:left w:w="108" w:type="dxa"/>
            <w:bottom w:w="0" w:type="dxa"/>
            <w:right w:w="108" w:type="dxa"/>
          </w:tblCellMar>
        </w:tblPrEx>
        <w:trPr>
          <w:trHeight w:val="397" w:hRule="exact"/>
        </w:trPr>
        <w:tc>
          <w:tcPr>
            <w:tcW w:w="663" w:type="dxa"/>
            <w:tcBorders>
              <w:left w:val="single" w:color="000000" w:sz="4" w:space="0"/>
              <w:bottom w:val="single" w:color="auto" w:sz="4" w:space="0"/>
              <w:right w:val="single" w:color="000000" w:sz="4" w:space="0"/>
            </w:tcBorders>
            <w:vAlign w:val="center"/>
          </w:tcPr>
          <w:p w14:paraId="7434DB12">
            <w:pPr>
              <w:pStyle w:val="6"/>
              <w:numPr>
                <w:ilvl w:val="0"/>
                <w:numId w:val="0"/>
              </w:numPr>
              <w:tabs>
                <w:tab w:val="clear" w:pos="2040"/>
              </w:tabs>
              <w:jc w:val="center"/>
              <w:rPr>
                <w:rFonts w:hint="eastAsia" w:ascii="仿宋" w:hAnsi="仿宋" w:eastAsia="仿宋"/>
                <w:szCs w:val="21"/>
              </w:rPr>
            </w:pPr>
            <w:r>
              <w:rPr>
                <w:rFonts w:hint="eastAsia" w:ascii="仿宋" w:hAnsi="仿宋" w:eastAsia="仿宋"/>
                <w:szCs w:val="21"/>
              </w:rPr>
              <w:t>33</w:t>
            </w:r>
          </w:p>
        </w:tc>
        <w:tc>
          <w:tcPr>
            <w:tcW w:w="4174" w:type="dxa"/>
            <w:tcBorders>
              <w:bottom w:val="single" w:color="auto" w:sz="4" w:space="0"/>
              <w:right w:val="single" w:color="000000" w:sz="4" w:space="0"/>
            </w:tcBorders>
            <w:vAlign w:val="center"/>
          </w:tcPr>
          <w:p w14:paraId="2AC53E39">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石狮市锦峰实验学校（小学）</w:t>
            </w:r>
          </w:p>
        </w:tc>
        <w:tc>
          <w:tcPr>
            <w:tcW w:w="1866" w:type="dxa"/>
            <w:tcBorders>
              <w:top w:val="single" w:color="auto" w:sz="4" w:space="0"/>
              <w:bottom w:val="single" w:color="auto" w:sz="4" w:space="0"/>
              <w:right w:val="single" w:color="000000" w:sz="4" w:space="0"/>
            </w:tcBorders>
          </w:tcPr>
          <w:p w14:paraId="6BF0CDC5">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15.776</w:t>
            </w:r>
          </w:p>
        </w:tc>
        <w:tc>
          <w:tcPr>
            <w:tcW w:w="1848" w:type="dxa"/>
            <w:tcBorders>
              <w:top w:val="single" w:color="auto" w:sz="4" w:space="0"/>
              <w:bottom w:val="single" w:color="auto" w:sz="4" w:space="0"/>
              <w:right w:val="single" w:color="000000" w:sz="4" w:space="0"/>
            </w:tcBorders>
          </w:tcPr>
          <w:p w14:paraId="10130032">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3.75</w:t>
            </w:r>
          </w:p>
        </w:tc>
      </w:tr>
      <w:tr w14:paraId="385DC23B">
        <w:tblPrEx>
          <w:tblCellMar>
            <w:top w:w="0" w:type="dxa"/>
            <w:left w:w="108" w:type="dxa"/>
            <w:bottom w:w="0" w:type="dxa"/>
            <w:right w:w="108" w:type="dxa"/>
          </w:tblCellMar>
        </w:tblPrEx>
        <w:trPr>
          <w:trHeight w:val="397" w:hRule="exact"/>
        </w:trPr>
        <w:tc>
          <w:tcPr>
            <w:tcW w:w="663" w:type="dxa"/>
            <w:tcBorders>
              <w:top w:val="single" w:color="auto" w:sz="4" w:space="0"/>
              <w:left w:val="single" w:color="auto" w:sz="4" w:space="0"/>
              <w:bottom w:val="single" w:color="auto" w:sz="4" w:space="0"/>
              <w:right w:val="single" w:color="auto" w:sz="4" w:space="0"/>
            </w:tcBorders>
            <w:vAlign w:val="center"/>
          </w:tcPr>
          <w:p w14:paraId="1810A237">
            <w:pPr>
              <w:pStyle w:val="6"/>
              <w:numPr>
                <w:ilvl w:val="0"/>
                <w:numId w:val="0"/>
              </w:numPr>
              <w:tabs>
                <w:tab w:val="clear" w:pos="2040"/>
              </w:tabs>
              <w:jc w:val="center"/>
              <w:rPr>
                <w:rFonts w:hint="eastAsia" w:ascii="仿宋" w:hAnsi="仿宋" w:eastAsia="仿宋"/>
                <w:szCs w:val="21"/>
              </w:rPr>
            </w:pPr>
            <w:r>
              <w:rPr>
                <w:rFonts w:hint="eastAsia" w:ascii="仿宋" w:hAnsi="仿宋" w:eastAsia="仿宋"/>
                <w:szCs w:val="21"/>
              </w:rPr>
              <w:t>34</w:t>
            </w:r>
          </w:p>
        </w:tc>
        <w:tc>
          <w:tcPr>
            <w:tcW w:w="4174" w:type="dxa"/>
            <w:tcBorders>
              <w:top w:val="single" w:color="auto" w:sz="4" w:space="0"/>
              <w:left w:val="single" w:color="auto" w:sz="4" w:space="0"/>
              <w:bottom w:val="single" w:color="auto" w:sz="4" w:space="0"/>
              <w:right w:val="single" w:color="auto" w:sz="4" w:space="0"/>
            </w:tcBorders>
            <w:vAlign w:val="center"/>
          </w:tcPr>
          <w:p w14:paraId="512BE515">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石狮市仁爱学校</w:t>
            </w:r>
          </w:p>
        </w:tc>
        <w:tc>
          <w:tcPr>
            <w:tcW w:w="1866" w:type="dxa"/>
            <w:tcBorders>
              <w:top w:val="single" w:color="auto" w:sz="4" w:space="0"/>
              <w:left w:val="single" w:color="auto" w:sz="4" w:space="0"/>
              <w:bottom w:val="single" w:color="auto" w:sz="4" w:space="0"/>
              <w:right w:val="single" w:color="000000" w:sz="4" w:space="0"/>
            </w:tcBorders>
          </w:tcPr>
          <w:p w14:paraId="1C002CF3">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9.86</w:t>
            </w:r>
          </w:p>
        </w:tc>
        <w:tc>
          <w:tcPr>
            <w:tcW w:w="1848" w:type="dxa"/>
            <w:tcBorders>
              <w:top w:val="single" w:color="auto" w:sz="4" w:space="0"/>
              <w:bottom w:val="single" w:color="auto" w:sz="4" w:space="0"/>
              <w:right w:val="single" w:color="000000" w:sz="4" w:space="0"/>
            </w:tcBorders>
          </w:tcPr>
          <w:p w14:paraId="4DC92358">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0</w:t>
            </w:r>
          </w:p>
        </w:tc>
      </w:tr>
      <w:tr w14:paraId="61086FDD">
        <w:tblPrEx>
          <w:tblCellMar>
            <w:top w:w="0" w:type="dxa"/>
            <w:left w:w="108" w:type="dxa"/>
            <w:bottom w:w="0" w:type="dxa"/>
            <w:right w:w="108" w:type="dxa"/>
          </w:tblCellMar>
        </w:tblPrEx>
        <w:trPr>
          <w:trHeight w:val="397" w:hRule="exact"/>
        </w:trPr>
        <w:tc>
          <w:tcPr>
            <w:tcW w:w="663" w:type="dxa"/>
            <w:tcBorders>
              <w:top w:val="single" w:color="auto" w:sz="4" w:space="0"/>
              <w:left w:val="single" w:color="auto" w:sz="4" w:space="0"/>
              <w:bottom w:val="single" w:color="auto" w:sz="4" w:space="0"/>
              <w:right w:val="single" w:color="auto" w:sz="4" w:space="0"/>
            </w:tcBorders>
            <w:vAlign w:val="center"/>
          </w:tcPr>
          <w:p w14:paraId="7FF13469">
            <w:pPr>
              <w:pStyle w:val="6"/>
              <w:numPr>
                <w:ilvl w:val="0"/>
                <w:numId w:val="0"/>
              </w:numPr>
              <w:tabs>
                <w:tab w:val="clear" w:pos="2040"/>
              </w:tabs>
              <w:jc w:val="center"/>
              <w:rPr>
                <w:rFonts w:hint="eastAsia" w:ascii="仿宋" w:hAnsi="仿宋" w:eastAsia="仿宋"/>
                <w:szCs w:val="21"/>
              </w:rPr>
            </w:pPr>
            <w:r>
              <w:rPr>
                <w:rFonts w:hint="eastAsia" w:ascii="仿宋" w:hAnsi="仿宋" w:eastAsia="仿宋"/>
                <w:szCs w:val="21"/>
              </w:rPr>
              <w:t>35</w:t>
            </w:r>
          </w:p>
        </w:tc>
        <w:tc>
          <w:tcPr>
            <w:tcW w:w="4174" w:type="dxa"/>
            <w:tcBorders>
              <w:top w:val="single" w:color="auto" w:sz="4" w:space="0"/>
              <w:left w:val="single" w:color="auto" w:sz="4" w:space="0"/>
              <w:bottom w:val="single" w:color="auto" w:sz="4" w:space="0"/>
              <w:right w:val="single" w:color="auto" w:sz="4" w:space="0"/>
            </w:tcBorders>
            <w:vAlign w:val="center"/>
          </w:tcPr>
          <w:p w14:paraId="63749E52">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石狮市青少年活动中心</w:t>
            </w:r>
          </w:p>
        </w:tc>
        <w:tc>
          <w:tcPr>
            <w:tcW w:w="1866" w:type="dxa"/>
            <w:tcBorders>
              <w:top w:val="single" w:color="auto" w:sz="4" w:space="0"/>
              <w:left w:val="single" w:color="auto" w:sz="4" w:space="0"/>
              <w:bottom w:val="single" w:color="auto" w:sz="4" w:space="0"/>
              <w:right w:val="single" w:color="000000" w:sz="4" w:space="0"/>
            </w:tcBorders>
          </w:tcPr>
          <w:p w14:paraId="0BEAAB80">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9.86</w:t>
            </w:r>
          </w:p>
        </w:tc>
        <w:tc>
          <w:tcPr>
            <w:tcW w:w="1848" w:type="dxa"/>
            <w:tcBorders>
              <w:top w:val="single" w:color="auto" w:sz="4" w:space="0"/>
              <w:bottom w:val="single" w:color="auto" w:sz="4" w:space="0"/>
              <w:right w:val="single" w:color="000000" w:sz="4" w:space="0"/>
            </w:tcBorders>
          </w:tcPr>
          <w:p w14:paraId="44C1FCB4">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0</w:t>
            </w:r>
          </w:p>
        </w:tc>
      </w:tr>
      <w:tr w14:paraId="55D377DB">
        <w:tblPrEx>
          <w:tblCellMar>
            <w:top w:w="0" w:type="dxa"/>
            <w:left w:w="108" w:type="dxa"/>
            <w:bottom w:w="0" w:type="dxa"/>
            <w:right w:w="108" w:type="dxa"/>
          </w:tblCellMar>
        </w:tblPrEx>
        <w:trPr>
          <w:trHeight w:val="397" w:hRule="exact"/>
        </w:trPr>
        <w:tc>
          <w:tcPr>
            <w:tcW w:w="663" w:type="dxa"/>
            <w:tcBorders>
              <w:top w:val="single" w:color="auto" w:sz="4" w:space="0"/>
              <w:left w:val="single" w:color="auto" w:sz="4" w:space="0"/>
              <w:bottom w:val="single" w:color="auto" w:sz="4" w:space="0"/>
              <w:right w:val="single" w:color="auto" w:sz="4" w:space="0"/>
            </w:tcBorders>
            <w:vAlign w:val="center"/>
          </w:tcPr>
          <w:p w14:paraId="1BB84F66">
            <w:pPr>
              <w:pStyle w:val="6"/>
              <w:numPr>
                <w:ilvl w:val="0"/>
                <w:numId w:val="0"/>
              </w:numPr>
              <w:tabs>
                <w:tab w:val="clear" w:pos="2040"/>
              </w:tabs>
              <w:jc w:val="center"/>
              <w:rPr>
                <w:rFonts w:hint="eastAsia" w:ascii="仿宋" w:hAnsi="仿宋" w:eastAsia="仿宋"/>
                <w:szCs w:val="21"/>
              </w:rPr>
            </w:pPr>
            <w:r>
              <w:rPr>
                <w:rFonts w:hint="eastAsia" w:ascii="仿宋" w:hAnsi="仿宋" w:eastAsia="仿宋"/>
                <w:szCs w:val="21"/>
              </w:rPr>
              <w:t>36</w:t>
            </w:r>
          </w:p>
        </w:tc>
        <w:tc>
          <w:tcPr>
            <w:tcW w:w="4174" w:type="dxa"/>
            <w:tcBorders>
              <w:top w:val="single" w:color="auto" w:sz="4" w:space="0"/>
              <w:left w:val="single" w:color="auto" w:sz="4" w:space="0"/>
              <w:bottom w:val="single" w:color="auto" w:sz="4" w:space="0"/>
              <w:right w:val="single" w:color="auto" w:sz="4" w:space="0"/>
            </w:tcBorders>
            <w:vAlign w:val="center"/>
          </w:tcPr>
          <w:p w14:paraId="08CAB4EE">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石狮市鹏山工贸学校</w:t>
            </w:r>
          </w:p>
        </w:tc>
        <w:tc>
          <w:tcPr>
            <w:tcW w:w="1866" w:type="dxa"/>
            <w:tcBorders>
              <w:top w:val="single" w:color="auto" w:sz="4" w:space="0"/>
              <w:left w:val="single" w:color="auto" w:sz="4" w:space="0"/>
              <w:bottom w:val="single" w:color="auto" w:sz="4" w:space="0"/>
              <w:right w:val="single" w:color="000000" w:sz="4" w:space="0"/>
            </w:tcBorders>
          </w:tcPr>
          <w:p w14:paraId="638BBCC4">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15.776</w:t>
            </w:r>
          </w:p>
        </w:tc>
        <w:tc>
          <w:tcPr>
            <w:tcW w:w="1848" w:type="dxa"/>
            <w:tcBorders>
              <w:top w:val="single" w:color="auto" w:sz="4" w:space="0"/>
              <w:bottom w:val="single" w:color="auto" w:sz="4" w:space="0"/>
              <w:right w:val="single" w:color="000000" w:sz="4" w:space="0"/>
            </w:tcBorders>
          </w:tcPr>
          <w:p w14:paraId="02D58EC9">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0</w:t>
            </w:r>
          </w:p>
        </w:tc>
      </w:tr>
      <w:tr w14:paraId="468AB8A6">
        <w:tblPrEx>
          <w:tblCellMar>
            <w:top w:w="0" w:type="dxa"/>
            <w:left w:w="108" w:type="dxa"/>
            <w:bottom w:w="0" w:type="dxa"/>
            <w:right w:w="108" w:type="dxa"/>
          </w:tblCellMar>
        </w:tblPrEx>
        <w:trPr>
          <w:trHeight w:val="397" w:hRule="exact"/>
        </w:trPr>
        <w:tc>
          <w:tcPr>
            <w:tcW w:w="663" w:type="dxa"/>
            <w:tcBorders>
              <w:top w:val="single" w:color="auto" w:sz="4" w:space="0"/>
              <w:left w:val="single" w:color="auto" w:sz="4" w:space="0"/>
              <w:bottom w:val="single" w:color="auto" w:sz="4" w:space="0"/>
              <w:right w:val="single" w:color="auto" w:sz="4" w:space="0"/>
            </w:tcBorders>
            <w:vAlign w:val="center"/>
          </w:tcPr>
          <w:p w14:paraId="2CA9E74D">
            <w:pPr>
              <w:pStyle w:val="6"/>
              <w:numPr>
                <w:ilvl w:val="0"/>
                <w:numId w:val="0"/>
              </w:numPr>
              <w:tabs>
                <w:tab w:val="clear" w:pos="2040"/>
              </w:tabs>
              <w:jc w:val="center"/>
              <w:rPr>
                <w:rFonts w:hint="eastAsia" w:ascii="仿宋" w:hAnsi="仿宋" w:eastAsia="仿宋"/>
                <w:szCs w:val="21"/>
              </w:rPr>
            </w:pPr>
            <w:r>
              <w:rPr>
                <w:rFonts w:hint="eastAsia" w:ascii="仿宋" w:hAnsi="仿宋" w:eastAsia="仿宋"/>
                <w:szCs w:val="21"/>
              </w:rPr>
              <w:t>37</w:t>
            </w:r>
          </w:p>
        </w:tc>
        <w:tc>
          <w:tcPr>
            <w:tcW w:w="4174" w:type="dxa"/>
            <w:tcBorders>
              <w:top w:val="single" w:color="auto" w:sz="4" w:space="0"/>
              <w:left w:val="single" w:color="auto" w:sz="4" w:space="0"/>
              <w:bottom w:val="single" w:color="auto" w:sz="4" w:space="0"/>
              <w:right w:val="single" w:color="auto" w:sz="4" w:space="0"/>
            </w:tcBorders>
            <w:vAlign w:val="center"/>
          </w:tcPr>
          <w:p w14:paraId="0D1B3E2E">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石狮市塔前小学</w:t>
            </w:r>
          </w:p>
        </w:tc>
        <w:tc>
          <w:tcPr>
            <w:tcW w:w="1866" w:type="dxa"/>
            <w:tcBorders>
              <w:top w:val="single" w:color="auto" w:sz="4" w:space="0"/>
              <w:left w:val="single" w:color="auto" w:sz="4" w:space="0"/>
              <w:bottom w:val="single" w:color="auto" w:sz="4" w:space="0"/>
              <w:right w:val="single" w:color="000000" w:sz="4" w:space="0"/>
            </w:tcBorders>
          </w:tcPr>
          <w:p w14:paraId="692D2FF1">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1.972</w:t>
            </w:r>
          </w:p>
        </w:tc>
        <w:tc>
          <w:tcPr>
            <w:tcW w:w="1848" w:type="dxa"/>
            <w:tcBorders>
              <w:top w:val="single" w:color="auto" w:sz="4" w:space="0"/>
              <w:bottom w:val="single" w:color="auto" w:sz="4" w:space="0"/>
              <w:right w:val="single" w:color="000000" w:sz="4" w:space="0"/>
            </w:tcBorders>
          </w:tcPr>
          <w:p w14:paraId="05952A77">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1.25</w:t>
            </w:r>
          </w:p>
        </w:tc>
      </w:tr>
      <w:tr w14:paraId="2C778E1F">
        <w:tblPrEx>
          <w:tblCellMar>
            <w:top w:w="0" w:type="dxa"/>
            <w:left w:w="108" w:type="dxa"/>
            <w:bottom w:w="0" w:type="dxa"/>
            <w:right w:w="108" w:type="dxa"/>
          </w:tblCellMar>
        </w:tblPrEx>
        <w:trPr>
          <w:trHeight w:val="397" w:hRule="exact"/>
        </w:trPr>
        <w:tc>
          <w:tcPr>
            <w:tcW w:w="663" w:type="dxa"/>
            <w:tcBorders>
              <w:top w:val="single" w:color="auto" w:sz="4" w:space="0"/>
              <w:left w:val="single" w:color="auto" w:sz="4" w:space="0"/>
              <w:bottom w:val="single" w:color="auto" w:sz="4" w:space="0"/>
              <w:right w:val="single" w:color="auto" w:sz="4" w:space="0"/>
            </w:tcBorders>
            <w:vAlign w:val="center"/>
          </w:tcPr>
          <w:p w14:paraId="52DA9298">
            <w:pPr>
              <w:pStyle w:val="6"/>
              <w:numPr>
                <w:ilvl w:val="0"/>
                <w:numId w:val="0"/>
              </w:numPr>
              <w:tabs>
                <w:tab w:val="clear" w:pos="2040"/>
              </w:tabs>
              <w:jc w:val="center"/>
              <w:rPr>
                <w:rFonts w:hint="eastAsia" w:ascii="仿宋" w:hAnsi="仿宋" w:eastAsia="仿宋"/>
                <w:szCs w:val="21"/>
              </w:rPr>
            </w:pPr>
            <w:r>
              <w:rPr>
                <w:rFonts w:hint="eastAsia" w:ascii="仿宋" w:hAnsi="仿宋" w:eastAsia="仿宋"/>
                <w:szCs w:val="21"/>
              </w:rPr>
              <w:t>38</w:t>
            </w:r>
          </w:p>
        </w:tc>
        <w:tc>
          <w:tcPr>
            <w:tcW w:w="4174" w:type="dxa"/>
            <w:tcBorders>
              <w:top w:val="single" w:color="auto" w:sz="4" w:space="0"/>
              <w:left w:val="single" w:color="auto" w:sz="4" w:space="0"/>
              <w:bottom w:val="single" w:color="auto" w:sz="4" w:space="0"/>
              <w:right w:val="single" w:color="auto" w:sz="4" w:space="0"/>
            </w:tcBorders>
            <w:vAlign w:val="center"/>
          </w:tcPr>
          <w:p w14:paraId="2636A657">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石狮市五星小学</w:t>
            </w:r>
          </w:p>
        </w:tc>
        <w:tc>
          <w:tcPr>
            <w:tcW w:w="1866" w:type="dxa"/>
            <w:tcBorders>
              <w:top w:val="single" w:color="auto" w:sz="4" w:space="0"/>
              <w:left w:val="single" w:color="auto" w:sz="4" w:space="0"/>
              <w:bottom w:val="single" w:color="auto" w:sz="4" w:space="0"/>
              <w:right w:val="single" w:color="000000" w:sz="4" w:space="0"/>
            </w:tcBorders>
          </w:tcPr>
          <w:p w14:paraId="19981845">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1.972</w:t>
            </w:r>
          </w:p>
        </w:tc>
        <w:tc>
          <w:tcPr>
            <w:tcW w:w="1848" w:type="dxa"/>
            <w:tcBorders>
              <w:top w:val="single" w:color="auto" w:sz="4" w:space="0"/>
              <w:bottom w:val="single" w:color="auto" w:sz="4" w:space="0"/>
              <w:right w:val="single" w:color="000000" w:sz="4" w:space="0"/>
            </w:tcBorders>
          </w:tcPr>
          <w:p w14:paraId="7AE7DF89">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1.25</w:t>
            </w:r>
          </w:p>
        </w:tc>
      </w:tr>
      <w:tr w14:paraId="69758713">
        <w:tblPrEx>
          <w:tblCellMar>
            <w:top w:w="0" w:type="dxa"/>
            <w:left w:w="108" w:type="dxa"/>
            <w:bottom w:w="0" w:type="dxa"/>
            <w:right w:w="108" w:type="dxa"/>
          </w:tblCellMar>
        </w:tblPrEx>
        <w:trPr>
          <w:trHeight w:val="397" w:hRule="exact"/>
        </w:trPr>
        <w:tc>
          <w:tcPr>
            <w:tcW w:w="663" w:type="dxa"/>
            <w:tcBorders>
              <w:top w:val="single" w:color="auto" w:sz="4" w:space="0"/>
              <w:left w:val="single" w:color="auto" w:sz="4" w:space="0"/>
              <w:bottom w:val="single" w:color="auto" w:sz="4" w:space="0"/>
              <w:right w:val="single" w:color="auto" w:sz="4" w:space="0"/>
            </w:tcBorders>
            <w:vAlign w:val="center"/>
          </w:tcPr>
          <w:p w14:paraId="0193FEC7">
            <w:pPr>
              <w:pStyle w:val="6"/>
              <w:numPr>
                <w:ilvl w:val="0"/>
                <w:numId w:val="0"/>
              </w:numPr>
              <w:tabs>
                <w:tab w:val="clear" w:pos="2040"/>
              </w:tabs>
              <w:jc w:val="center"/>
              <w:rPr>
                <w:rFonts w:hint="eastAsia" w:ascii="仿宋" w:hAnsi="仿宋" w:eastAsia="仿宋"/>
                <w:szCs w:val="21"/>
              </w:rPr>
            </w:pPr>
            <w:r>
              <w:rPr>
                <w:rFonts w:hint="eastAsia" w:ascii="仿宋" w:hAnsi="仿宋" w:eastAsia="仿宋"/>
                <w:szCs w:val="21"/>
              </w:rPr>
              <w:t>39</w:t>
            </w:r>
          </w:p>
        </w:tc>
        <w:tc>
          <w:tcPr>
            <w:tcW w:w="4174" w:type="dxa"/>
            <w:tcBorders>
              <w:top w:val="single" w:color="auto" w:sz="4" w:space="0"/>
              <w:left w:val="single" w:color="auto" w:sz="4" w:space="0"/>
              <w:bottom w:val="single" w:color="auto" w:sz="4" w:space="0"/>
              <w:right w:val="single" w:color="auto" w:sz="4" w:space="0"/>
            </w:tcBorders>
            <w:vAlign w:val="center"/>
          </w:tcPr>
          <w:p w14:paraId="25A1BEA8">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石狮市大仑中心小学</w:t>
            </w:r>
          </w:p>
        </w:tc>
        <w:tc>
          <w:tcPr>
            <w:tcW w:w="1866" w:type="dxa"/>
            <w:tcBorders>
              <w:top w:val="single" w:color="auto" w:sz="4" w:space="0"/>
              <w:left w:val="single" w:color="auto" w:sz="4" w:space="0"/>
              <w:bottom w:val="single" w:color="auto" w:sz="4" w:space="0"/>
              <w:right w:val="single" w:color="000000" w:sz="4" w:space="0"/>
            </w:tcBorders>
          </w:tcPr>
          <w:p w14:paraId="491C0CDF">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3.944</w:t>
            </w:r>
          </w:p>
        </w:tc>
        <w:tc>
          <w:tcPr>
            <w:tcW w:w="1848" w:type="dxa"/>
            <w:tcBorders>
              <w:top w:val="single" w:color="auto" w:sz="4" w:space="0"/>
              <w:bottom w:val="single" w:color="auto" w:sz="4" w:space="0"/>
              <w:right w:val="single" w:color="000000" w:sz="4" w:space="0"/>
            </w:tcBorders>
          </w:tcPr>
          <w:p w14:paraId="5426A42F">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2.5</w:t>
            </w:r>
          </w:p>
        </w:tc>
      </w:tr>
      <w:tr w14:paraId="507422F4">
        <w:tblPrEx>
          <w:tblCellMar>
            <w:top w:w="0" w:type="dxa"/>
            <w:left w:w="108" w:type="dxa"/>
            <w:bottom w:w="0" w:type="dxa"/>
            <w:right w:w="108" w:type="dxa"/>
          </w:tblCellMar>
        </w:tblPrEx>
        <w:trPr>
          <w:trHeight w:val="397" w:hRule="exact"/>
        </w:trPr>
        <w:tc>
          <w:tcPr>
            <w:tcW w:w="663" w:type="dxa"/>
            <w:tcBorders>
              <w:top w:val="single" w:color="auto" w:sz="4" w:space="0"/>
              <w:left w:val="single" w:color="auto" w:sz="4" w:space="0"/>
              <w:bottom w:val="single" w:color="auto" w:sz="4" w:space="0"/>
              <w:right w:val="single" w:color="auto" w:sz="4" w:space="0"/>
            </w:tcBorders>
            <w:vAlign w:val="center"/>
          </w:tcPr>
          <w:p w14:paraId="5CCBC23C">
            <w:pPr>
              <w:pStyle w:val="6"/>
              <w:numPr>
                <w:ilvl w:val="0"/>
                <w:numId w:val="0"/>
              </w:numPr>
              <w:tabs>
                <w:tab w:val="clear" w:pos="2040"/>
              </w:tabs>
              <w:jc w:val="center"/>
              <w:rPr>
                <w:rFonts w:hint="eastAsia" w:ascii="仿宋" w:hAnsi="仿宋" w:eastAsia="仿宋"/>
                <w:szCs w:val="21"/>
              </w:rPr>
            </w:pPr>
            <w:r>
              <w:rPr>
                <w:rFonts w:hint="eastAsia" w:ascii="仿宋" w:hAnsi="仿宋" w:eastAsia="仿宋"/>
                <w:szCs w:val="21"/>
              </w:rPr>
              <w:t>40</w:t>
            </w:r>
          </w:p>
        </w:tc>
        <w:tc>
          <w:tcPr>
            <w:tcW w:w="4174" w:type="dxa"/>
            <w:tcBorders>
              <w:top w:val="single" w:color="auto" w:sz="4" w:space="0"/>
              <w:left w:val="single" w:color="auto" w:sz="4" w:space="0"/>
              <w:bottom w:val="single" w:color="auto" w:sz="4" w:space="0"/>
              <w:right w:val="single" w:color="auto" w:sz="4" w:space="0"/>
            </w:tcBorders>
            <w:vAlign w:val="center"/>
          </w:tcPr>
          <w:p w14:paraId="0FE76BF0">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泉州师范学院附属小学石狮校区</w:t>
            </w:r>
          </w:p>
        </w:tc>
        <w:tc>
          <w:tcPr>
            <w:tcW w:w="1866" w:type="dxa"/>
            <w:tcBorders>
              <w:top w:val="single" w:color="auto" w:sz="4" w:space="0"/>
              <w:left w:val="single" w:color="auto" w:sz="4" w:space="0"/>
              <w:bottom w:val="single" w:color="auto" w:sz="4" w:space="0"/>
              <w:right w:val="single" w:color="000000" w:sz="4" w:space="0"/>
            </w:tcBorders>
          </w:tcPr>
          <w:p w14:paraId="3C249E7E">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3.944</w:t>
            </w:r>
          </w:p>
        </w:tc>
        <w:tc>
          <w:tcPr>
            <w:tcW w:w="1848" w:type="dxa"/>
            <w:tcBorders>
              <w:top w:val="single" w:color="auto" w:sz="4" w:space="0"/>
              <w:bottom w:val="single" w:color="auto" w:sz="4" w:space="0"/>
              <w:right w:val="single" w:color="000000" w:sz="4" w:space="0"/>
            </w:tcBorders>
          </w:tcPr>
          <w:p w14:paraId="63E12C7A">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2.5</w:t>
            </w:r>
          </w:p>
        </w:tc>
      </w:tr>
      <w:tr w14:paraId="2170B6FA">
        <w:tblPrEx>
          <w:tblCellMar>
            <w:top w:w="0" w:type="dxa"/>
            <w:left w:w="108" w:type="dxa"/>
            <w:bottom w:w="0" w:type="dxa"/>
            <w:right w:w="108" w:type="dxa"/>
          </w:tblCellMar>
        </w:tblPrEx>
        <w:trPr>
          <w:trHeight w:val="397" w:hRule="exact"/>
        </w:trPr>
        <w:tc>
          <w:tcPr>
            <w:tcW w:w="663" w:type="dxa"/>
            <w:tcBorders>
              <w:top w:val="single" w:color="auto" w:sz="4" w:space="0"/>
              <w:left w:val="single" w:color="auto" w:sz="4" w:space="0"/>
              <w:bottom w:val="single" w:color="auto" w:sz="4" w:space="0"/>
              <w:right w:val="single" w:color="auto" w:sz="4" w:space="0"/>
            </w:tcBorders>
            <w:vAlign w:val="center"/>
          </w:tcPr>
          <w:p w14:paraId="126DD44B">
            <w:pPr>
              <w:pStyle w:val="6"/>
              <w:numPr>
                <w:ilvl w:val="0"/>
                <w:numId w:val="0"/>
              </w:numPr>
              <w:tabs>
                <w:tab w:val="clear" w:pos="2040"/>
              </w:tabs>
              <w:jc w:val="center"/>
              <w:rPr>
                <w:rFonts w:hint="eastAsia" w:ascii="仿宋" w:hAnsi="仿宋" w:eastAsia="仿宋"/>
                <w:szCs w:val="21"/>
              </w:rPr>
            </w:pPr>
            <w:r>
              <w:rPr>
                <w:rFonts w:hint="eastAsia" w:ascii="仿宋" w:hAnsi="仿宋" w:eastAsia="仿宋"/>
                <w:szCs w:val="21"/>
              </w:rPr>
              <w:t>41</w:t>
            </w:r>
          </w:p>
        </w:tc>
        <w:tc>
          <w:tcPr>
            <w:tcW w:w="4174" w:type="dxa"/>
            <w:tcBorders>
              <w:top w:val="single" w:color="auto" w:sz="4" w:space="0"/>
              <w:left w:val="single" w:color="auto" w:sz="4" w:space="0"/>
              <w:bottom w:val="single" w:color="auto" w:sz="4" w:space="0"/>
              <w:right w:val="single" w:color="auto" w:sz="4" w:space="0"/>
            </w:tcBorders>
            <w:vAlign w:val="center"/>
          </w:tcPr>
          <w:p w14:paraId="1A75F912">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石狮市世茂实验小学</w:t>
            </w:r>
          </w:p>
        </w:tc>
        <w:tc>
          <w:tcPr>
            <w:tcW w:w="1866" w:type="dxa"/>
            <w:tcBorders>
              <w:top w:val="single" w:color="auto" w:sz="4" w:space="0"/>
              <w:left w:val="single" w:color="auto" w:sz="4" w:space="0"/>
              <w:bottom w:val="single" w:color="auto" w:sz="4" w:space="0"/>
              <w:right w:val="single" w:color="000000" w:sz="4" w:space="0"/>
            </w:tcBorders>
          </w:tcPr>
          <w:p w14:paraId="3AE0E761">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11.832</w:t>
            </w:r>
          </w:p>
        </w:tc>
        <w:tc>
          <w:tcPr>
            <w:tcW w:w="1848" w:type="dxa"/>
            <w:tcBorders>
              <w:top w:val="single" w:color="auto" w:sz="4" w:space="0"/>
              <w:bottom w:val="single" w:color="auto" w:sz="4" w:space="0"/>
              <w:right w:val="single" w:color="000000" w:sz="4" w:space="0"/>
            </w:tcBorders>
          </w:tcPr>
          <w:p w14:paraId="611944C9">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3.75</w:t>
            </w:r>
          </w:p>
        </w:tc>
      </w:tr>
      <w:tr w14:paraId="1912D50C">
        <w:tblPrEx>
          <w:tblCellMar>
            <w:top w:w="0" w:type="dxa"/>
            <w:left w:w="108" w:type="dxa"/>
            <w:bottom w:w="0" w:type="dxa"/>
            <w:right w:w="108" w:type="dxa"/>
          </w:tblCellMar>
        </w:tblPrEx>
        <w:trPr>
          <w:trHeight w:val="397" w:hRule="exact"/>
        </w:trPr>
        <w:tc>
          <w:tcPr>
            <w:tcW w:w="663" w:type="dxa"/>
            <w:tcBorders>
              <w:top w:val="single" w:color="auto" w:sz="4" w:space="0"/>
              <w:left w:val="single" w:color="auto" w:sz="4" w:space="0"/>
              <w:bottom w:val="single" w:color="auto" w:sz="4" w:space="0"/>
              <w:right w:val="single" w:color="auto" w:sz="4" w:space="0"/>
            </w:tcBorders>
            <w:vAlign w:val="center"/>
          </w:tcPr>
          <w:p w14:paraId="7C285422">
            <w:pPr>
              <w:pStyle w:val="6"/>
              <w:numPr>
                <w:ilvl w:val="0"/>
                <w:numId w:val="0"/>
              </w:numPr>
              <w:tabs>
                <w:tab w:val="clear" w:pos="2040"/>
              </w:tabs>
              <w:jc w:val="center"/>
              <w:rPr>
                <w:rFonts w:hint="eastAsia" w:ascii="仿宋" w:hAnsi="仿宋" w:eastAsia="仿宋"/>
                <w:szCs w:val="21"/>
              </w:rPr>
            </w:pPr>
            <w:r>
              <w:rPr>
                <w:rFonts w:hint="eastAsia" w:ascii="仿宋" w:hAnsi="仿宋" w:eastAsia="仿宋"/>
                <w:szCs w:val="21"/>
              </w:rPr>
              <w:t>42</w:t>
            </w:r>
          </w:p>
        </w:tc>
        <w:tc>
          <w:tcPr>
            <w:tcW w:w="4174" w:type="dxa"/>
            <w:tcBorders>
              <w:top w:val="single" w:color="auto" w:sz="4" w:space="0"/>
              <w:left w:val="single" w:color="auto" w:sz="4" w:space="0"/>
              <w:bottom w:val="single" w:color="auto" w:sz="4" w:space="0"/>
              <w:right w:val="single" w:color="auto" w:sz="4" w:space="0"/>
            </w:tcBorders>
            <w:vAlign w:val="center"/>
          </w:tcPr>
          <w:p w14:paraId="323088D9">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石狮市第七实验小学</w:t>
            </w:r>
          </w:p>
        </w:tc>
        <w:tc>
          <w:tcPr>
            <w:tcW w:w="1866" w:type="dxa"/>
            <w:tcBorders>
              <w:top w:val="single" w:color="auto" w:sz="4" w:space="0"/>
              <w:left w:val="single" w:color="auto" w:sz="4" w:space="0"/>
              <w:bottom w:val="single" w:color="auto" w:sz="4" w:space="0"/>
              <w:right w:val="single" w:color="000000" w:sz="4" w:space="0"/>
            </w:tcBorders>
          </w:tcPr>
          <w:p w14:paraId="0AFEC746">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11.832</w:t>
            </w:r>
          </w:p>
        </w:tc>
        <w:tc>
          <w:tcPr>
            <w:tcW w:w="1848" w:type="dxa"/>
            <w:tcBorders>
              <w:top w:val="single" w:color="auto" w:sz="4" w:space="0"/>
              <w:bottom w:val="single" w:color="auto" w:sz="4" w:space="0"/>
              <w:right w:val="single" w:color="000000" w:sz="4" w:space="0"/>
            </w:tcBorders>
          </w:tcPr>
          <w:p w14:paraId="6B2F851F">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3.75</w:t>
            </w:r>
          </w:p>
        </w:tc>
      </w:tr>
      <w:tr w14:paraId="24B64491">
        <w:tblPrEx>
          <w:tblCellMar>
            <w:top w:w="0" w:type="dxa"/>
            <w:left w:w="108" w:type="dxa"/>
            <w:bottom w:w="0" w:type="dxa"/>
            <w:right w:w="108" w:type="dxa"/>
          </w:tblCellMar>
        </w:tblPrEx>
        <w:trPr>
          <w:trHeight w:val="397" w:hRule="exact"/>
        </w:trPr>
        <w:tc>
          <w:tcPr>
            <w:tcW w:w="663" w:type="dxa"/>
            <w:tcBorders>
              <w:top w:val="single" w:color="auto" w:sz="4" w:space="0"/>
              <w:left w:val="single" w:color="auto" w:sz="4" w:space="0"/>
              <w:bottom w:val="single" w:color="auto" w:sz="4" w:space="0"/>
              <w:right w:val="single" w:color="auto" w:sz="4" w:space="0"/>
            </w:tcBorders>
            <w:vAlign w:val="center"/>
          </w:tcPr>
          <w:p w14:paraId="0283FEA9">
            <w:pPr>
              <w:pStyle w:val="6"/>
              <w:numPr>
                <w:ilvl w:val="0"/>
                <w:numId w:val="0"/>
              </w:numPr>
              <w:tabs>
                <w:tab w:val="clear" w:pos="2040"/>
              </w:tabs>
              <w:jc w:val="center"/>
              <w:rPr>
                <w:rFonts w:hint="eastAsia" w:ascii="仿宋" w:hAnsi="仿宋" w:eastAsia="仿宋"/>
                <w:szCs w:val="21"/>
              </w:rPr>
            </w:pPr>
            <w:r>
              <w:rPr>
                <w:rFonts w:hint="eastAsia" w:ascii="仿宋" w:hAnsi="仿宋" w:eastAsia="仿宋"/>
                <w:szCs w:val="21"/>
              </w:rPr>
              <w:t>43</w:t>
            </w:r>
          </w:p>
        </w:tc>
        <w:tc>
          <w:tcPr>
            <w:tcW w:w="4174" w:type="dxa"/>
            <w:tcBorders>
              <w:top w:val="single" w:color="auto" w:sz="4" w:space="0"/>
              <w:left w:val="single" w:color="auto" w:sz="4" w:space="0"/>
              <w:bottom w:val="single" w:color="auto" w:sz="4" w:space="0"/>
              <w:right w:val="single" w:color="auto" w:sz="4" w:space="0"/>
            </w:tcBorders>
            <w:vAlign w:val="center"/>
          </w:tcPr>
          <w:p w14:paraId="1CCD4FF2">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石狮市信义小学</w:t>
            </w:r>
          </w:p>
        </w:tc>
        <w:tc>
          <w:tcPr>
            <w:tcW w:w="1866" w:type="dxa"/>
            <w:tcBorders>
              <w:top w:val="single" w:color="auto" w:sz="4" w:space="0"/>
              <w:left w:val="single" w:color="auto" w:sz="4" w:space="0"/>
              <w:bottom w:val="single" w:color="auto" w:sz="4" w:space="0"/>
              <w:right w:val="single" w:color="000000" w:sz="4" w:space="0"/>
            </w:tcBorders>
          </w:tcPr>
          <w:p w14:paraId="0B80B363">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3.944</w:t>
            </w:r>
          </w:p>
        </w:tc>
        <w:tc>
          <w:tcPr>
            <w:tcW w:w="1848" w:type="dxa"/>
            <w:tcBorders>
              <w:top w:val="single" w:color="auto" w:sz="4" w:space="0"/>
              <w:bottom w:val="single" w:color="auto" w:sz="4" w:space="0"/>
              <w:right w:val="single" w:color="000000" w:sz="4" w:space="0"/>
            </w:tcBorders>
          </w:tcPr>
          <w:p w14:paraId="636E977B">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2.5</w:t>
            </w:r>
          </w:p>
        </w:tc>
      </w:tr>
      <w:tr w14:paraId="5BDB5594">
        <w:tblPrEx>
          <w:tblCellMar>
            <w:top w:w="0" w:type="dxa"/>
            <w:left w:w="108" w:type="dxa"/>
            <w:bottom w:w="0" w:type="dxa"/>
            <w:right w:w="108" w:type="dxa"/>
          </w:tblCellMar>
        </w:tblPrEx>
        <w:trPr>
          <w:trHeight w:val="397" w:hRule="exact"/>
        </w:trPr>
        <w:tc>
          <w:tcPr>
            <w:tcW w:w="663" w:type="dxa"/>
            <w:tcBorders>
              <w:top w:val="single" w:color="auto" w:sz="4" w:space="0"/>
              <w:left w:val="single" w:color="auto" w:sz="4" w:space="0"/>
              <w:bottom w:val="single" w:color="auto" w:sz="4" w:space="0"/>
              <w:right w:val="single" w:color="auto" w:sz="4" w:space="0"/>
            </w:tcBorders>
            <w:vAlign w:val="center"/>
          </w:tcPr>
          <w:p w14:paraId="7F714451">
            <w:pPr>
              <w:pStyle w:val="6"/>
              <w:numPr>
                <w:ilvl w:val="0"/>
                <w:numId w:val="0"/>
              </w:numPr>
              <w:tabs>
                <w:tab w:val="clear" w:pos="2040"/>
              </w:tabs>
              <w:jc w:val="center"/>
              <w:rPr>
                <w:rFonts w:hint="eastAsia" w:ascii="仿宋" w:hAnsi="仿宋" w:eastAsia="仿宋"/>
                <w:szCs w:val="21"/>
              </w:rPr>
            </w:pPr>
            <w:r>
              <w:rPr>
                <w:rFonts w:hint="eastAsia" w:ascii="仿宋" w:hAnsi="仿宋" w:eastAsia="仿宋"/>
                <w:szCs w:val="21"/>
              </w:rPr>
              <w:t>44</w:t>
            </w:r>
          </w:p>
        </w:tc>
        <w:tc>
          <w:tcPr>
            <w:tcW w:w="4174" w:type="dxa"/>
            <w:tcBorders>
              <w:top w:val="single" w:color="auto" w:sz="4" w:space="0"/>
              <w:left w:val="single" w:color="auto" w:sz="4" w:space="0"/>
              <w:bottom w:val="single" w:color="auto" w:sz="4" w:space="0"/>
              <w:right w:val="single" w:color="auto" w:sz="4" w:space="0"/>
            </w:tcBorders>
            <w:vAlign w:val="center"/>
          </w:tcPr>
          <w:p w14:paraId="3756C8DE">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第二实验小学</w:t>
            </w:r>
          </w:p>
        </w:tc>
        <w:tc>
          <w:tcPr>
            <w:tcW w:w="1866" w:type="dxa"/>
            <w:tcBorders>
              <w:top w:val="single" w:color="auto" w:sz="4" w:space="0"/>
              <w:left w:val="single" w:color="auto" w:sz="4" w:space="0"/>
              <w:bottom w:val="single" w:color="000000" w:sz="4" w:space="0"/>
              <w:right w:val="single" w:color="000000" w:sz="4" w:space="0"/>
            </w:tcBorders>
          </w:tcPr>
          <w:p w14:paraId="1764C6CA">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11.832</w:t>
            </w:r>
          </w:p>
        </w:tc>
        <w:tc>
          <w:tcPr>
            <w:tcW w:w="1848" w:type="dxa"/>
            <w:tcBorders>
              <w:top w:val="single" w:color="auto" w:sz="4" w:space="0"/>
              <w:bottom w:val="single" w:color="000000" w:sz="4" w:space="0"/>
              <w:right w:val="single" w:color="000000" w:sz="4" w:space="0"/>
            </w:tcBorders>
          </w:tcPr>
          <w:p w14:paraId="102AFA91">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0</w:t>
            </w:r>
          </w:p>
        </w:tc>
      </w:tr>
      <w:tr w14:paraId="4E33BC5A">
        <w:tblPrEx>
          <w:tblCellMar>
            <w:top w:w="0" w:type="dxa"/>
            <w:left w:w="108" w:type="dxa"/>
            <w:bottom w:w="0" w:type="dxa"/>
            <w:right w:w="108" w:type="dxa"/>
          </w:tblCellMar>
        </w:tblPrEx>
        <w:trPr>
          <w:trHeight w:val="397" w:hRule="exact"/>
        </w:trPr>
        <w:tc>
          <w:tcPr>
            <w:tcW w:w="663" w:type="dxa"/>
            <w:tcBorders>
              <w:top w:val="single" w:color="auto" w:sz="4" w:space="0"/>
              <w:left w:val="single" w:color="000000" w:sz="4" w:space="0"/>
              <w:bottom w:val="single" w:color="000000" w:sz="4" w:space="0"/>
              <w:right w:val="single" w:color="000000" w:sz="4" w:space="0"/>
            </w:tcBorders>
            <w:vAlign w:val="center"/>
          </w:tcPr>
          <w:p w14:paraId="086F04DB">
            <w:pPr>
              <w:pStyle w:val="6"/>
              <w:numPr>
                <w:ilvl w:val="0"/>
                <w:numId w:val="0"/>
              </w:numPr>
              <w:tabs>
                <w:tab w:val="clear" w:pos="2040"/>
              </w:tabs>
              <w:jc w:val="center"/>
              <w:rPr>
                <w:rFonts w:hint="eastAsia" w:ascii="仿宋" w:hAnsi="仿宋" w:eastAsia="仿宋"/>
                <w:szCs w:val="21"/>
              </w:rPr>
            </w:pPr>
            <w:r>
              <w:rPr>
                <w:rFonts w:hint="eastAsia" w:ascii="仿宋" w:hAnsi="仿宋" w:eastAsia="仿宋"/>
                <w:szCs w:val="21"/>
              </w:rPr>
              <w:t>45</w:t>
            </w:r>
          </w:p>
        </w:tc>
        <w:tc>
          <w:tcPr>
            <w:tcW w:w="4174" w:type="dxa"/>
            <w:tcBorders>
              <w:top w:val="single" w:color="auto" w:sz="4" w:space="0"/>
              <w:bottom w:val="single" w:color="000000" w:sz="4" w:space="0"/>
              <w:right w:val="single" w:color="000000" w:sz="4" w:space="0"/>
            </w:tcBorders>
            <w:vAlign w:val="center"/>
          </w:tcPr>
          <w:p w14:paraId="261A033A">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第三实验小学</w:t>
            </w:r>
          </w:p>
        </w:tc>
        <w:tc>
          <w:tcPr>
            <w:tcW w:w="1866" w:type="dxa"/>
            <w:tcBorders>
              <w:top w:val="single" w:color="auto" w:sz="4" w:space="0"/>
              <w:bottom w:val="single" w:color="000000" w:sz="4" w:space="0"/>
              <w:right w:val="single" w:color="000000" w:sz="4" w:space="0"/>
            </w:tcBorders>
          </w:tcPr>
          <w:p w14:paraId="4EFA8E5A">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3.944</w:t>
            </w:r>
          </w:p>
        </w:tc>
        <w:tc>
          <w:tcPr>
            <w:tcW w:w="1848" w:type="dxa"/>
            <w:tcBorders>
              <w:top w:val="single" w:color="auto" w:sz="4" w:space="0"/>
              <w:bottom w:val="single" w:color="000000" w:sz="4" w:space="0"/>
              <w:right w:val="single" w:color="000000" w:sz="4" w:space="0"/>
            </w:tcBorders>
          </w:tcPr>
          <w:p w14:paraId="7D33FB11">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0</w:t>
            </w:r>
          </w:p>
        </w:tc>
      </w:tr>
      <w:tr w14:paraId="6AFB0F96">
        <w:tblPrEx>
          <w:tblCellMar>
            <w:top w:w="0" w:type="dxa"/>
            <w:left w:w="108" w:type="dxa"/>
            <w:bottom w:w="0" w:type="dxa"/>
            <w:right w:w="108" w:type="dxa"/>
          </w:tblCellMar>
        </w:tblPrEx>
        <w:trPr>
          <w:trHeight w:val="397" w:hRule="exact"/>
        </w:trPr>
        <w:tc>
          <w:tcPr>
            <w:tcW w:w="663" w:type="dxa"/>
            <w:tcBorders>
              <w:left w:val="single" w:color="000000" w:sz="4" w:space="0"/>
              <w:bottom w:val="single" w:color="000000" w:sz="4" w:space="0"/>
              <w:right w:val="single" w:color="000000" w:sz="4" w:space="0"/>
            </w:tcBorders>
            <w:vAlign w:val="center"/>
          </w:tcPr>
          <w:p w14:paraId="31CDA83B">
            <w:pPr>
              <w:pStyle w:val="6"/>
              <w:numPr>
                <w:ilvl w:val="0"/>
                <w:numId w:val="0"/>
              </w:numPr>
              <w:tabs>
                <w:tab w:val="clear" w:pos="2040"/>
              </w:tabs>
              <w:jc w:val="center"/>
              <w:rPr>
                <w:rFonts w:hint="eastAsia" w:ascii="仿宋" w:hAnsi="仿宋" w:eastAsia="仿宋"/>
                <w:szCs w:val="21"/>
              </w:rPr>
            </w:pPr>
            <w:r>
              <w:rPr>
                <w:rFonts w:hint="eastAsia" w:ascii="仿宋" w:hAnsi="仿宋" w:eastAsia="仿宋"/>
                <w:szCs w:val="21"/>
              </w:rPr>
              <w:t>46</w:t>
            </w:r>
          </w:p>
        </w:tc>
        <w:tc>
          <w:tcPr>
            <w:tcW w:w="4174" w:type="dxa"/>
            <w:tcBorders>
              <w:bottom w:val="single" w:color="000000" w:sz="4" w:space="0"/>
              <w:right w:val="single" w:color="000000" w:sz="4" w:space="0"/>
            </w:tcBorders>
            <w:vAlign w:val="center"/>
          </w:tcPr>
          <w:p w14:paraId="39BBA99D">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锦亭小学</w:t>
            </w:r>
          </w:p>
        </w:tc>
        <w:tc>
          <w:tcPr>
            <w:tcW w:w="1866" w:type="dxa"/>
            <w:tcBorders>
              <w:top w:val="single" w:color="auto" w:sz="4" w:space="0"/>
              <w:bottom w:val="single" w:color="000000" w:sz="4" w:space="0"/>
              <w:right w:val="single" w:color="000000" w:sz="4" w:space="0"/>
            </w:tcBorders>
          </w:tcPr>
          <w:p w14:paraId="6F66BF21">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1.972</w:t>
            </w:r>
          </w:p>
        </w:tc>
        <w:tc>
          <w:tcPr>
            <w:tcW w:w="1848" w:type="dxa"/>
            <w:tcBorders>
              <w:top w:val="single" w:color="auto" w:sz="4" w:space="0"/>
              <w:bottom w:val="single" w:color="000000" w:sz="4" w:space="0"/>
              <w:right w:val="single" w:color="000000" w:sz="4" w:space="0"/>
            </w:tcBorders>
          </w:tcPr>
          <w:p w14:paraId="53BF3FAF">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0</w:t>
            </w:r>
          </w:p>
        </w:tc>
      </w:tr>
      <w:tr w14:paraId="27845E1C">
        <w:tblPrEx>
          <w:tblCellMar>
            <w:top w:w="0" w:type="dxa"/>
            <w:left w:w="108" w:type="dxa"/>
            <w:bottom w:w="0" w:type="dxa"/>
            <w:right w:w="108" w:type="dxa"/>
          </w:tblCellMar>
        </w:tblPrEx>
        <w:trPr>
          <w:trHeight w:val="397" w:hRule="exact"/>
        </w:trPr>
        <w:tc>
          <w:tcPr>
            <w:tcW w:w="663" w:type="dxa"/>
            <w:tcBorders>
              <w:left w:val="single" w:color="000000" w:sz="4" w:space="0"/>
              <w:bottom w:val="single" w:color="auto" w:sz="4" w:space="0"/>
              <w:right w:val="single" w:color="000000" w:sz="4" w:space="0"/>
            </w:tcBorders>
            <w:vAlign w:val="center"/>
          </w:tcPr>
          <w:p w14:paraId="3C91E6BA">
            <w:pPr>
              <w:pStyle w:val="6"/>
              <w:numPr>
                <w:ilvl w:val="0"/>
                <w:numId w:val="0"/>
              </w:numPr>
              <w:tabs>
                <w:tab w:val="clear" w:pos="2040"/>
              </w:tabs>
              <w:jc w:val="center"/>
              <w:rPr>
                <w:rFonts w:hint="eastAsia" w:ascii="仿宋" w:hAnsi="仿宋" w:eastAsia="仿宋"/>
                <w:szCs w:val="21"/>
              </w:rPr>
            </w:pPr>
            <w:r>
              <w:rPr>
                <w:rFonts w:hint="eastAsia" w:ascii="仿宋" w:hAnsi="仿宋" w:eastAsia="仿宋"/>
                <w:szCs w:val="21"/>
              </w:rPr>
              <w:t>47</w:t>
            </w:r>
          </w:p>
        </w:tc>
        <w:tc>
          <w:tcPr>
            <w:tcW w:w="4174" w:type="dxa"/>
            <w:tcBorders>
              <w:bottom w:val="single" w:color="auto" w:sz="4" w:space="0"/>
              <w:right w:val="single" w:color="000000" w:sz="4" w:space="0"/>
            </w:tcBorders>
            <w:vAlign w:val="center"/>
          </w:tcPr>
          <w:p w14:paraId="444D4383">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三中附小</w:t>
            </w:r>
          </w:p>
        </w:tc>
        <w:tc>
          <w:tcPr>
            <w:tcW w:w="1866" w:type="dxa"/>
            <w:tcBorders>
              <w:top w:val="single" w:color="auto" w:sz="4" w:space="0"/>
              <w:bottom w:val="single" w:color="auto" w:sz="4" w:space="0"/>
              <w:right w:val="single" w:color="000000" w:sz="4" w:space="0"/>
            </w:tcBorders>
          </w:tcPr>
          <w:p w14:paraId="6323DF8A">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3.944</w:t>
            </w:r>
          </w:p>
        </w:tc>
        <w:tc>
          <w:tcPr>
            <w:tcW w:w="1848" w:type="dxa"/>
            <w:tcBorders>
              <w:top w:val="single" w:color="auto" w:sz="4" w:space="0"/>
              <w:bottom w:val="single" w:color="auto" w:sz="4" w:space="0"/>
              <w:right w:val="single" w:color="000000" w:sz="4" w:space="0"/>
            </w:tcBorders>
          </w:tcPr>
          <w:p w14:paraId="7243A0FF">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0</w:t>
            </w:r>
          </w:p>
        </w:tc>
      </w:tr>
      <w:tr w14:paraId="2E8797F9">
        <w:tblPrEx>
          <w:tblCellMar>
            <w:top w:w="0" w:type="dxa"/>
            <w:left w:w="108" w:type="dxa"/>
            <w:bottom w:w="0" w:type="dxa"/>
            <w:right w:w="108" w:type="dxa"/>
          </w:tblCellMar>
        </w:tblPrEx>
        <w:trPr>
          <w:trHeight w:val="397" w:hRule="exact"/>
        </w:trPr>
        <w:tc>
          <w:tcPr>
            <w:tcW w:w="663" w:type="dxa"/>
            <w:tcBorders>
              <w:top w:val="single" w:color="auto" w:sz="4" w:space="0"/>
              <w:left w:val="single" w:color="auto" w:sz="4" w:space="0"/>
              <w:bottom w:val="single" w:color="auto" w:sz="4" w:space="0"/>
              <w:right w:val="single" w:color="auto" w:sz="4" w:space="0"/>
            </w:tcBorders>
            <w:vAlign w:val="center"/>
          </w:tcPr>
          <w:p w14:paraId="1C1B1B3C">
            <w:pPr>
              <w:pStyle w:val="6"/>
              <w:numPr>
                <w:ilvl w:val="0"/>
                <w:numId w:val="0"/>
              </w:numPr>
              <w:tabs>
                <w:tab w:val="clear" w:pos="2040"/>
              </w:tabs>
              <w:jc w:val="center"/>
              <w:rPr>
                <w:rFonts w:hint="eastAsia" w:ascii="仿宋" w:hAnsi="仿宋" w:eastAsia="仿宋"/>
                <w:szCs w:val="21"/>
              </w:rPr>
            </w:pPr>
            <w:r>
              <w:rPr>
                <w:rFonts w:hint="eastAsia" w:ascii="仿宋" w:hAnsi="仿宋" w:eastAsia="仿宋"/>
                <w:szCs w:val="21"/>
              </w:rPr>
              <w:t>48</w:t>
            </w:r>
          </w:p>
        </w:tc>
        <w:tc>
          <w:tcPr>
            <w:tcW w:w="4174" w:type="dxa"/>
            <w:tcBorders>
              <w:top w:val="single" w:color="auto" w:sz="4" w:space="0"/>
              <w:left w:val="single" w:color="auto" w:sz="4" w:space="0"/>
              <w:bottom w:val="single" w:color="auto" w:sz="4" w:space="0"/>
              <w:right w:val="single" w:color="auto" w:sz="4" w:space="0"/>
            </w:tcBorders>
            <w:vAlign w:val="center"/>
          </w:tcPr>
          <w:p w14:paraId="56F09613">
            <w:pPr>
              <w:pStyle w:val="6"/>
              <w:numPr>
                <w:ilvl w:val="0"/>
                <w:numId w:val="0"/>
              </w:numPr>
              <w:tabs>
                <w:tab w:val="clear" w:pos="2040"/>
              </w:tabs>
              <w:jc w:val="center"/>
              <w:rPr>
                <w:rFonts w:hint="eastAsia" w:ascii="仿宋" w:hAnsi="仿宋" w:eastAsia="仿宋" w:cs="仿宋"/>
                <w:szCs w:val="21"/>
              </w:rPr>
            </w:pPr>
            <w:r>
              <w:rPr>
                <w:rFonts w:hint="eastAsia" w:ascii="仿宋" w:hAnsi="仿宋" w:eastAsia="仿宋"/>
                <w:szCs w:val="21"/>
              </w:rPr>
              <w:t>龟湖中心小学</w:t>
            </w:r>
          </w:p>
        </w:tc>
        <w:tc>
          <w:tcPr>
            <w:tcW w:w="1866" w:type="dxa"/>
            <w:tcBorders>
              <w:top w:val="single" w:color="auto" w:sz="4" w:space="0"/>
              <w:left w:val="single" w:color="auto" w:sz="4" w:space="0"/>
              <w:bottom w:val="single" w:color="auto" w:sz="4" w:space="0"/>
              <w:right w:val="single" w:color="auto" w:sz="4" w:space="0"/>
            </w:tcBorders>
          </w:tcPr>
          <w:p w14:paraId="66BA4977">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1.972</w:t>
            </w:r>
          </w:p>
        </w:tc>
        <w:tc>
          <w:tcPr>
            <w:tcW w:w="1848" w:type="dxa"/>
            <w:tcBorders>
              <w:top w:val="single" w:color="auto" w:sz="4" w:space="0"/>
              <w:left w:val="single" w:color="auto" w:sz="4" w:space="0"/>
              <w:bottom w:val="single" w:color="auto" w:sz="4" w:space="0"/>
              <w:right w:val="single" w:color="auto" w:sz="4" w:space="0"/>
            </w:tcBorders>
          </w:tcPr>
          <w:p w14:paraId="13A15005">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0</w:t>
            </w:r>
          </w:p>
        </w:tc>
      </w:tr>
      <w:tr w14:paraId="4B75B79E">
        <w:tblPrEx>
          <w:tblCellMar>
            <w:top w:w="0" w:type="dxa"/>
            <w:left w:w="108" w:type="dxa"/>
            <w:bottom w:w="0" w:type="dxa"/>
            <w:right w:w="108" w:type="dxa"/>
          </w:tblCellMar>
        </w:tblPrEx>
        <w:trPr>
          <w:trHeight w:val="397" w:hRule="exact"/>
        </w:trPr>
        <w:tc>
          <w:tcPr>
            <w:tcW w:w="663" w:type="dxa"/>
            <w:tcBorders>
              <w:top w:val="single" w:color="auto" w:sz="4" w:space="0"/>
              <w:left w:val="single" w:color="auto" w:sz="4" w:space="0"/>
              <w:bottom w:val="single" w:color="auto" w:sz="4" w:space="0"/>
              <w:right w:val="single" w:color="auto" w:sz="4" w:space="0"/>
            </w:tcBorders>
            <w:vAlign w:val="center"/>
          </w:tcPr>
          <w:p w14:paraId="22DE023A">
            <w:pPr>
              <w:pStyle w:val="6"/>
              <w:numPr>
                <w:ilvl w:val="0"/>
                <w:numId w:val="0"/>
              </w:numPr>
              <w:tabs>
                <w:tab w:val="clear" w:pos="2040"/>
              </w:tabs>
              <w:jc w:val="center"/>
              <w:rPr>
                <w:rFonts w:hint="eastAsia" w:ascii="仿宋" w:hAnsi="仿宋" w:eastAsia="仿宋"/>
                <w:szCs w:val="21"/>
              </w:rPr>
            </w:pPr>
            <w:r>
              <w:rPr>
                <w:rFonts w:hint="eastAsia" w:ascii="仿宋" w:hAnsi="仿宋" w:eastAsia="仿宋"/>
                <w:szCs w:val="21"/>
              </w:rPr>
              <w:t>合计</w:t>
            </w:r>
          </w:p>
        </w:tc>
        <w:tc>
          <w:tcPr>
            <w:tcW w:w="4174" w:type="dxa"/>
            <w:tcBorders>
              <w:top w:val="single" w:color="auto" w:sz="4" w:space="0"/>
              <w:left w:val="single" w:color="auto" w:sz="4" w:space="0"/>
              <w:bottom w:val="single" w:color="auto" w:sz="4" w:space="0"/>
              <w:right w:val="single" w:color="auto" w:sz="4" w:space="0"/>
            </w:tcBorders>
            <w:vAlign w:val="center"/>
          </w:tcPr>
          <w:p w14:paraId="3A082B96">
            <w:pPr>
              <w:pStyle w:val="6"/>
              <w:numPr>
                <w:ilvl w:val="0"/>
                <w:numId w:val="0"/>
              </w:numPr>
              <w:tabs>
                <w:tab w:val="clear" w:pos="2040"/>
              </w:tabs>
              <w:jc w:val="center"/>
              <w:rPr>
                <w:rFonts w:hint="eastAsia" w:ascii="仿宋" w:hAnsi="仿宋" w:eastAsia="仿宋"/>
                <w:szCs w:val="21"/>
              </w:rPr>
            </w:pPr>
          </w:p>
        </w:tc>
        <w:tc>
          <w:tcPr>
            <w:tcW w:w="1866" w:type="dxa"/>
            <w:tcBorders>
              <w:top w:val="single" w:color="auto" w:sz="4" w:space="0"/>
              <w:left w:val="single" w:color="auto" w:sz="4" w:space="0"/>
              <w:bottom w:val="single" w:color="auto" w:sz="4" w:space="0"/>
              <w:right w:val="single" w:color="auto" w:sz="4" w:space="0"/>
            </w:tcBorders>
          </w:tcPr>
          <w:p w14:paraId="667CDC07">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469.336</w:t>
            </w:r>
            <w:r>
              <w:rPr>
                <w:rFonts w:hint="eastAsia" w:ascii="仿宋" w:hAnsi="仿宋" w:eastAsia="仿宋"/>
                <w:szCs w:val="21"/>
              </w:rPr>
              <w:t>0</w:t>
            </w:r>
          </w:p>
        </w:tc>
        <w:tc>
          <w:tcPr>
            <w:tcW w:w="1848" w:type="dxa"/>
            <w:tcBorders>
              <w:top w:val="single" w:color="auto" w:sz="4" w:space="0"/>
              <w:left w:val="single" w:color="auto" w:sz="4" w:space="0"/>
              <w:bottom w:val="single" w:color="auto" w:sz="4" w:space="0"/>
              <w:right w:val="single" w:color="auto" w:sz="4" w:space="0"/>
            </w:tcBorders>
          </w:tcPr>
          <w:p w14:paraId="5F11DDC5">
            <w:pPr>
              <w:pStyle w:val="6"/>
              <w:numPr>
                <w:ilvl w:val="0"/>
                <w:numId w:val="0"/>
              </w:numPr>
              <w:tabs>
                <w:tab w:val="clear" w:pos="2040"/>
              </w:tabs>
              <w:jc w:val="center"/>
              <w:rPr>
                <w:rFonts w:hint="eastAsia" w:ascii="仿宋" w:hAnsi="仿宋" w:eastAsia="仿宋"/>
                <w:szCs w:val="21"/>
              </w:rPr>
            </w:pPr>
            <w:r>
              <w:rPr>
                <w:rFonts w:ascii="仿宋" w:hAnsi="仿宋" w:eastAsia="仿宋"/>
                <w:szCs w:val="21"/>
              </w:rPr>
              <w:t>85</w:t>
            </w:r>
          </w:p>
        </w:tc>
      </w:tr>
    </w:tbl>
    <w:p w14:paraId="7E11F532">
      <w:pPr>
        <w:spacing w:line="360" w:lineRule="auto"/>
        <w:ind w:firstLine="482" w:firstLineChars="200"/>
        <w:outlineLvl w:val="1"/>
        <w:rPr>
          <w:rFonts w:ascii="仿宋_GB2312" w:hAnsi="Times New Roman" w:eastAsia="仿宋_GB2312" w:cs="Times New Roman"/>
          <w:b/>
          <w:bCs/>
          <w:sz w:val="24"/>
        </w:rPr>
      </w:pPr>
      <w:bookmarkStart w:id="11" w:name="_Toc184981060"/>
      <w:bookmarkStart w:id="12" w:name="_Toc205940232"/>
      <w:bookmarkStart w:id="13" w:name="_Toc1739"/>
      <w:bookmarkStart w:id="14" w:name="_Toc184981298"/>
      <w:r>
        <w:rPr>
          <w:rFonts w:hint="eastAsia" w:ascii="仿宋_GB2312" w:hAnsi="Times New Roman" w:eastAsia="仿宋_GB2312" w:cs="Times New Roman"/>
          <w:b/>
          <w:bCs/>
          <w:sz w:val="24"/>
        </w:rPr>
        <w:t>（二）项目绩效目标</w:t>
      </w:r>
      <w:bookmarkEnd w:id="11"/>
      <w:bookmarkEnd w:id="12"/>
      <w:bookmarkEnd w:id="13"/>
      <w:bookmarkEnd w:id="14"/>
    </w:p>
    <w:p w14:paraId="11F88656">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rPr>
        <w:t>2024年石狮市中小学班级多媒体教学设备全覆盖工程项目具体绩效目标如下</w:t>
      </w:r>
      <w:r>
        <w:rPr>
          <w:rFonts w:ascii="仿宋_GB2312" w:hAnsi="Times New Roman" w:eastAsia="仿宋_GB2312" w:cs="Times New Roman"/>
          <w:sz w:val="24"/>
        </w:rPr>
        <w:t>：</w:t>
      </w:r>
    </w:p>
    <w:p w14:paraId="06465ECC">
      <w:pPr>
        <w:spacing w:line="360" w:lineRule="auto"/>
        <w:ind w:firstLine="480" w:firstLineChars="200"/>
        <w:rPr>
          <w:rFonts w:ascii="仿宋_GB2312" w:hAnsi="Times New Roman" w:eastAsia="仿宋_GB2312" w:cs="Times New Roman"/>
          <w:sz w:val="24"/>
          <w:lang w:val="zh-CN"/>
        </w:rPr>
      </w:pPr>
      <w:r>
        <w:rPr>
          <w:rFonts w:ascii="仿宋_GB2312" w:hAnsi="Times New Roman" w:eastAsia="仿宋_GB2312" w:cs="Times New Roman"/>
          <w:sz w:val="24"/>
        </w:rPr>
        <w:t>提高办学条件，逐步提高教学质量</w:t>
      </w:r>
      <w:r>
        <w:rPr>
          <w:rFonts w:hint="eastAsia" w:ascii="仿宋_GB2312" w:hAnsi="Times New Roman" w:eastAsia="仿宋_GB2312" w:cs="Times New Roman"/>
          <w:sz w:val="24"/>
          <w:lang w:val="zh-CN"/>
        </w:rPr>
        <w:t>。</w:t>
      </w:r>
      <w:r>
        <w:rPr>
          <w:rFonts w:ascii="仿宋_GB2312" w:hAnsi="Times New Roman" w:eastAsia="仿宋_GB2312" w:cs="Times New Roman"/>
          <w:sz w:val="24"/>
        </w:rPr>
        <w:t>确保全市中小学多媒体教学设备配置达到</w:t>
      </w:r>
      <w:r>
        <w:rPr>
          <w:rFonts w:hint="eastAsia" w:ascii="仿宋_GB2312" w:hAnsi="Times New Roman" w:eastAsia="仿宋_GB2312" w:cs="Times New Roman"/>
          <w:sz w:val="24"/>
        </w:rPr>
        <w:t>2022年1月省教育厅印发的《福建省小学教育技术装备标准》以及《福建省初中教育技术装备标准》（闽教规〔2022〕2号）中关于多媒体普通教室设备配置的要求</w:t>
      </w:r>
      <w:r>
        <w:rPr>
          <w:rFonts w:ascii="仿宋_GB2312" w:hAnsi="Times New Roman" w:eastAsia="仿宋_GB2312" w:cs="Times New Roman"/>
          <w:sz w:val="24"/>
        </w:rPr>
        <w:t>，通过为全市中小学班级配备多媒体教学设备，改善教学硬件设施，为教师教学和学生学习创造良好条件，促进教学质量的稳步提升。</w:t>
      </w:r>
    </w:p>
    <w:p w14:paraId="54AF6B82">
      <w:pPr>
        <w:spacing w:line="360" w:lineRule="auto"/>
        <w:ind w:firstLine="480" w:firstLineChars="200"/>
        <w:rPr>
          <w:rFonts w:ascii="仿宋_GB2312" w:hAnsi="Times New Roman" w:eastAsia="仿宋_GB2312" w:cs="Times New Roman"/>
          <w:sz w:val="24"/>
        </w:rPr>
      </w:pPr>
      <w:r>
        <w:rPr>
          <w:rFonts w:ascii="仿宋_GB2312" w:hAnsi="Times New Roman" w:eastAsia="仿宋_GB2312" w:cs="Times New Roman"/>
          <w:sz w:val="24"/>
        </w:rPr>
        <w:t>提升教学和效率，为师生提供优质的教学环境</w:t>
      </w:r>
      <w:r>
        <w:rPr>
          <w:rFonts w:hint="eastAsia" w:ascii="仿宋_GB2312" w:hAnsi="Times New Roman" w:eastAsia="仿宋_GB2312" w:cs="Times New Roman"/>
          <w:sz w:val="24"/>
          <w:lang w:val="zh-CN"/>
        </w:rPr>
        <w:t>。通过</w:t>
      </w:r>
      <w:r>
        <w:rPr>
          <w:rFonts w:ascii="仿宋_GB2312" w:hAnsi="Times New Roman" w:eastAsia="仿宋_GB2312" w:cs="Times New Roman"/>
          <w:sz w:val="24"/>
        </w:rPr>
        <w:t>借助现代化教学设备的应用，提高课堂教学效果和效率，营造优质的教学环境，让师生享受到更好的教学体验。</w:t>
      </w:r>
    </w:p>
    <w:p w14:paraId="68BC4B4B">
      <w:pPr>
        <w:spacing w:line="360" w:lineRule="auto"/>
        <w:ind w:firstLine="480" w:firstLineChars="200"/>
        <w:rPr>
          <w:rFonts w:ascii="仿宋_GB2312" w:hAnsi="Times New Roman" w:eastAsia="仿宋_GB2312" w:cs="Times New Roman"/>
          <w:sz w:val="24"/>
          <w:lang w:val="zh-CN"/>
        </w:rPr>
      </w:pPr>
    </w:p>
    <w:p w14:paraId="1AA159C2">
      <w:pPr>
        <w:spacing w:line="360" w:lineRule="auto"/>
        <w:ind w:firstLine="562" w:firstLineChars="200"/>
        <w:outlineLvl w:val="0"/>
        <w:rPr>
          <w:rFonts w:hint="eastAsia" w:ascii="仿宋" w:hAnsi="仿宋" w:eastAsia="仿宋" w:cs="仿宋"/>
          <w:b/>
          <w:bCs/>
          <w:sz w:val="28"/>
          <w:szCs w:val="28"/>
        </w:rPr>
      </w:pPr>
      <w:bookmarkStart w:id="15" w:name="_Toc28086"/>
      <w:bookmarkStart w:id="16" w:name="_Toc205940233"/>
      <w:bookmarkStart w:id="17" w:name="_Toc184981299"/>
      <w:bookmarkStart w:id="18" w:name="_Toc184981061"/>
      <w:r>
        <w:rPr>
          <w:rFonts w:hint="eastAsia" w:ascii="仿宋" w:hAnsi="仿宋" w:eastAsia="仿宋" w:cs="仿宋"/>
          <w:b/>
          <w:bCs/>
          <w:sz w:val="28"/>
          <w:szCs w:val="28"/>
        </w:rPr>
        <w:t>二、绩效评价工作开展情况</w:t>
      </w:r>
      <w:bookmarkEnd w:id="15"/>
      <w:bookmarkEnd w:id="16"/>
      <w:bookmarkEnd w:id="17"/>
      <w:bookmarkEnd w:id="18"/>
    </w:p>
    <w:p w14:paraId="3AFD3554">
      <w:pPr>
        <w:spacing w:line="360" w:lineRule="auto"/>
        <w:ind w:firstLine="482" w:firstLineChars="200"/>
        <w:outlineLvl w:val="1"/>
        <w:rPr>
          <w:rFonts w:hint="eastAsia" w:ascii="仿宋" w:hAnsi="仿宋" w:eastAsia="仿宋" w:cs="Times New Roman"/>
          <w:b/>
          <w:bCs/>
          <w:sz w:val="24"/>
        </w:rPr>
      </w:pPr>
      <w:bookmarkStart w:id="19" w:name="_Toc205940234"/>
      <w:bookmarkStart w:id="20" w:name="_Toc184981062"/>
      <w:bookmarkStart w:id="21" w:name="_Toc27429"/>
      <w:bookmarkStart w:id="22" w:name="_Toc184981300"/>
      <w:r>
        <w:rPr>
          <w:rFonts w:hint="eastAsia" w:ascii="仿宋" w:hAnsi="仿宋" w:eastAsia="仿宋" w:cs="Times New Roman"/>
          <w:b/>
          <w:bCs/>
          <w:sz w:val="24"/>
        </w:rPr>
        <w:t>（一）绩效评价目的、对象和范围</w:t>
      </w:r>
      <w:bookmarkEnd w:id="19"/>
      <w:bookmarkEnd w:id="20"/>
      <w:bookmarkEnd w:id="21"/>
      <w:bookmarkEnd w:id="22"/>
    </w:p>
    <w:p w14:paraId="1EF3A6CB">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1.绩效评价目的</w:t>
      </w:r>
    </w:p>
    <w:p w14:paraId="045273F8">
      <w:pPr>
        <w:spacing w:line="360" w:lineRule="auto"/>
        <w:ind w:firstLine="480" w:firstLineChars="200"/>
        <w:rPr>
          <w:rFonts w:hint="eastAsia" w:ascii="仿宋" w:hAnsi="仿宋" w:eastAsia="仿宋" w:cs="Times New Roman"/>
          <w:sz w:val="24"/>
          <w:lang w:val="zh-CN"/>
        </w:rPr>
      </w:pPr>
      <w:r>
        <w:rPr>
          <w:rFonts w:hint="eastAsia" w:ascii="仿宋" w:hAnsi="仿宋" w:eastAsia="仿宋" w:cs="Times New Roman"/>
          <w:sz w:val="24"/>
          <w:lang w:val="zh-CN"/>
        </w:rPr>
        <w:t>工作组对2024年石狮市中小学班级多媒体教学设备全覆盖工程项目进行评价，目的是从决策角度的项目立项、绩效目标设定和资金投入考察资金投入的合规合理性，从过程角度了解资金管理情况和组织实施情况，从产出角度分析资金使用的产出数量和质量是否符合预期，从效益角度分析资金使用是否实现应有的效果和满意度。最终目的是通过对决策、过程、产出和效益四个角度的分析总结经验，为改善政府管理、纠正目标与实际的偏差提供依据。工作组通过对2024年石狮市中小学班级多媒体教学设备全覆盖工程项目的实施情况的调研，拟定该项资金绩效评价指标体系，评价该项资金的绩效目标完成情况，剖析该项资金在决策、管理及项目实施过程中存在的问题，并探讨其可能的原因，最后提出相应的解决对策，为提高专项资金的使用效率提供参考依据。</w:t>
      </w:r>
    </w:p>
    <w:p w14:paraId="6A37A9BD">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2.绩效评价的对象和范围</w:t>
      </w:r>
    </w:p>
    <w:p w14:paraId="74779DC9">
      <w:pPr>
        <w:spacing w:line="360" w:lineRule="auto"/>
        <w:ind w:firstLine="480" w:firstLineChars="200"/>
        <w:rPr>
          <w:rFonts w:hint="eastAsia" w:ascii="仿宋" w:hAnsi="仿宋" w:eastAsia="仿宋" w:cs="Times New Roman"/>
          <w:sz w:val="24"/>
          <w:lang w:val="zh-CN"/>
        </w:rPr>
      </w:pPr>
      <w:r>
        <w:rPr>
          <w:rFonts w:hint="eastAsia" w:ascii="仿宋" w:hAnsi="仿宋" w:eastAsia="仿宋" w:cs="Times New Roman"/>
          <w:sz w:val="24"/>
          <w:lang w:val="zh-CN"/>
        </w:rPr>
        <w:t>绩效评价对象为2024年石狮市中小学班级多媒体教学设备全覆盖工程项目，本报告所评价资金为2024年度项目投入的专项经费。评价范围是项目决策：包括立项程序、绩效目标设定和资金投入情况；项目过程：包括资金管理、组织实施情况等；项目产出：包括产出数量、质量、时效、成本；项目效益：包括带来的社会效益、可持续影响和满意度。</w:t>
      </w:r>
    </w:p>
    <w:p w14:paraId="2BED17F7">
      <w:pPr>
        <w:spacing w:line="360" w:lineRule="auto"/>
        <w:ind w:firstLine="482" w:firstLineChars="200"/>
        <w:outlineLvl w:val="1"/>
        <w:rPr>
          <w:rFonts w:ascii="仿宋_GB2312" w:hAnsi="Times New Roman" w:eastAsia="仿宋_GB2312" w:cs="Times New Roman"/>
          <w:b/>
          <w:bCs/>
          <w:sz w:val="24"/>
        </w:rPr>
      </w:pPr>
      <w:bookmarkStart w:id="23" w:name="_Toc184981301"/>
      <w:bookmarkStart w:id="24" w:name="_Toc205940235"/>
      <w:bookmarkStart w:id="25" w:name="_Toc184981063"/>
      <w:bookmarkStart w:id="26" w:name="_Toc22644"/>
      <w:r>
        <w:rPr>
          <w:rFonts w:hint="eastAsia" w:ascii="仿宋_GB2312" w:hAnsi="Times New Roman" w:eastAsia="仿宋_GB2312" w:cs="Times New Roman"/>
          <w:b/>
          <w:bCs/>
          <w:sz w:val="24"/>
        </w:rPr>
        <w:t>（二）绩效评价原则、评价指标体系、评价方法、评价标准</w:t>
      </w:r>
      <w:bookmarkEnd w:id="23"/>
      <w:bookmarkEnd w:id="24"/>
      <w:bookmarkEnd w:id="25"/>
      <w:bookmarkEnd w:id="26"/>
    </w:p>
    <w:p w14:paraId="41BD2098">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1.绩效评价原则</w:t>
      </w:r>
    </w:p>
    <w:p w14:paraId="0F983419">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2024年石狮市中小学班级多媒体教学设备全覆盖工程项目绩效评价应根据设定的绩效目标，运用科学、合理的绩效评价指标、评价标准和评价方法，按照财政支出绩效考评4E原则，对项目经费的经济性、效率性、效果性和公平性进行客观、公正的评价。根据《项目支出绩效评价管理办法》（财预〔2020〕10号），绩效评价指标的确定应当遵循以下基本原则：</w:t>
      </w:r>
    </w:p>
    <w:p w14:paraId="5D13647E">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（1）相关性原则。确定的绩效评价指标应当与绩效目标有直接的联系，能够恰当反映目标的实现程度。</w:t>
      </w:r>
    </w:p>
    <w:p w14:paraId="4C032591">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（2）重要性原则。应当优先使用最具评价对象代表性、最能反映评价要求的核心指标。</w:t>
      </w:r>
    </w:p>
    <w:p w14:paraId="2FC505D1">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（3）可比性原则。对同类评价对象要设定共性的绩效评价指标，以便于评价结果可以相互比较。</w:t>
      </w:r>
    </w:p>
    <w:p w14:paraId="347CEA1C">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（4）系统性原则。应当将定量指标与定性指标相结合，系统反映财政支出所产生的社会效益、经济效益、生态效益和可持续影响等。</w:t>
      </w:r>
    </w:p>
    <w:p w14:paraId="372DFD14">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（5）经济性原则。绩效评价指标应当通俗易懂、简便易行，数据的获得应当考虑现实条件和可操作性，符合成本效益原则。</w:t>
      </w:r>
    </w:p>
    <w:p w14:paraId="7A52B7FC">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2.评价指标体系</w:t>
      </w:r>
    </w:p>
    <w:p w14:paraId="526948F0">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工作组根据财政部《项目支出绩效评价管理办法》（财预〔2020〕10号）文件的要求，依据上述原则，根据项目立项文件，围绕决策、过程、产出和效益四个方面设计绩效评价指标以及评分标准和分值。指标体系共设置4个一级指标、12个二级指标、21个三级指标。指标体系设定满分100分，其中：“决策”18分，主要体现项目立项、绩效目标和资金投入情况；“过程”22分，主要体现项目的资金管理、组织实施方面的情况；“产出”30分，主要体现项目产出数量、产出质量、产出时效和产出成本；“效益”30分，主要体现项目社会效益、可持续影响和服务对象满意度等。基于第三方独立评价的特点和要求，指标设置和评分标准力求可行性、客观性、科学性与简明性。指标体系和评分标准详见附表。</w:t>
      </w:r>
    </w:p>
    <w:p w14:paraId="2C200BE9">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3.绩效评价方法的选用</w:t>
      </w:r>
    </w:p>
    <w:p w14:paraId="6475B29F">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根据财政部《项目支出绩效评价管理办法》（财预〔2020〕10号）规定的绩效评价方法，2024年石狮市中小学班级多媒体教学设备全覆盖工程项目绩效评价主要采用成本效益分析法、比较法、目标评价法等。</w:t>
      </w:r>
    </w:p>
    <w:p w14:paraId="12527AD2">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1）成本效益分析法。指将投入与产出、效益进行关联性分析的方法。工作组将通过对项目资金的预算执行情况、项目管理、审计等相关资料进行比较分析，对资金投入与产出、效益进行关联性分析，进而评价资金绩效目标的实现程度。</w:t>
      </w:r>
    </w:p>
    <w:p w14:paraId="013E83D7">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2）比较法。指通过实际支出、实施效果等与绩效目标的比较，综合分析绩效目标实现程度。资金绩效评价将财政审核预算和发改局备案的项目建设方案为标准，将项目执行单位实际支出、产出数量和质量等与之比较，综合分析绩效目标实现程度。</w:t>
      </w:r>
    </w:p>
    <w:p w14:paraId="56546F66">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（3）目标评价法。指将当期社会效益水平与其预先目标标准进行对比分析的方法。该方法主要用于社会效益的评价，评价项目是否实现项目实施方案预期。</w:t>
      </w:r>
    </w:p>
    <w:p w14:paraId="004280EA">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4.评价标准</w:t>
      </w:r>
    </w:p>
    <w:p w14:paraId="12583C52">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专项资金绩效评价标准是衡量专项资金绩效目标完成程度的尺度。依据财政部制定的《项目支出绩效评价管理办法》（财预〔2020〕10号）、福建省财政厅制定的《福建省财政支出绩效评价管理办法》（闽财绩〔2015〕4号）文件精神，绩效评价标准有以下4种：</w:t>
      </w:r>
    </w:p>
    <w:p w14:paraId="5E0EC8D1">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（1）计划标准。是指以预先制定的目标、计划、预算、定额等数据作为评价的标准。</w:t>
      </w:r>
    </w:p>
    <w:p w14:paraId="783AD684">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（2）行业标准。是指参照国家公布的行业指标数据制定的评价标准。</w:t>
      </w:r>
    </w:p>
    <w:p w14:paraId="04447B25">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（3）历史标准。是指参照同类指标的历史数据制定的评价标准。</w:t>
      </w:r>
    </w:p>
    <w:p w14:paraId="5234F137">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（4）其他经财政部门确认的标准。</w:t>
      </w:r>
    </w:p>
    <w:p w14:paraId="54169C5A">
      <w:pPr>
        <w:spacing w:line="360" w:lineRule="auto"/>
        <w:ind w:firstLine="480" w:firstLineChars="200"/>
        <w:rPr>
          <w:rFonts w:hint="eastAsia" w:ascii="仿宋" w:hAnsi="仿宋" w:eastAsia="仿宋" w:cs="Times New Roman"/>
          <w:sz w:val="24"/>
          <w:lang w:val="zh-CN"/>
        </w:rPr>
      </w:pPr>
      <w:r>
        <w:rPr>
          <w:rFonts w:hint="eastAsia" w:ascii="仿宋" w:hAnsi="仿宋" w:eastAsia="仿宋" w:cs="Times New Roman"/>
          <w:sz w:val="24"/>
          <w:lang w:val="zh-CN"/>
        </w:rPr>
        <w:t>工作组根据2024年石狮市中小学班级多媒体教学设备全覆盖工程项目实施的实际情况，主要参照计划标准，对于事先已制定了相应目标、计划、预算的指标，采用计划标准进行评价，将实际情况与计划情况相比较。</w:t>
      </w:r>
    </w:p>
    <w:p w14:paraId="02790C94">
      <w:pPr>
        <w:spacing w:line="360" w:lineRule="auto"/>
        <w:ind w:firstLine="480" w:firstLineChars="200"/>
        <w:rPr>
          <w:rFonts w:hint="eastAsia" w:ascii="仿宋" w:hAnsi="仿宋" w:eastAsia="仿宋" w:cs="Times New Roman"/>
          <w:sz w:val="24"/>
          <w:lang w:val="zh-CN"/>
        </w:rPr>
      </w:pPr>
      <w:bookmarkStart w:id="27" w:name="_Toc184981302"/>
      <w:bookmarkStart w:id="28" w:name="_Toc184981064"/>
      <w:r>
        <w:rPr>
          <w:rFonts w:hint="eastAsia" w:ascii="仿宋" w:hAnsi="仿宋" w:eastAsia="仿宋" w:cs="Times New Roman"/>
          <w:sz w:val="24"/>
          <w:lang w:val="zh-CN"/>
        </w:rPr>
        <w:t>（三）绩效评价工作过程</w:t>
      </w:r>
      <w:bookmarkEnd w:id="27"/>
      <w:bookmarkEnd w:id="28"/>
    </w:p>
    <w:p w14:paraId="78E4421C">
      <w:pPr>
        <w:spacing w:line="360" w:lineRule="auto"/>
        <w:ind w:firstLine="480" w:firstLineChars="200"/>
        <w:rPr>
          <w:rFonts w:hint="eastAsia" w:ascii="仿宋" w:hAnsi="仿宋" w:eastAsia="仿宋" w:cs="Times New Roman"/>
          <w:sz w:val="24"/>
          <w:lang w:val="zh-CN"/>
        </w:rPr>
      </w:pPr>
      <w:r>
        <w:rPr>
          <w:rFonts w:hint="eastAsia" w:ascii="仿宋" w:hAnsi="仿宋" w:eastAsia="仿宋" w:cs="Times New Roman"/>
          <w:sz w:val="24"/>
          <w:lang w:val="zh-CN"/>
        </w:rPr>
        <w:t>根据《项目支出绩效评价管理办法》（财预〔2020〕10号）要求，为开展2024年石狮市中小学班级多媒体教学设备全覆盖工程项目的绩效评价，成立专项评价工作组，制定工作实施方案。</w:t>
      </w:r>
    </w:p>
    <w:p w14:paraId="67C91CCA">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第一阶段，评价工作组应通过对项目资料进行初步收集整理，形成调研及初步拟定绩效评价指标的思路。</w:t>
      </w:r>
    </w:p>
    <w:p w14:paraId="29626274">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第二阶段，工作组开展实地调研，与相关工作人员进行座谈，查阅相关的档案、资料，深入了解项目建设及资金使用情况等。工作组拟定项目绩效评价指标体系，与石狮市财政局及相关科室商讨指标体系，根据反馈意见，修订绩效评价指标体系；根据评价需要补充新的数据资料。</w:t>
      </w:r>
    </w:p>
    <w:p w14:paraId="3E67B34A">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第三阶段，工作组全面分析并撰写报告初稿。根据已确定的指标体系，对项目资金的使用情况、使用效益和服务对象满意度进行全面分析，完成绩效评价报告初稿。初稿应征询石狮市财政局、石狮市教育局等相关部门、单位的意见，及时根据反馈意见进行修改并完成报告终稿。</w:t>
      </w:r>
    </w:p>
    <w:p w14:paraId="2B55EBBC">
      <w:pPr>
        <w:spacing w:line="360" w:lineRule="auto"/>
        <w:ind w:firstLine="480" w:firstLineChars="200"/>
        <w:rPr>
          <w:rFonts w:ascii="仿宋_GB2312" w:hAnsi="Times New Roman" w:eastAsia="仿宋_GB2312" w:cs="Times New Roman"/>
          <w:sz w:val="24"/>
          <w:lang w:val="zh-CN"/>
        </w:rPr>
      </w:pPr>
    </w:p>
    <w:p w14:paraId="1A415A93">
      <w:pPr>
        <w:spacing w:line="360" w:lineRule="auto"/>
        <w:ind w:firstLine="562" w:firstLineChars="200"/>
        <w:outlineLvl w:val="0"/>
        <w:rPr>
          <w:rFonts w:hint="eastAsia" w:ascii="仿宋" w:hAnsi="仿宋" w:eastAsia="仿宋" w:cs="仿宋"/>
          <w:b/>
          <w:bCs/>
          <w:sz w:val="28"/>
          <w:szCs w:val="28"/>
          <w:lang w:val="zh-CN"/>
        </w:rPr>
      </w:pPr>
      <w:bookmarkStart w:id="29" w:name="_Toc184981065"/>
      <w:bookmarkStart w:id="30" w:name="_Toc11043"/>
      <w:bookmarkStart w:id="31" w:name="_Toc184981303"/>
      <w:bookmarkStart w:id="32" w:name="_Toc205940236"/>
      <w:r>
        <w:rPr>
          <w:rFonts w:hint="eastAsia" w:ascii="仿宋" w:hAnsi="仿宋" w:eastAsia="仿宋" w:cs="仿宋"/>
          <w:b/>
          <w:bCs/>
          <w:sz w:val="28"/>
          <w:szCs w:val="28"/>
          <w:lang w:val="zh-CN"/>
        </w:rPr>
        <w:t>三、综合评价情况及评价结论</w:t>
      </w:r>
      <w:bookmarkEnd w:id="29"/>
      <w:bookmarkEnd w:id="30"/>
      <w:bookmarkEnd w:id="31"/>
      <w:bookmarkEnd w:id="32"/>
    </w:p>
    <w:p w14:paraId="583C739F">
      <w:pPr>
        <w:spacing w:line="360" w:lineRule="auto"/>
        <w:ind w:firstLine="480" w:firstLineChars="200"/>
        <w:rPr>
          <w:rFonts w:hint="eastAsia" w:ascii="仿宋" w:hAnsi="仿宋" w:eastAsia="仿宋" w:cs="Times New Roman"/>
          <w:sz w:val="24"/>
          <w:lang w:val="zh-CN"/>
        </w:rPr>
      </w:pPr>
      <w:r>
        <w:rPr>
          <w:rFonts w:hint="eastAsia" w:ascii="仿宋" w:hAnsi="仿宋" w:eastAsia="仿宋" w:cs="Times New Roman"/>
          <w:sz w:val="24"/>
          <w:lang w:val="zh-CN"/>
        </w:rPr>
        <w:t>2024年度石狮市中小学班级多媒体教学设备全覆盖工程项目在改善教学条件和提升教学效果方面取得了积极成效，但在绩效指标明确性、制度执行有效性和产出时效性方面存在不足。经过工作组的审慎和科学评估，该项目总得分88.</w:t>
      </w:r>
      <w:r>
        <w:rPr>
          <w:rFonts w:hint="eastAsia" w:ascii="仿宋" w:hAnsi="仿宋" w:eastAsia="仿宋" w:cs="Times New Roman"/>
          <w:sz w:val="24"/>
          <w:lang w:val="en-US" w:eastAsia="zh-CN"/>
        </w:rPr>
        <w:t>54</w:t>
      </w:r>
      <w:r>
        <w:rPr>
          <w:rFonts w:hint="eastAsia" w:ascii="仿宋" w:hAnsi="仿宋" w:eastAsia="仿宋" w:cs="Times New Roman"/>
          <w:sz w:val="24"/>
          <w:lang w:val="zh-CN"/>
        </w:rPr>
        <w:t>分，评价等级结果为良，指标分析详见第四部分。</w:t>
      </w:r>
    </w:p>
    <w:p w14:paraId="222C79C6">
      <w:pPr>
        <w:spacing w:line="360" w:lineRule="auto"/>
        <w:ind w:firstLine="480" w:firstLineChars="200"/>
        <w:rPr>
          <w:rFonts w:hint="eastAsia" w:ascii="仿宋" w:hAnsi="仿宋" w:eastAsia="仿宋" w:cs="Times New Roman"/>
          <w:sz w:val="24"/>
          <w:lang w:val="zh-CN"/>
        </w:rPr>
      </w:pPr>
    </w:p>
    <w:p w14:paraId="1F4860B2">
      <w:pPr>
        <w:spacing w:line="360" w:lineRule="auto"/>
        <w:ind w:firstLine="562" w:firstLineChars="200"/>
        <w:outlineLvl w:val="0"/>
        <w:rPr>
          <w:rFonts w:hint="eastAsia" w:ascii="仿宋" w:hAnsi="仿宋" w:eastAsia="仿宋" w:cs="仿宋"/>
          <w:b/>
          <w:bCs/>
          <w:sz w:val="28"/>
          <w:szCs w:val="28"/>
          <w:lang w:val="zh-CN"/>
        </w:rPr>
      </w:pPr>
      <w:bookmarkStart w:id="33" w:name="_Toc205940237"/>
      <w:bookmarkStart w:id="34" w:name="_Toc184981304"/>
      <w:bookmarkStart w:id="35" w:name="_Toc16626"/>
      <w:bookmarkStart w:id="36" w:name="_Toc184981066"/>
      <w:r>
        <w:rPr>
          <w:rFonts w:hint="eastAsia" w:ascii="仿宋" w:hAnsi="仿宋" w:eastAsia="仿宋" w:cs="仿宋"/>
          <w:b/>
          <w:bCs/>
          <w:sz w:val="28"/>
          <w:szCs w:val="28"/>
          <w:lang w:val="zh-CN"/>
        </w:rPr>
        <w:t>四、绩效评价指标分析</w:t>
      </w:r>
      <w:bookmarkEnd w:id="33"/>
      <w:bookmarkEnd w:id="34"/>
      <w:bookmarkEnd w:id="35"/>
      <w:bookmarkEnd w:id="36"/>
    </w:p>
    <w:p w14:paraId="36B2563F">
      <w:pPr>
        <w:spacing w:line="360" w:lineRule="auto"/>
        <w:ind w:firstLine="482" w:firstLineChars="200"/>
        <w:outlineLvl w:val="1"/>
        <w:rPr>
          <w:rFonts w:ascii="仿宋_GB2312" w:hAnsi="Times New Roman" w:eastAsia="仿宋_GB2312" w:cs="Times New Roman"/>
          <w:b/>
          <w:bCs/>
          <w:sz w:val="24"/>
        </w:rPr>
      </w:pPr>
      <w:bookmarkStart w:id="37" w:name="_Toc184981305"/>
      <w:bookmarkStart w:id="38" w:name="_Toc184981067"/>
      <w:bookmarkStart w:id="39" w:name="_Toc31967"/>
      <w:bookmarkStart w:id="40" w:name="_Toc205940238"/>
      <w:r>
        <w:rPr>
          <w:rFonts w:hint="eastAsia" w:ascii="仿宋_GB2312" w:hAnsi="Times New Roman" w:eastAsia="仿宋_GB2312" w:cs="Times New Roman"/>
          <w:b/>
          <w:bCs/>
          <w:sz w:val="24"/>
        </w:rPr>
        <w:t>（一）项目决策情况</w:t>
      </w:r>
      <w:bookmarkEnd w:id="37"/>
      <w:bookmarkEnd w:id="38"/>
      <w:r>
        <w:rPr>
          <w:rFonts w:hint="eastAsia" w:ascii="仿宋_GB2312" w:hAnsi="Times New Roman" w:eastAsia="仿宋_GB2312" w:cs="Times New Roman"/>
          <w:b/>
          <w:bCs/>
          <w:sz w:val="24"/>
        </w:rPr>
        <w:t>（分值18分，得分1</w:t>
      </w:r>
      <w:r>
        <w:rPr>
          <w:rFonts w:hint="eastAsia" w:ascii="仿宋_GB2312" w:hAnsi="Times New Roman" w:eastAsia="仿宋_GB2312" w:cs="Times New Roman"/>
          <w:b/>
          <w:bCs/>
          <w:sz w:val="24"/>
          <w:lang w:val="en-US" w:eastAsia="zh-CN"/>
        </w:rPr>
        <w:t>6</w:t>
      </w:r>
      <w:r>
        <w:rPr>
          <w:rFonts w:hint="eastAsia" w:ascii="仿宋_GB2312" w:hAnsi="Times New Roman" w:eastAsia="仿宋_GB2312" w:cs="Times New Roman"/>
          <w:b/>
          <w:bCs/>
          <w:sz w:val="24"/>
        </w:rPr>
        <w:t>分）</w:t>
      </w:r>
      <w:bookmarkEnd w:id="39"/>
      <w:bookmarkEnd w:id="40"/>
    </w:p>
    <w:p w14:paraId="72A37099">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1.项目立项（</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6分，得分6分）</w:t>
      </w:r>
    </w:p>
    <w:p w14:paraId="032382E4">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（1）立项依据充分性（</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3分，得分3分）</w:t>
      </w:r>
    </w:p>
    <w:p w14:paraId="04610820">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“立项依据充分性”方面，2024年石狮市中小学班级多媒体教学设备全覆盖工程项目立项基本符合</w:t>
      </w:r>
      <w:bookmarkStart w:id="41" w:name="OLE_LINK3"/>
      <w:r>
        <w:rPr>
          <w:rFonts w:hint="eastAsia" w:ascii="仿宋_GB2312" w:hAnsi="Times New Roman" w:eastAsia="仿宋_GB2312" w:cs="Times New Roman"/>
          <w:sz w:val="24"/>
          <w:lang w:val="zh-CN"/>
        </w:rPr>
        <w:t>《中共福建省委福建省人民政府关于开展2024年为民办实事工作的通知》</w:t>
      </w:r>
      <w:bookmarkEnd w:id="41"/>
      <w:r>
        <w:rPr>
          <w:rFonts w:hint="eastAsia" w:ascii="仿宋_GB2312" w:hAnsi="Times New Roman" w:eastAsia="仿宋_GB2312" w:cs="Times New Roman"/>
          <w:sz w:val="24"/>
          <w:lang w:val="zh-CN"/>
        </w:rPr>
        <w:t>有关精神，和《2024年福建省中小学班级多媒体教学设备全覆盖工程实施方案》（闽教科〔2024〕1号）、《福建省财政厅福建省教育厅关于下达中小学班级多媒体教学设备全覆盖工程补助资金的通知》（闽财教指〔2024〕6号）等相关文件要求；符合石狮市教育局中小学班级多媒体教学设备全覆盖工程改造规划。2024年3月，通过</w:t>
      </w:r>
      <w:bookmarkStart w:id="42" w:name="OLE_LINK4"/>
      <w:r>
        <w:rPr>
          <w:rFonts w:hint="eastAsia" w:ascii="仿宋_GB2312" w:hAnsi="Times New Roman" w:eastAsia="仿宋_GB2312" w:cs="Times New Roman"/>
          <w:sz w:val="24"/>
          <w:lang w:val="zh-CN"/>
        </w:rPr>
        <w:t>《2024年石狮市中小学班级多媒体教学设备全覆盖工程实施方案》</w:t>
      </w:r>
      <w:bookmarkEnd w:id="42"/>
      <w:r>
        <w:rPr>
          <w:rFonts w:hint="eastAsia" w:ascii="仿宋_GB2312" w:hAnsi="Times New Roman" w:eastAsia="仿宋_GB2312" w:cs="Times New Roman"/>
          <w:sz w:val="24"/>
          <w:lang w:val="zh-CN"/>
        </w:rPr>
        <w:t>的制定；2024年5月，通过《资产预算购置申请表》的批复件对2024年石狮市中小学班级多媒体教学设备全覆盖工程项目可行性进行了系统评估，并经石狮市教育局和财政部门审核通过。该项目的实施将提高石狮市在数字化教学的课堂覆盖率，推动信息技术与学科教学深度融合，进一步提升区域教育信息化水平和教育教学质量的整体竞争力。在项目立项上，项目符合国家法律法规、国民经济发展规划和相关政策，符合行业发展规划和政策要求，与教育局相关部门职责范围相符，属于部门履职所需，属于公共财政支持范围，符合中央、地方事权支出责任划分原则，未与相关部门同类项目或部门内部相关项目重复。该项指标可得满分3分。</w:t>
      </w:r>
    </w:p>
    <w:p w14:paraId="198155F2">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（2）立项程序规范性（</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3分，得分3分）</w:t>
      </w:r>
    </w:p>
    <w:p w14:paraId="11CAF6BB">
      <w:pPr>
        <w:spacing w:line="360" w:lineRule="auto"/>
        <w:ind w:firstLine="480" w:firstLineChars="200"/>
        <w:rPr>
          <w:rFonts w:hint="eastAsia" w:ascii="仿宋" w:hAnsi="仿宋" w:eastAsia="仿宋" w:cs="Times New Roman"/>
          <w:sz w:val="24"/>
          <w:lang w:val="zh-CN"/>
        </w:rPr>
      </w:pPr>
      <w:r>
        <w:rPr>
          <w:rFonts w:hint="eastAsia" w:ascii="仿宋" w:hAnsi="仿宋" w:eastAsia="仿宋" w:cs="Times New Roman"/>
          <w:sz w:val="24"/>
          <w:lang w:val="zh-CN"/>
        </w:rPr>
        <w:t>在立项程序上，2024年石狮市中小学班级多媒体教学设备全覆盖工程项目根据2024年3月</w:t>
      </w:r>
      <w:bookmarkStart w:id="106" w:name="_GoBack"/>
      <w:bookmarkEnd w:id="106"/>
      <w:r>
        <w:rPr>
          <w:rFonts w:hint="eastAsia" w:ascii="仿宋" w:hAnsi="仿宋" w:eastAsia="仿宋" w:cs="Times New Roman"/>
          <w:sz w:val="24"/>
          <w:lang w:val="zh-CN"/>
        </w:rPr>
        <w:t>13《泉州市教育局  泉州市财政局关于印发《2024年泉州市中小学班级多媒体教学设备全覆盖工程实施方案》的通知》（泉教装〔2024〕1号）文件，制定了《2024年石狮市中小学班级多媒体设备全覆盖工程实施方案》，启动项目招投标工作。2024年6月12日《行政事业单位2024年度未纳入预算专用资产购置预算复核表》、2024年6月14日《关于申请2024年石狮市中小学班级多媒体教学设备全覆盖工程项目资金的函》（狮教财函〔2024〕18号）、2024年7月15日《石狮市教育局（党组会）提议表》等相关文件体现了项目按照规定的程序申请和批复，事前已开展必要的前期调研和集体决策，项目立项程序规范，审批手续完备。前期评估确定的多媒体教学设备数量与招投标文件所列“最低配置数”完全一致，其中对外招投标的238套设备，在实际调研中238套设备均已全部验收投入使用。</w:t>
      </w:r>
      <w:r>
        <w:rPr>
          <w:rFonts w:hint="eastAsia" w:ascii="仿宋" w:hAnsi="仿宋" w:eastAsia="仿宋" w:cs="Times New Roman"/>
          <w:sz w:val="24"/>
        </w:rPr>
        <w:t>说明项目前期对设备采购数量进行了充分核算，不存在过度采购的情况。</w:t>
      </w:r>
      <w:r>
        <w:rPr>
          <w:rFonts w:hint="eastAsia" w:ascii="仿宋" w:hAnsi="仿宋" w:eastAsia="仿宋" w:cs="Times New Roman"/>
          <w:sz w:val="24"/>
          <w:lang w:val="zh-CN"/>
        </w:rPr>
        <w:t>该指标得满分。</w:t>
      </w:r>
    </w:p>
    <w:p w14:paraId="326815A6">
      <w:pPr>
        <w:spacing w:line="360" w:lineRule="auto"/>
        <w:ind w:firstLine="480" w:firstLineChars="200"/>
        <w:rPr>
          <w:rFonts w:hint="eastAsia" w:ascii="仿宋" w:hAnsi="仿宋" w:eastAsia="仿宋" w:cs="Times New Roman"/>
          <w:sz w:val="24"/>
          <w:lang w:val="zh-CN"/>
        </w:rPr>
      </w:pPr>
      <w:r>
        <w:rPr>
          <w:rFonts w:hint="eastAsia" w:ascii="仿宋" w:hAnsi="仿宋" w:eastAsia="仿宋" w:cs="Times New Roman"/>
          <w:sz w:val="24"/>
          <w:lang w:val="zh-CN"/>
        </w:rPr>
        <w:t>2.绩效目标（</w:t>
      </w:r>
      <w:r>
        <w:rPr>
          <w:rFonts w:hint="eastAsia" w:ascii="仿宋" w:hAnsi="仿宋" w:eastAsia="仿宋" w:cs="Times New Roman"/>
          <w:sz w:val="24"/>
        </w:rPr>
        <w:t>分值</w:t>
      </w:r>
      <w:r>
        <w:rPr>
          <w:rFonts w:hint="eastAsia" w:ascii="仿宋" w:hAnsi="仿宋" w:eastAsia="仿宋" w:cs="Times New Roman"/>
          <w:sz w:val="24"/>
          <w:lang w:val="zh-CN"/>
        </w:rPr>
        <w:t>6分，得分4分）</w:t>
      </w:r>
    </w:p>
    <w:p w14:paraId="5E135BDB">
      <w:pPr>
        <w:spacing w:line="360" w:lineRule="auto"/>
        <w:ind w:firstLine="480" w:firstLineChars="200"/>
        <w:rPr>
          <w:rFonts w:hint="eastAsia" w:ascii="仿宋" w:hAnsi="仿宋" w:eastAsia="仿宋" w:cs="Times New Roman"/>
          <w:sz w:val="24"/>
          <w:lang w:val="zh-CN"/>
        </w:rPr>
      </w:pPr>
      <w:r>
        <w:rPr>
          <w:rFonts w:hint="eastAsia" w:ascii="仿宋" w:hAnsi="仿宋" w:eastAsia="仿宋" w:cs="Times New Roman"/>
          <w:sz w:val="24"/>
          <w:lang w:val="zh-CN"/>
        </w:rPr>
        <w:t>（1）绩效目标合理性（</w:t>
      </w:r>
      <w:r>
        <w:rPr>
          <w:rFonts w:hint="eastAsia" w:ascii="仿宋" w:hAnsi="仿宋" w:eastAsia="仿宋" w:cs="Times New Roman"/>
          <w:sz w:val="24"/>
        </w:rPr>
        <w:t>分值</w:t>
      </w:r>
      <w:r>
        <w:rPr>
          <w:rFonts w:hint="eastAsia" w:ascii="仿宋" w:hAnsi="仿宋" w:eastAsia="仿宋" w:cs="Times New Roman"/>
          <w:sz w:val="24"/>
          <w:lang w:val="zh-CN"/>
        </w:rPr>
        <w:t>3分，得分3分）</w:t>
      </w:r>
    </w:p>
    <w:p w14:paraId="27B7BAE3">
      <w:pPr>
        <w:spacing w:line="360" w:lineRule="auto"/>
        <w:ind w:firstLine="480" w:firstLineChars="200"/>
        <w:rPr>
          <w:rFonts w:hint="eastAsia" w:ascii="仿宋" w:hAnsi="仿宋" w:eastAsia="仿宋" w:cs="Times New Roman"/>
          <w:sz w:val="24"/>
          <w:lang w:val="zh-CN"/>
        </w:rPr>
      </w:pPr>
      <w:r>
        <w:rPr>
          <w:rFonts w:hint="eastAsia" w:ascii="仿宋" w:hAnsi="仿宋" w:eastAsia="仿宋" w:cs="Times New Roman"/>
          <w:sz w:val="24"/>
          <w:lang w:val="zh-CN"/>
        </w:rPr>
        <w:t>经核查，2024年石狮市中小学班级多媒体教学设备全覆盖工程项目绩效目标设置合理，符合《项目支出绩效评价管理办法》（财预〔2020〕10号）要求。项目设置了预算执行率、设备采购数量、设备验收合格率等绩效指标，绩效目标与项目内容相匹配，项目预期产出效益和效果符合正常的业绩水平。绩效目标值与预算资金规模相适应，符合绩效管理相关规定。故本项目绩效目标合理性指标得满分3分。</w:t>
      </w:r>
    </w:p>
    <w:p w14:paraId="4E895BD9">
      <w:pPr>
        <w:spacing w:line="360" w:lineRule="auto"/>
        <w:ind w:firstLine="480" w:firstLineChars="200"/>
        <w:rPr>
          <w:rFonts w:hint="eastAsia" w:ascii="仿宋" w:hAnsi="仿宋" w:eastAsia="仿宋" w:cs="Times New Roman"/>
          <w:sz w:val="24"/>
          <w:lang w:val="zh-CN"/>
        </w:rPr>
      </w:pPr>
      <w:r>
        <w:rPr>
          <w:rFonts w:hint="eastAsia" w:ascii="仿宋" w:hAnsi="仿宋" w:eastAsia="仿宋" w:cs="Times New Roman"/>
          <w:sz w:val="24"/>
          <w:lang w:val="zh-CN"/>
        </w:rPr>
        <w:t>（2）绩效指标明确性（</w:t>
      </w:r>
      <w:r>
        <w:rPr>
          <w:rFonts w:hint="eastAsia" w:ascii="仿宋" w:hAnsi="仿宋" w:eastAsia="仿宋" w:cs="Times New Roman"/>
          <w:sz w:val="24"/>
        </w:rPr>
        <w:t>分值</w:t>
      </w:r>
      <w:r>
        <w:rPr>
          <w:rFonts w:hint="eastAsia" w:ascii="仿宋" w:hAnsi="仿宋" w:eastAsia="仿宋" w:cs="Times New Roman"/>
          <w:sz w:val="24"/>
          <w:lang w:val="zh-CN"/>
        </w:rPr>
        <w:t>3分，得分1分）</w:t>
      </w:r>
    </w:p>
    <w:p w14:paraId="06957551">
      <w:pPr>
        <w:spacing w:line="360" w:lineRule="auto"/>
        <w:ind w:firstLine="480" w:firstLineChars="200"/>
        <w:rPr>
          <w:rFonts w:hint="eastAsia" w:ascii="仿宋" w:hAnsi="仿宋" w:eastAsia="仿宋" w:cs="Times New Roman"/>
          <w:sz w:val="24"/>
        </w:rPr>
      </w:pPr>
      <w:r>
        <w:rPr>
          <w:rFonts w:hint="eastAsia" w:ascii="仿宋" w:hAnsi="仿宋" w:eastAsia="仿宋" w:cs="Times New Roman"/>
          <w:sz w:val="24"/>
        </w:rPr>
        <w:t>石狮市提供的2024年石狮市中小学班级多媒体教学设备全覆盖工程项目绩效目标表将绩效目标细化分解为6个三级指标，包括预算执行率、设备采购数量、设备验收合格率、资金支付及时率、提高办学条件及学校满意度等指标。这些指标总体上清晰可衡量，与项目目标任务相对应，基本建立了可量化的指标体系。但还存在以下问题：一是指标设计存在缺陷，具体表现为将</w:t>
      </w:r>
      <w:r>
        <w:rPr>
          <w:rFonts w:hint="eastAsia" w:ascii="仿宋" w:hAnsi="仿宋" w:eastAsia="仿宋" w:cs="Times New Roman"/>
          <w:sz w:val="24"/>
          <w:lang w:val="en-US" w:eastAsia="zh-CN"/>
        </w:rPr>
        <w:t>原属于</w:t>
      </w:r>
      <w:r>
        <w:rPr>
          <w:rFonts w:hint="eastAsia" w:ascii="仿宋" w:hAnsi="仿宋" w:eastAsia="仿宋" w:cs="Times New Roman"/>
          <w:sz w:val="24"/>
        </w:rPr>
        <w:t>“资金管理”</w:t>
      </w:r>
      <w:r>
        <w:rPr>
          <w:rFonts w:hint="eastAsia" w:ascii="仿宋" w:hAnsi="仿宋" w:eastAsia="仿宋" w:cs="Times New Roman"/>
          <w:sz w:val="24"/>
          <w:lang w:val="en-US" w:eastAsia="zh-CN"/>
        </w:rPr>
        <w:t>中的“资金支付及时率”</w:t>
      </w:r>
      <w:r>
        <w:rPr>
          <w:rFonts w:hint="eastAsia" w:ascii="仿宋" w:hAnsi="仿宋" w:eastAsia="仿宋" w:cs="Times New Roman"/>
          <w:sz w:val="24"/>
        </w:rPr>
        <w:t>指标错误归入“产出指标”；</w:t>
      </w:r>
      <w:r>
        <w:rPr>
          <w:rFonts w:hint="eastAsia" w:ascii="仿宋" w:hAnsi="仿宋" w:eastAsia="仿宋" w:cs="Times New Roman"/>
          <w:sz w:val="24"/>
          <w:lang w:val="en-US" w:eastAsia="zh-CN"/>
        </w:rPr>
        <w:t>二</w:t>
      </w:r>
      <w:r>
        <w:rPr>
          <w:rFonts w:hint="eastAsia" w:ascii="仿宋" w:hAnsi="仿宋" w:eastAsia="仿宋" w:cs="Times New Roman"/>
          <w:sz w:val="24"/>
        </w:rPr>
        <w:t>是可操作性不足的社会效益指标占比30%，而可量化的“设备采购数量”等产出指标占比明显偏低；</w:t>
      </w:r>
      <w:r>
        <w:rPr>
          <w:rFonts w:hint="eastAsia" w:ascii="仿宋" w:hAnsi="仿宋" w:eastAsia="仿宋" w:cs="Times New Roman"/>
          <w:sz w:val="24"/>
          <w:lang w:val="en-US" w:eastAsia="zh-CN"/>
        </w:rPr>
        <w:t>三</w:t>
      </w:r>
      <w:r>
        <w:rPr>
          <w:rFonts w:hint="eastAsia" w:ascii="仿宋" w:hAnsi="仿宋" w:eastAsia="仿宋" w:cs="Times New Roman"/>
          <w:sz w:val="24"/>
        </w:rPr>
        <w:t>是“提高办学条件”指标仅采用定性描述，缺乏具体的量化考核标准，难以客观反映实际成效；</w:t>
      </w:r>
      <w:r>
        <w:rPr>
          <w:rFonts w:hint="eastAsia" w:ascii="仿宋" w:hAnsi="仿宋" w:eastAsia="仿宋" w:cs="Times New Roman"/>
          <w:sz w:val="24"/>
          <w:lang w:val="en-US" w:eastAsia="zh-CN"/>
        </w:rPr>
        <w:t>四</w:t>
      </w:r>
      <w:r>
        <w:rPr>
          <w:rFonts w:hint="eastAsia" w:ascii="仿宋" w:hAnsi="仿宋" w:eastAsia="仿宋" w:cs="Times New Roman"/>
          <w:sz w:val="24"/>
        </w:rPr>
        <w:t>是现有指标未能充分体现设备投入与教学效果的直接关联，未设置设备使用率、教学效果提升等核心效益指标。综上所述，虽然指标体系框架基本完整，但在权重分配和指标设计上存在不合理之处，未能完全体现《项目支出绩效评价管理办法》（财预〔2020〕10号）关于指标明确性和科学性的要求。因此，“绩效指标明确性”指标扣2分。</w:t>
      </w:r>
    </w:p>
    <w:p w14:paraId="2EC263F7">
      <w:pPr>
        <w:pStyle w:val="7"/>
        <w:spacing w:line="360" w:lineRule="auto"/>
        <w:jc w:val="center"/>
        <w:rPr>
          <w:rFonts w:ascii="仿宋_GB2312" w:hAnsi="Times New Roman" w:eastAsia="仿宋_GB2312" w:cs="Times New Roman"/>
          <w:b/>
          <w:bCs/>
          <w:sz w:val="24"/>
          <w:szCs w:val="24"/>
          <w:lang w:val="zh-CN"/>
        </w:rPr>
      </w:pPr>
      <w:r>
        <w:rPr>
          <w:rFonts w:hint="eastAsia" w:ascii="仿宋_GB2312" w:hAnsi="Times New Roman" w:eastAsia="仿宋_GB2312" w:cs="Times New Roman"/>
          <w:b/>
          <w:bCs/>
          <w:sz w:val="24"/>
          <w:szCs w:val="24"/>
          <w:lang w:val="zh-CN"/>
        </w:rPr>
        <w:t>表</w:t>
      </w:r>
      <w:r>
        <w:rPr>
          <w:rFonts w:hint="eastAsia" w:ascii="仿宋_GB2312" w:hAnsi="Times New Roman" w:eastAsia="仿宋_GB2312" w:cs="Times New Roman"/>
          <w:b/>
          <w:bCs/>
          <w:sz w:val="24"/>
          <w:szCs w:val="24"/>
        </w:rPr>
        <w:t xml:space="preserve">2  </w:t>
      </w:r>
      <w:r>
        <w:rPr>
          <w:rFonts w:hint="eastAsia" w:ascii="仿宋_GB2312" w:hAnsi="Times New Roman" w:eastAsia="仿宋_GB2312" w:cs="Times New Roman"/>
          <w:b/>
          <w:bCs/>
          <w:sz w:val="24"/>
          <w:szCs w:val="24"/>
          <w:lang w:val="zh-CN"/>
        </w:rPr>
        <w:t>2024石狮市中小学班级多媒体教学设备全覆盖工程项目绩效目标表</w:t>
      </w:r>
    </w:p>
    <w:tbl>
      <w:tblPr>
        <w:tblStyle w:val="14"/>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50"/>
        <w:gridCol w:w="1387"/>
        <w:gridCol w:w="1392"/>
        <w:gridCol w:w="1249"/>
        <w:gridCol w:w="1615"/>
        <w:gridCol w:w="1499"/>
      </w:tblGrid>
      <w:tr w14:paraId="4F31D5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trPr>
        <w:tc>
          <w:tcPr>
            <w:tcW w:w="1250" w:type="dxa"/>
            <w:vAlign w:val="center"/>
          </w:tcPr>
          <w:p w14:paraId="7281D5C4">
            <w:pPr>
              <w:pStyle w:val="7"/>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一级指标</w:t>
            </w:r>
          </w:p>
        </w:tc>
        <w:tc>
          <w:tcPr>
            <w:tcW w:w="1387" w:type="dxa"/>
            <w:vAlign w:val="center"/>
          </w:tcPr>
          <w:p w14:paraId="79F2B4A3">
            <w:pPr>
              <w:pStyle w:val="7"/>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二级指标</w:t>
            </w:r>
          </w:p>
        </w:tc>
        <w:tc>
          <w:tcPr>
            <w:tcW w:w="1392" w:type="dxa"/>
            <w:vAlign w:val="center"/>
          </w:tcPr>
          <w:p w14:paraId="6F08DBE8">
            <w:pPr>
              <w:pStyle w:val="7"/>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三级指标</w:t>
            </w:r>
          </w:p>
        </w:tc>
        <w:tc>
          <w:tcPr>
            <w:tcW w:w="1249" w:type="dxa"/>
            <w:vAlign w:val="center"/>
          </w:tcPr>
          <w:p w14:paraId="41E93583">
            <w:pPr>
              <w:pStyle w:val="7"/>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指标计算公式或方法</w:t>
            </w:r>
          </w:p>
        </w:tc>
        <w:tc>
          <w:tcPr>
            <w:tcW w:w="1615" w:type="dxa"/>
            <w:vAlign w:val="center"/>
          </w:tcPr>
          <w:p w14:paraId="2AB6C187">
            <w:pPr>
              <w:pStyle w:val="7"/>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目标值</w:t>
            </w:r>
          </w:p>
        </w:tc>
        <w:tc>
          <w:tcPr>
            <w:tcW w:w="1499" w:type="dxa"/>
            <w:vAlign w:val="center"/>
          </w:tcPr>
          <w:p w14:paraId="402B10D7">
            <w:pPr>
              <w:pStyle w:val="7"/>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目标权重</w:t>
            </w:r>
          </w:p>
        </w:tc>
      </w:tr>
      <w:tr w14:paraId="78D5F6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1" w:hRule="atLeast"/>
        </w:trPr>
        <w:tc>
          <w:tcPr>
            <w:tcW w:w="1250" w:type="dxa"/>
            <w:vAlign w:val="center"/>
          </w:tcPr>
          <w:p w14:paraId="45E42789">
            <w:pPr>
              <w:pStyle w:val="7"/>
              <w:jc w:val="center"/>
              <w:rPr>
                <w:rFonts w:hint="eastAsia" w:ascii="仿宋" w:hAnsi="仿宋" w:eastAsia="仿宋" w:cs="Times New Roman"/>
              </w:rPr>
            </w:pPr>
            <w:r>
              <w:rPr>
                <w:rFonts w:hint="eastAsia" w:ascii="仿宋" w:hAnsi="仿宋" w:eastAsia="仿宋" w:cs="Times New Roman"/>
              </w:rPr>
              <w:t>成本指标</w:t>
            </w:r>
          </w:p>
        </w:tc>
        <w:tc>
          <w:tcPr>
            <w:tcW w:w="1387" w:type="dxa"/>
            <w:vAlign w:val="center"/>
          </w:tcPr>
          <w:p w14:paraId="5CCD9B98">
            <w:pPr>
              <w:pStyle w:val="7"/>
              <w:jc w:val="center"/>
              <w:rPr>
                <w:rFonts w:hint="eastAsia" w:ascii="仿宋" w:hAnsi="仿宋" w:eastAsia="仿宋" w:cs="Times New Roman"/>
              </w:rPr>
            </w:pPr>
            <w:r>
              <w:rPr>
                <w:rFonts w:hint="eastAsia" w:ascii="仿宋" w:hAnsi="仿宋" w:eastAsia="仿宋" w:cs="Times New Roman"/>
              </w:rPr>
              <w:t>经济成本指标</w:t>
            </w:r>
          </w:p>
        </w:tc>
        <w:tc>
          <w:tcPr>
            <w:tcW w:w="1392" w:type="dxa"/>
            <w:vAlign w:val="center"/>
          </w:tcPr>
          <w:p w14:paraId="56D6F47A">
            <w:pPr>
              <w:pStyle w:val="7"/>
              <w:jc w:val="center"/>
              <w:rPr>
                <w:rFonts w:hint="eastAsia" w:ascii="仿宋" w:hAnsi="仿宋" w:eastAsia="仿宋" w:cs="Times New Roman"/>
              </w:rPr>
            </w:pPr>
            <w:r>
              <w:rPr>
                <w:rFonts w:hint="eastAsia" w:ascii="仿宋" w:hAnsi="仿宋" w:eastAsia="仿宋" w:cs="Times New Roman"/>
              </w:rPr>
              <w:t>预算执行率</w:t>
            </w:r>
          </w:p>
        </w:tc>
        <w:tc>
          <w:tcPr>
            <w:tcW w:w="1249" w:type="dxa"/>
            <w:vAlign w:val="center"/>
          </w:tcPr>
          <w:p w14:paraId="0F6DD97E">
            <w:pPr>
              <w:pStyle w:val="7"/>
              <w:jc w:val="center"/>
              <w:rPr>
                <w:rFonts w:hint="eastAsia" w:ascii="仿宋" w:hAnsi="仿宋" w:eastAsia="仿宋" w:cs="Times New Roman"/>
              </w:rPr>
            </w:pPr>
            <w:r>
              <w:rPr>
                <w:rFonts w:hint="eastAsia" w:ascii="仿宋" w:hAnsi="仿宋" w:eastAsia="仿宋" w:cs="Times New Roman"/>
              </w:rPr>
              <w:t>数据统计</w:t>
            </w:r>
          </w:p>
        </w:tc>
        <w:tc>
          <w:tcPr>
            <w:tcW w:w="1615" w:type="dxa"/>
            <w:vAlign w:val="center"/>
          </w:tcPr>
          <w:p w14:paraId="043D8334">
            <w:pPr>
              <w:pStyle w:val="7"/>
              <w:jc w:val="center"/>
              <w:rPr>
                <w:rFonts w:hint="eastAsia" w:ascii="仿宋" w:hAnsi="仿宋" w:eastAsia="仿宋"/>
                <w:color w:val="000000"/>
              </w:rPr>
            </w:pPr>
            <w:r>
              <w:rPr>
                <w:rFonts w:hint="eastAsia" w:ascii="仿宋" w:hAnsi="仿宋" w:eastAsia="仿宋"/>
                <w:color w:val="000000"/>
              </w:rPr>
              <w:t>100%</w:t>
            </w:r>
          </w:p>
        </w:tc>
        <w:tc>
          <w:tcPr>
            <w:tcW w:w="1499" w:type="dxa"/>
            <w:vAlign w:val="center"/>
          </w:tcPr>
          <w:p w14:paraId="46DF1FDB">
            <w:pPr>
              <w:pStyle w:val="7"/>
              <w:jc w:val="center"/>
              <w:rPr>
                <w:rFonts w:hint="eastAsia" w:ascii="仿宋" w:hAnsi="仿宋" w:eastAsia="仿宋"/>
                <w:color w:val="000000"/>
              </w:rPr>
            </w:pPr>
            <w:r>
              <w:rPr>
                <w:rFonts w:hint="eastAsia" w:ascii="仿宋" w:hAnsi="仿宋" w:eastAsia="仿宋"/>
                <w:color w:val="000000"/>
              </w:rPr>
              <w:t>10%</w:t>
            </w:r>
          </w:p>
        </w:tc>
      </w:tr>
      <w:tr w14:paraId="254073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7" w:hRule="atLeast"/>
        </w:trPr>
        <w:tc>
          <w:tcPr>
            <w:tcW w:w="1250" w:type="dxa"/>
            <w:vMerge w:val="restart"/>
            <w:vAlign w:val="center"/>
          </w:tcPr>
          <w:p w14:paraId="4366A25F">
            <w:pPr>
              <w:pStyle w:val="7"/>
              <w:jc w:val="center"/>
              <w:rPr>
                <w:rFonts w:hint="eastAsia" w:ascii="仿宋" w:hAnsi="仿宋" w:eastAsia="仿宋" w:cs="Times New Roman"/>
              </w:rPr>
            </w:pPr>
            <w:r>
              <w:rPr>
                <w:rFonts w:hint="eastAsia" w:ascii="仿宋" w:hAnsi="仿宋" w:eastAsia="仿宋" w:cs="Times New Roman"/>
              </w:rPr>
              <w:t>产出指标</w:t>
            </w:r>
          </w:p>
        </w:tc>
        <w:tc>
          <w:tcPr>
            <w:tcW w:w="1387" w:type="dxa"/>
            <w:vAlign w:val="center"/>
          </w:tcPr>
          <w:p w14:paraId="536FF2E6">
            <w:pPr>
              <w:pStyle w:val="7"/>
              <w:jc w:val="center"/>
              <w:rPr>
                <w:rFonts w:hint="eastAsia" w:ascii="仿宋" w:hAnsi="仿宋" w:eastAsia="仿宋" w:cs="Times New Roman"/>
              </w:rPr>
            </w:pPr>
            <w:r>
              <w:rPr>
                <w:rFonts w:hint="eastAsia" w:ascii="仿宋" w:hAnsi="仿宋" w:eastAsia="仿宋" w:cs="Times New Roman"/>
              </w:rPr>
              <w:t>数量指标</w:t>
            </w:r>
          </w:p>
        </w:tc>
        <w:tc>
          <w:tcPr>
            <w:tcW w:w="1392" w:type="dxa"/>
            <w:vAlign w:val="center"/>
          </w:tcPr>
          <w:p w14:paraId="08C639F9">
            <w:pPr>
              <w:pStyle w:val="7"/>
              <w:jc w:val="center"/>
              <w:rPr>
                <w:rFonts w:hint="eastAsia" w:ascii="仿宋" w:hAnsi="仿宋" w:eastAsia="仿宋" w:cs="Times New Roman"/>
              </w:rPr>
            </w:pPr>
            <w:r>
              <w:rPr>
                <w:rFonts w:hint="eastAsia" w:ascii="仿宋" w:hAnsi="仿宋" w:eastAsia="仿宋" w:cs="Times New Roman"/>
              </w:rPr>
              <w:t>设备采购数量</w:t>
            </w:r>
          </w:p>
        </w:tc>
        <w:tc>
          <w:tcPr>
            <w:tcW w:w="1249" w:type="dxa"/>
            <w:vAlign w:val="center"/>
          </w:tcPr>
          <w:p w14:paraId="37AAC5D2">
            <w:pPr>
              <w:pStyle w:val="7"/>
              <w:jc w:val="center"/>
              <w:rPr>
                <w:rFonts w:hint="eastAsia" w:ascii="仿宋" w:hAnsi="仿宋" w:eastAsia="仿宋" w:cs="宋体"/>
              </w:rPr>
            </w:pPr>
            <w:r>
              <w:rPr>
                <w:rFonts w:hint="eastAsia" w:ascii="仿宋" w:hAnsi="仿宋" w:eastAsia="仿宋" w:cs="宋体"/>
              </w:rPr>
              <w:t>数据统计</w:t>
            </w:r>
          </w:p>
        </w:tc>
        <w:tc>
          <w:tcPr>
            <w:tcW w:w="1615" w:type="dxa"/>
            <w:vAlign w:val="center"/>
          </w:tcPr>
          <w:p w14:paraId="2D73E441">
            <w:pPr>
              <w:pStyle w:val="7"/>
              <w:jc w:val="center"/>
              <w:rPr>
                <w:rFonts w:hint="eastAsia" w:ascii="仿宋" w:hAnsi="仿宋" w:eastAsia="仿宋" w:cs="宋体"/>
              </w:rPr>
            </w:pPr>
            <w:r>
              <w:rPr>
                <w:rFonts w:hint="eastAsia" w:ascii="仿宋" w:hAnsi="仿宋" w:eastAsia="仿宋"/>
                <w:color w:val="000000"/>
              </w:rPr>
              <w:t>238套</w:t>
            </w:r>
          </w:p>
        </w:tc>
        <w:tc>
          <w:tcPr>
            <w:tcW w:w="1499" w:type="dxa"/>
            <w:vAlign w:val="center"/>
          </w:tcPr>
          <w:p w14:paraId="520858B8">
            <w:pPr>
              <w:pStyle w:val="7"/>
              <w:jc w:val="center"/>
              <w:rPr>
                <w:rFonts w:hint="eastAsia" w:ascii="仿宋" w:hAnsi="仿宋" w:eastAsia="仿宋"/>
                <w:color w:val="000000"/>
              </w:rPr>
            </w:pPr>
            <w:r>
              <w:rPr>
                <w:rFonts w:hint="eastAsia" w:ascii="仿宋" w:hAnsi="仿宋" w:eastAsia="仿宋"/>
                <w:color w:val="000000"/>
              </w:rPr>
              <w:t>15%</w:t>
            </w:r>
          </w:p>
        </w:tc>
      </w:tr>
      <w:tr w14:paraId="3C9BCE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6" w:hRule="atLeast"/>
        </w:trPr>
        <w:tc>
          <w:tcPr>
            <w:tcW w:w="1250" w:type="dxa"/>
            <w:vMerge w:val="continue"/>
            <w:vAlign w:val="center"/>
          </w:tcPr>
          <w:p w14:paraId="348E264A">
            <w:pPr>
              <w:pStyle w:val="7"/>
              <w:jc w:val="center"/>
              <w:rPr>
                <w:rFonts w:hint="eastAsia" w:ascii="仿宋" w:hAnsi="仿宋" w:eastAsia="仿宋" w:cs="Times New Roman"/>
              </w:rPr>
            </w:pPr>
          </w:p>
        </w:tc>
        <w:tc>
          <w:tcPr>
            <w:tcW w:w="1387" w:type="dxa"/>
            <w:vAlign w:val="center"/>
          </w:tcPr>
          <w:p w14:paraId="4C5FA22C">
            <w:pPr>
              <w:pStyle w:val="7"/>
              <w:jc w:val="center"/>
              <w:rPr>
                <w:rFonts w:hint="eastAsia" w:ascii="仿宋" w:hAnsi="仿宋" w:eastAsia="仿宋" w:cs="Times New Roman"/>
              </w:rPr>
            </w:pPr>
            <w:r>
              <w:rPr>
                <w:rFonts w:hint="eastAsia" w:ascii="仿宋" w:hAnsi="仿宋" w:eastAsia="仿宋" w:cs="Times New Roman"/>
              </w:rPr>
              <w:t>质量指标</w:t>
            </w:r>
          </w:p>
        </w:tc>
        <w:tc>
          <w:tcPr>
            <w:tcW w:w="1392" w:type="dxa"/>
            <w:vAlign w:val="center"/>
          </w:tcPr>
          <w:p w14:paraId="0BDD6228">
            <w:pPr>
              <w:pStyle w:val="7"/>
              <w:jc w:val="center"/>
              <w:rPr>
                <w:rFonts w:hint="eastAsia" w:ascii="仿宋" w:hAnsi="仿宋" w:eastAsia="仿宋" w:cs="Times New Roman"/>
              </w:rPr>
            </w:pPr>
            <w:r>
              <w:rPr>
                <w:rFonts w:hint="eastAsia" w:ascii="仿宋" w:hAnsi="仿宋" w:eastAsia="仿宋" w:cs="Times New Roman"/>
              </w:rPr>
              <w:t>设备验收合格率</w:t>
            </w:r>
          </w:p>
        </w:tc>
        <w:tc>
          <w:tcPr>
            <w:tcW w:w="1249" w:type="dxa"/>
            <w:vAlign w:val="center"/>
          </w:tcPr>
          <w:p w14:paraId="470B48C9">
            <w:pPr>
              <w:pStyle w:val="7"/>
              <w:jc w:val="center"/>
              <w:rPr>
                <w:rFonts w:hint="eastAsia" w:ascii="仿宋" w:hAnsi="仿宋" w:eastAsia="仿宋" w:cs="宋体"/>
              </w:rPr>
            </w:pPr>
            <w:r>
              <w:rPr>
                <w:rFonts w:hint="eastAsia" w:ascii="仿宋" w:hAnsi="仿宋" w:eastAsia="仿宋" w:cs="宋体"/>
              </w:rPr>
              <w:t>数据统计</w:t>
            </w:r>
          </w:p>
        </w:tc>
        <w:tc>
          <w:tcPr>
            <w:tcW w:w="1615" w:type="dxa"/>
            <w:vAlign w:val="center"/>
          </w:tcPr>
          <w:p w14:paraId="16F41FF6">
            <w:pPr>
              <w:pStyle w:val="7"/>
              <w:jc w:val="center"/>
              <w:rPr>
                <w:rFonts w:hint="eastAsia" w:ascii="仿宋" w:hAnsi="仿宋" w:eastAsia="仿宋" w:cs="宋体"/>
              </w:rPr>
            </w:pPr>
            <w:r>
              <w:rPr>
                <w:rFonts w:hint="eastAsia" w:ascii="仿宋" w:hAnsi="仿宋" w:eastAsia="仿宋"/>
                <w:color w:val="000000"/>
              </w:rPr>
              <w:t>100%</w:t>
            </w:r>
          </w:p>
        </w:tc>
        <w:tc>
          <w:tcPr>
            <w:tcW w:w="1499" w:type="dxa"/>
            <w:vAlign w:val="center"/>
          </w:tcPr>
          <w:p w14:paraId="2E7AEB26">
            <w:pPr>
              <w:pStyle w:val="7"/>
              <w:jc w:val="center"/>
              <w:rPr>
                <w:rFonts w:hint="eastAsia" w:ascii="仿宋" w:hAnsi="仿宋" w:eastAsia="仿宋"/>
                <w:color w:val="000000"/>
              </w:rPr>
            </w:pPr>
            <w:r>
              <w:rPr>
                <w:rFonts w:hint="eastAsia" w:ascii="仿宋" w:hAnsi="仿宋" w:eastAsia="仿宋"/>
                <w:color w:val="000000"/>
              </w:rPr>
              <w:t>15%</w:t>
            </w:r>
          </w:p>
        </w:tc>
      </w:tr>
      <w:tr w14:paraId="39940A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7" w:hRule="atLeast"/>
        </w:trPr>
        <w:tc>
          <w:tcPr>
            <w:tcW w:w="1250" w:type="dxa"/>
            <w:vMerge w:val="continue"/>
            <w:vAlign w:val="center"/>
          </w:tcPr>
          <w:p w14:paraId="405DFD77">
            <w:pPr>
              <w:pStyle w:val="7"/>
              <w:jc w:val="center"/>
              <w:rPr>
                <w:rFonts w:hint="eastAsia" w:ascii="仿宋" w:hAnsi="仿宋" w:eastAsia="仿宋" w:cs="Times New Roman"/>
              </w:rPr>
            </w:pPr>
          </w:p>
        </w:tc>
        <w:tc>
          <w:tcPr>
            <w:tcW w:w="1387" w:type="dxa"/>
            <w:vAlign w:val="center"/>
          </w:tcPr>
          <w:p w14:paraId="70D18DE0">
            <w:pPr>
              <w:pStyle w:val="7"/>
              <w:jc w:val="center"/>
              <w:rPr>
                <w:rFonts w:hint="eastAsia" w:ascii="仿宋" w:hAnsi="仿宋" w:eastAsia="仿宋" w:cs="Times New Roman"/>
              </w:rPr>
            </w:pPr>
            <w:r>
              <w:rPr>
                <w:rFonts w:hint="eastAsia" w:ascii="仿宋" w:hAnsi="仿宋" w:eastAsia="仿宋" w:cs="Times New Roman"/>
              </w:rPr>
              <w:t>时效指标</w:t>
            </w:r>
          </w:p>
        </w:tc>
        <w:tc>
          <w:tcPr>
            <w:tcW w:w="1392" w:type="dxa"/>
            <w:vAlign w:val="center"/>
          </w:tcPr>
          <w:p w14:paraId="323CCDCD">
            <w:pPr>
              <w:pStyle w:val="7"/>
              <w:jc w:val="center"/>
              <w:rPr>
                <w:rFonts w:hint="eastAsia" w:ascii="仿宋" w:hAnsi="仿宋" w:eastAsia="仿宋" w:cs="Times New Roman"/>
              </w:rPr>
            </w:pPr>
            <w:r>
              <w:rPr>
                <w:rFonts w:hint="eastAsia" w:ascii="仿宋" w:hAnsi="仿宋" w:eastAsia="仿宋" w:cs="Times New Roman"/>
              </w:rPr>
              <w:t>资金支付及时率</w:t>
            </w:r>
          </w:p>
        </w:tc>
        <w:tc>
          <w:tcPr>
            <w:tcW w:w="1249" w:type="dxa"/>
            <w:vAlign w:val="center"/>
          </w:tcPr>
          <w:p w14:paraId="61AFFC06">
            <w:pPr>
              <w:pStyle w:val="7"/>
              <w:jc w:val="center"/>
              <w:rPr>
                <w:rFonts w:hint="eastAsia" w:ascii="仿宋" w:hAnsi="仿宋" w:eastAsia="仿宋" w:cs="宋体"/>
              </w:rPr>
            </w:pPr>
            <w:r>
              <w:rPr>
                <w:rFonts w:hint="eastAsia" w:ascii="仿宋" w:hAnsi="仿宋" w:eastAsia="仿宋" w:cs="宋体"/>
              </w:rPr>
              <w:t>数据统计</w:t>
            </w:r>
          </w:p>
        </w:tc>
        <w:tc>
          <w:tcPr>
            <w:tcW w:w="1615" w:type="dxa"/>
            <w:vAlign w:val="center"/>
          </w:tcPr>
          <w:p w14:paraId="3764681E">
            <w:pPr>
              <w:pStyle w:val="7"/>
              <w:jc w:val="center"/>
              <w:rPr>
                <w:rFonts w:hint="eastAsia" w:ascii="仿宋" w:hAnsi="仿宋" w:eastAsia="仿宋" w:cs="宋体"/>
              </w:rPr>
            </w:pPr>
            <w:r>
              <w:rPr>
                <w:rFonts w:hint="eastAsia" w:ascii="仿宋" w:hAnsi="仿宋" w:eastAsia="仿宋"/>
                <w:color w:val="000000"/>
              </w:rPr>
              <w:t>90%</w:t>
            </w:r>
          </w:p>
        </w:tc>
        <w:tc>
          <w:tcPr>
            <w:tcW w:w="1499" w:type="dxa"/>
            <w:vAlign w:val="center"/>
          </w:tcPr>
          <w:p w14:paraId="21FB1CFE">
            <w:pPr>
              <w:pStyle w:val="7"/>
              <w:jc w:val="center"/>
              <w:rPr>
                <w:rFonts w:hint="eastAsia" w:ascii="仿宋" w:hAnsi="仿宋" w:eastAsia="仿宋"/>
                <w:color w:val="000000"/>
              </w:rPr>
            </w:pPr>
            <w:r>
              <w:rPr>
                <w:rFonts w:hint="eastAsia" w:ascii="仿宋" w:hAnsi="仿宋" w:eastAsia="仿宋"/>
                <w:color w:val="000000"/>
              </w:rPr>
              <w:t>10%</w:t>
            </w:r>
          </w:p>
        </w:tc>
      </w:tr>
      <w:tr w14:paraId="406BA0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3" w:hRule="atLeast"/>
        </w:trPr>
        <w:tc>
          <w:tcPr>
            <w:tcW w:w="1250" w:type="dxa"/>
            <w:vAlign w:val="center"/>
          </w:tcPr>
          <w:p w14:paraId="7F6F1BBB">
            <w:pPr>
              <w:pStyle w:val="7"/>
              <w:jc w:val="center"/>
              <w:rPr>
                <w:rFonts w:hint="eastAsia" w:ascii="仿宋" w:hAnsi="仿宋" w:eastAsia="仿宋" w:cs="Times New Roman"/>
              </w:rPr>
            </w:pPr>
            <w:r>
              <w:rPr>
                <w:rFonts w:hint="eastAsia" w:ascii="仿宋" w:hAnsi="仿宋" w:eastAsia="仿宋" w:cs="Times New Roman"/>
              </w:rPr>
              <w:t>效益指标</w:t>
            </w:r>
          </w:p>
        </w:tc>
        <w:tc>
          <w:tcPr>
            <w:tcW w:w="1387" w:type="dxa"/>
            <w:vAlign w:val="center"/>
          </w:tcPr>
          <w:p w14:paraId="6487DD27">
            <w:pPr>
              <w:pStyle w:val="7"/>
              <w:jc w:val="center"/>
              <w:rPr>
                <w:rFonts w:hint="eastAsia" w:ascii="仿宋" w:hAnsi="仿宋" w:eastAsia="仿宋" w:cs="Times New Roman"/>
              </w:rPr>
            </w:pPr>
            <w:r>
              <w:rPr>
                <w:rFonts w:hint="eastAsia" w:ascii="仿宋" w:hAnsi="仿宋" w:eastAsia="仿宋" w:cs="Times New Roman"/>
              </w:rPr>
              <w:t>社会效益指标</w:t>
            </w:r>
          </w:p>
        </w:tc>
        <w:tc>
          <w:tcPr>
            <w:tcW w:w="1392" w:type="dxa"/>
            <w:vAlign w:val="center"/>
          </w:tcPr>
          <w:p w14:paraId="4B3C03B3">
            <w:pPr>
              <w:pStyle w:val="7"/>
              <w:jc w:val="center"/>
              <w:rPr>
                <w:rFonts w:hint="eastAsia" w:ascii="仿宋" w:hAnsi="仿宋" w:eastAsia="仿宋" w:cs="Times New Roman"/>
              </w:rPr>
            </w:pPr>
            <w:r>
              <w:rPr>
                <w:rFonts w:hint="eastAsia" w:ascii="仿宋" w:hAnsi="仿宋" w:eastAsia="仿宋" w:cs="Times New Roman"/>
              </w:rPr>
              <w:t>提高办学条件，逐步提高教学质量</w:t>
            </w:r>
          </w:p>
        </w:tc>
        <w:tc>
          <w:tcPr>
            <w:tcW w:w="1249" w:type="dxa"/>
            <w:vAlign w:val="center"/>
          </w:tcPr>
          <w:p w14:paraId="5866BE65">
            <w:pPr>
              <w:pStyle w:val="7"/>
              <w:jc w:val="center"/>
              <w:rPr>
                <w:rFonts w:hint="eastAsia" w:ascii="仿宋" w:hAnsi="仿宋" w:eastAsia="仿宋" w:cs="Times New Roman"/>
              </w:rPr>
            </w:pPr>
            <w:r>
              <w:rPr>
                <w:rFonts w:hint="eastAsia" w:ascii="仿宋" w:hAnsi="仿宋" w:eastAsia="仿宋" w:cs="Times New Roman"/>
              </w:rPr>
              <w:t>定性分析</w:t>
            </w:r>
          </w:p>
        </w:tc>
        <w:tc>
          <w:tcPr>
            <w:tcW w:w="1615" w:type="dxa"/>
            <w:vAlign w:val="center"/>
          </w:tcPr>
          <w:p w14:paraId="78A316C2">
            <w:pPr>
              <w:pStyle w:val="7"/>
              <w:jc w:val="center"/>
              <w:rPr>
                <w:rFonts w:hint="eastAsia" w:ascii="仿宋" w:hAnsi="仿宋" w:eastAsia="仿宋" w:cs="Times New Roman"/>
              </w:rPr>
            </w:pPr>
            <w:r>
              <w:rPr>
                <w:rFonts w:hint="eastAsia" w:ascii="仿宋" w:hAnsi="仿宋" w:eastAsia="仿宋" w:cs="Times New Roman"/>
              </w:rPr>
              <w:t>提高办学条件，逐步提高教学质量</w:t>
            </w:r>
          </w:p>
        </w:tc>
        <w:tc>
          <w:tcPr>
            <w:tcW w:w="1499" w:type="dxa"/>
            <w:vAlign w:val="center"/>
          </w:tcPr>
          <w:p w14:paraId="23AD0A2A">
            <w:pPr>
              <w:pStyle w:val="7"/>
              <w:jc w:val="center"/>
              <w:rPr>
                <w:rFonts w:hint="eastAsia" w:ascii="仿宋" w:hAnsi="仿宋" w:eastAsia="仿宋"/>
                <w:color w:val="000000"/>
              </w:rPr>
            </w:pPr>
            <w:r>
              <w:rPr>
                <w:rFonts w:hint="eastAsia" w:ascii="仿宋" w:hAnsi="仿宋" w:eastAsia="仿宋"/>
                <w:color w:val="000000"/>
              </w:rPr>
              <w:t>30%</w:t>
            </w:r>
          </w:p>
        </w:tc>
      </w:tr>
      <w:tr w14:paraId="0181D0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1" w:hRule="atLeast"/>
        </w:trPr>
        <w:tc>
          <w:tcPr>
            <w:tcW w:w="1250" w:type="dxa"/>
            <w:vAlign w:val="center"/>
          </w:tcPr>
          <w:p w14:paraId="7BEB1F00">
            <w:pPr>
              <w:pStyle w:val="7"/>
              <w:jc w:val="center"/>
              <w:rPr>
                <w:rFonts w:hint="eastAsia" w:ascii="仿宋" w:hAnsi="仿宋" w:eastAsia="仿宋" w:cs="Times New Roman"/>
              </w:rPr>
            </w:pPr>
            <w:r>
              <w:rPr>
                <w:rFonts w:hint="eastAsia" w:ascii="仿宋" w:hAnsi="仿宋" w:eastAsia="仿宋" w:cs="Times New Roman"/>
              </w:rPr>
              <w:t>满意度指标</w:t>
            </w:r>
          </w:p>
        </w:tc>
        <w:tc>
          <w:tcPr>
            <w:tcW w:w="1387" w:type="dxa"/>
            <w:vAlign w:val="center"/>
          </w:tcPr>
          <w:p w14:paraId="06113D5D">
            <w:pPr>
              <w:pStyle w:val="7"/>
              <w:jc w:val="center"/>
              <w:rPr>
                <w:rFonts w:hint="eastAsia" w:ascii="仿宋" w:hAnsi="仿宋" w:eastAsia="仿宋" w:cs="Times New Roman"/>
              </w:rPr>
            </w:pPr>
            <w:r>
              <w:rPr>
                <w:rFonts w:hint="eastAsia" w:ascii="仿宋" w:hAnsi="仿宋" w:eastAsia="仿宋" w:cs="Times New Roman"/>
              </w:rPr>
              <w:t>服务对象满意度指标</w:t>
            </w:r>
          </w:p>
        </w:tc>
        <w:tc>
          <w:tcPr>
            <w:tcW w:w="1392" w:type="dxa"/>
            <w:vAlign w:val="center"/>
          </w:tcPr>
          <w:p w14:paraId="5E6BBDB9">
            <w:pPr>
              <w:pStyle w:val="7"/>
              <w:jc w:val="center"/>
              <w:rPr>
                <w:rFonts w:hint="eastAsia" w:ascii="仿宋" w:hAnsi="仿宋" w:eastAsia="仿宋" w:cs="Times New Roman"/>
              </w:rPr>
            </w:pPr>
            <w:r>
              <w:rPr>
                <w:rFonts w:hint="eastAsia" w:ascii="仿宋" w:hAnsi="仿宋" w:eastAsia="仿宋" w:cs="Times New Roman"/>
              </w:rPr>
              <w:t>学校满意度</w:t>
            </w:r>
          </w:p>
        </w:tc>
        <w:tc>
          <w:tcPr>
            <w:tcW w:w="1249" w:type="dxa"/>
            <w:vAlign w:val="center"/>
          </w:tcPr>
          <w:p w14:paraId="665A5119">
            <w:pPr>
              <w:pStyle w:val="7"/>
              <w:jc w:val="center"/>
              <w:rPr>
                <w:rFonts w:hint="eastAsia" w:ascii="仿宋" w:hAnsi="仿宋" w:eastAsia="仿宋" w:cs="Times New Roman"/>
              </w:rPr>
            </w:pPr>
            <w:r>
              <w:rPr>
                <w:rFonts w:hint="eastAsia" w:ascii="仿宋" w:hAnsi="仿宋" w:eastAsia="仿宋" w:cs="Times New Roman"/>
              </w:rPr>
              <w:t>问卷调查</w:t>
            </w:r>
          </w:p>
        </w:tc>
        <w:tc>
          <w:tcPr>
            <w:tcW w:w="1615" w:type="dxa"/>
            <w:vAlign w:val="center"/>
          </w:tcPr>
          <w:p w14:paraId="31E625B1">
            <w:pPr>
              <w:pStyle w:val="7"/>
              <w:jc w:val="center"/>
              <w:rPr>
                <w:rFonts w:hint="eastAsia" w:ascii="仿宋" w:hAnsi="仿宋" w:eastAsia="仿宋" w:cs="Times New Roman"/>
              </w:rPr>
            </w:pPr>
            <w:r>
              <w:rPr>
                <w:rFonts w:hint="eastAsia" w:ascii="仿宋" w:hAnsi="仿宋" w:eastAsia="仿宋" w:cs="Times New Roman"/>
              </w:rPr>
              <w:t>90%</w:t>
            </w:r>
          </w:p>
        </w:tc>
        <w:tc>
          <w:tcPr>
            <w:tcW w:w="1499" w:type="dxa"/>
            <w:vAlign w:val="center"/>
          </w:tcPr>
          <w:p w14:paraId="6540C992">
            <w:pPr>
              <w:pStyle w:val="7"/>
              <w:jc w:val="center"/>
              <w:rPr>
                <w:rFonts w:hint="eastAsia" w:ascii="仿宋" w:hAnsi="仿宋" w:eastAsia="仿宋"/>
                <w:color w:val="000000"/>
              </w:rPr>
            </w:pPr>
            <w:r>
              <w:rPr>
                <w:rFonts w:hint="eastAsia" w:ascii="仿宋" w:hAnsi="仿宋" w:eastAsia="仿宋"/>
                <w:color w:val="000000"/>
              </w:rPr>
              <w:t>10%</w:t>
            </w:r>
          </w:p>
        </w:tc>
      </w:tr>
    </w:tbl>
    <w:p w14:paraId="6C348F2E">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3.资金投入（</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6分，得分6分）</w:t>
      </w:r>
    </w:p>
    <w:p w14:paraId="3765CCD3">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（1）预算编制科学性（</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4分，得分</w:t>
      </w:r>
      <w:r>
        <w:rPr>
          <w:rFonts w:hint="eastAsia" w:ascii="仿宋_GB2312" w:hAnsi="Times New Roman" w:eastAsia="仿宋_GB2312" w:cs="Times New Roman"/>
          <w:sz w:val="24"/>
        </w:rPr>
        <w:t>4</w:t>
      </w:r>
      <w:r>
        <w:rPr>
          <w:rFonts w:hint="eastAsia" w:ascii="仿宋_GB2312" w:hAnsi="Times New Roman" w:eastAsia="仿宋_GB2312" w:cs="Times New Roman"/>
          <w:sz w:val="24"/>
          <w:lang w:val="zh-CN"/>
        </w:rPr>
        <w:t>分）</w:t>
      </w:r>
    </w:p>
    <w:p w14:paraId="576F9C6F">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2024年石狮市中小学班级多媒体教学设备全覆盖工程项目预算指标值为471.2400万元，</w:t>
      </w:r>
      <w:r>
        <w:rPr>
          <w:rFonts w:ascii="仿宋_GB2312" w:hAnsi="Times New Roman" w:eastAsia="仿宋_GB2312" w:cs="Times New Roman"/>
          <w:sz w:val="24"/>
        </w:rPr>
        <w:t>通过全面摸排确认</w:t>
      </w:r>
      <w:r>
        <w:rPr>
          <w:rFonts w:hint="eastAsia" w:ascii="仿宋_GB2312" w:hAnsi="Times New Roman" w:eastAsia="仿宋_GB2312" w:cs="Times New Roman"/>
          <w:sz w:val="24"/>
        </w:rPr>
        <w:t>需要采购的多媒体</w:t>
      </w:r>
      <w:r>
        <w:rPr>
          <w:rFonts w:ascii="仿宋_GB2312" w:hAnsi="Times New Roman" w:eastAsia="仿宋_GB2312" w:cs="Times New Roman"/>
          <w:sz w:val="24"/>
        </w:rPr>
        <w:t>设备数量，</w:t>
      </w:r>
      <w:r>
        <w:rPr>
          <w:rFonts w:hint="eastAsia" w:ascii="仿宋_GB2312" w:hAnsi="Times New Roman" w:eastAsia="仿宋_GB2312" w:cs="Times New Roman"/>
          <w:sz w:val="24"/>
        </w:rPr>
        <w:t>再</w:t>
      </w:r>
      <w:r>
        <w:rPr>
          <w:rFonts w:ascii="仿宋_GB2312" w:hAnsi="Times New Roman" w:eastAsia="仿宋_GB2312" w:cs="Times New Roman"/>
          <w:sz w:val="24"/>
        </w:rPr>
        <w:t>通过事前询价确定底标价，采用先市场询价后</w:t>
      </w:r>
      <w:r>
        <w:rPr>
          <w:rFonts w:hint="eastAsia" w:ascii="仿宋_GB2312" w:hAnsi="Times New Roman" w:eastAsia="仿宋_GB2312" w:cs="Times New Roman"/>
          <w:sz w:val="24"/>
        </w:rPr>
        <w:t>公开招标的形式</w:t>
      </w:r>
      <w:r>
        <w:rPr>
          <w:rFonts w:ascii="仿宋_GB2312" w:hAnsi="Times New Roman" w:eastAsia="仿宋_GB2312" w:cs="Times New Roman"/>
          <w:sz w:val="24"/>
        </w:rPr>
        <w:t>，确保预算金额与设备配置标准相匹配；</w:t>
      </w:r>
      <w:r>
        <w:rPr>
          <w:rFonts w:hint="eastAsia" w:ascii="仿宋_GB2312" w:hAnsi="Times New Roman" w:eastAsia="仿宋_GB2312" w:cs="Times New Roman"/>
          <w:sz w:val="24"/>
        </w:rPr>
        <w:t>该项目落实</w:t>
      </w:r>
      <w:r>
        <w:rPr>
          <w:rFonts w:ascii="仿宋_GB2312" w:hAnsi="Times New Roman" w:eastAsia="仿宋_GB2312" w:cs="Times New Roman"/>
          <w:sz w:val="24"/>
        </w:rPr>
        <w:t>严格遵循"省级补助+市级配套"的筹资方案</w:t>
      </w:r>
      <w:r>
        <w:rPr>
          <w:rFonts w:hint="eastAsia" w:ascii="仿宋_GB2312" w:hAnsi="Times New Roman" w:eastAsia="仿宋_GB2312" w:cs="Times New Roman"/>
          <w:sz w:val="24"/>
        </w:rPr>
        <w:t>，</w:t>
      </w:r>
      <w:r>
        <w:rPr>
          <w:rFonts w:ascii="仿宋_GB2312" w:hAnsi="Times New Roman" w:eastAsia="仿宋_GB2312" w:cs="Times New Roman"/>
          <w:sz w:val="24"/>
        </w:rPr>
        <w:t>来源明确且符合财政管理规定</w:t>
      </w:r>
      <w:r>
        <w:rPr>
          <w:rFonts w:hint="eastAsia" w:ascii="仿宋_GB2312" w:hAnsi="Times New Roman" w:eastAsia="仿宋_GB2312" w:cs="Times New Roman"/>
          <w:sz w:val="24"/>
        </w:rPr>
        <w:t>。</w:t>
      </w:r>
      <w:r>
        <w:rPr>
          <w:rFonts w:ascii="仿宋_GB2312" w:hAnsi="Times New Roman" w:eastAsia="仿宋_GB2312" w:cs="Times New Roman"/>
          <w:sz w:val="24"/>
        </w:rPr>
        <w:t>经核查，该项目预算编制程序规范，测算依据充分，资金分配合理，完全符合《项目支出绩效评价管理办法》相关要求，故该项指标得满分4分。</w:t>
      </w:r>
    </w:p>
    <w:p w14:paraId="6FD129BC">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（2）资金分配合理性（</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2分，得分</w:t>
      </w:r>
      <w:r>
        <w:rPr>
          <w:rFonts w:hint="eastAsia" w:ascii="仿宋_GB2312" w:hAnsi="Times New Roman" w:eastAsia="仿宋_GB2312" w:cs="Times New Roman"/>
          <w:sz w:val="24"/>
        </w:rPr>
        <w:t>2</w:t>
      </w:r>
      <w:r>
        <w:rPr>
          <w:rFonts w:hint="eastAsia" w:ascii="仿宋_GB2312" w:hAnsi="Times New Roman" w:eastAsia="仿宋_GB2312" w:cs="Times New Roman"/>
          <w:sz w:val="24"/>
          <w:lang w:val="zh-CN"/>
        </w:rPr>
        <w:t>分）</w:t>
      </w:r>
    </w:p>
    <w:p w14:paraId="463B0237">
      <w:pPr>
        <w:spacing w:line="360" w:lineRule="auto"/>
        <w:ind w:firstLine="480" w:firstLineChars="200"/>
        <w:rPr>
          <w:rFonts w:hint="eastAsia" w:ascii="仿宋" w:hAnsi="仿宋" w:eastAsia="仿宋" w:cs="Times New Roman"/>
          <w:sz w:val="24"/>
          <w:lang w:val="zh-CN"/>
        </w:rPr>
      </w:pPr>
      <w:r>
        <w:rPr>
          <w:rFonts w:hint="eastAsia" w:ascii="仿宋" w:hAnsi="仿宋" w:eastAsia="仿宋" w:cs="Times New Roman"/>
          <w:sz w:val="24"/>
        </w:rPr>
        <w:t>2024年石狮市中小学班级多媒体教学设备全覆盖工程项目的资金分配与工作任务基本相匹配，资金分配额度基本合理。指标可得满分。</w:t>
      </w:r>
    </w:p>
    <w:p w14:paraId="60D0C7A1">
      <w:pPr>
        <w:spacing w:line="360" w:lineRule="auto"/>
        <w:ind w:firstLine="482" w:firstLineChars="200"/>
        <w:outlineLvl w:val="1"/>
        <w:rPr>
          <w:rFonts w:hint="eastAsia" w:ascii="仿宋" w:hAnsi="仿宋" w:eastAsia="仿宋" w:cs="Times New Roman"/>
          <w:sz w:val="24"/>
          <w:lang w:val="zh-CN"/>
        </w:rPr>
      </w:pPr>
      <w:bookmarkStart w:id="43" w:name="_Toc184981068"/>
      <w:bookmarkStart w:id="44" w:name="_Toc184981306"/>
      <w:bookmarkStart w:id="45" w:name="_Toc7228"/>
      <w:bookmarkStart w:id="46" w:name="_Toc205940239"/>
      <w:r>
        <w:rPr>
          <w:rFonts w:hint="eastAsia" w:ascii="仿宋" w:hAnsi="仿宋" w:eastAsia="仿宋" w:cs="Times New Roman"/>
          <w:b/>
          <w:bCs/>
          <w:sz w:val="24"/>
        </w:rPr>
        <w:t>（二）项目过程情况</w:t>
      </w:r>
      <w:bookmarkEnd w:id="43"/>
      <w:bookmarkEnd w:id="44"/>
      <w:r>
        <w:rPr>
          <w:rFonts w:hint="eastAsia" w:ascii="仿宋" w:hAnsi="仿宋" w:eastAsia="仿宋" w:cs="Times New Roman"/>
          <w:b/>
          <w:bCs/>
          <w:sz w:val="24"/>
          <w:lang w:val="zh-CN"/>
        </w:rPr>
        <w:t>（</w:t>
      </w:r>
      <w:r>
        <w:rPr>
          <w:rFonts w:hint="eastAsia" w:ascii="仿宋" w:hAnsi="仿宋" w:eastAsia="仿宋" w:cs="Times New Roman"/>
          <w:b/>
          <w:bCs/>
          <w:sz w:val="24"/>
        </w:rPr>
        <w:t>分值</w:t>
      </w:r>
      <w:r>
        <w:rPr>
          <w:rFonts w:hint="eastAsia" w:ascii="仿宋" w:hAnsi="仿宋" w:eastAsia="仿宋" w:cs="Times New Roman"/>
          <w:b/>
          <w:bCs/>
          <w:sz w:val="24"/>
          <w:lang w:val="zh-CN"/>
        </w:rPr>
        <w:t>22分，得分</w:t>
      </w:r>
      <w:r>
        <w:rPr>
          <w:rFonts w:hint="eastAsia" w:ascii="仿宋" w:hAnsi="仿宋" w:eastAsia="仿宋" w:cs="Times New Roman"/>
          <w:b/>
          <w:bCs/>
          <w:sz w:val="24"/>
          <w:lang w:val="en-US" w:eastAsia="zh-CN"/>
        </w:rPr>
        <w:t>20</w:t>
      </w:r>
      <w:r>
        <w:rPr>
          <w:rFonts w:hint="eastAsia" w:ascii="仿宋" w:hAnsi="仿宋" w:eastAsia="仿宋" w:cs="Times New Roman"/>
          <w:b/>
          <w:bCs/>
          <w:sz w:val="24"/>
          <w:lang w:val="zh-CN"/>
        </w:rPr>
        <w:t>分）</w:t>
      </w:r>
      <w:bookmarkEnd w:id="45"/>
      <w:bookmarkEnd w:id="46"/>
    </w:p>
    <w:p w14:paraId="4487488D">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1.资金管理（</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9分，得分</w:t>
      </w:r>
      <w:r>
        <w:rPr>
          <w:rFonts w:hint="eastAsia" w:ascii="仿宋_GB2312" w:hAnsi="Times New Roman" w:eastAsia="仿宋_GB2312" w:cs="Times New Roman"/>
          <w:sz w:val="24"/>
        </w:rPr>
        <w:t>9</w:t>
      </w:r>
      <w:r>
        <w:rPr>
          <w:rFonts w:hint="eastAsia" w:ascii="仿宋_GB2312" w:hAnsi="Times New Roman" w:eastAsia="仿宋_GB2312" w:cs="Times New Roman"/>
          <w:sz w:val="24"/>
          <w:lang w:val="zh-CN"/>
        </w:rPr>
        <w:t>分）</w:t>
      </w:r>
    </w:p>
    <w:p w14:paraId="14F713A1">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（1）预算执行率（</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3分，得分3分）</w:t>
      </w:r>
    </w:p>
    <w:p w14:paraId="65B8C920">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预算执行率”指标用于考察项目实施年度财政资金预算执行率，预算执行率=实际支出资金/实际到位资金×100%。2024年石狮市中小学班级多媒体教学设备全覆盖工程项目实际资金合计469.3360万元，省级补助下达85万元，市财政下达384.3360万元，至2024年年末已全部使用完毕，预算执行率100%。根据评分标准，该项指标得满分3分。</w:t>
      </w:r>
    </w:p>
    <w:p w14:paraId="7D08AEF5">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（2）资金使用合规性（</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3分，得分</w:t>
      </w:r>
      <w:r>
        <w:rPr>
          <w:rFonts w:hint="eastAsia" w:ascii="仿宋_GB2312" w:hAnsi="Times New Roman" w:eastAsia="仿宋_GB2312" w:cs="Times New Roman"/>
          <w:sz w:val="24"/>
        </w:rPr>
        <w:t>3</w:t>
      </w:r>
      <w:r>
        <w:rPr>
          <w:rFonts w:hint="eastAsia" w:ascii="仿宋_GB2312" w:hAnsi="Times New Roman" w:eastAsia="仿宋_GB2312" w:cs="Times New Roman"/>
          <w:sz w:val="24"/>
          <w:lang w:val="zh-CN"/>
        </w:rPr>
        <w:t>分）</w:t>
      </w:r>
    </w:p>
    <w:p w14:paraId="512CE124">
      <w:pPr>
        <w:spacing w:line="360" w:lineRule="auto"/>
        <w:ind w:firstLine="480" w:firstLineChars="200"/>
        <w:rPr>
          <w:rFonts w:hint="eastAsia" w:ascii="仿宋" w:hAnsi="仿宋" w:eastAsia="仿宋" w:cs="Times New Roman"/>
          <w:sz w:val="24"/>
          <w:lang w:val="zh-CN"/>
        </w:rPr>
      </w:pPr>
      <w:r>
        <w:rPr>
          <w:rFonts w:hint="eastAsia" w:ascii="仿宋_GB2312" w:hAnsi="Times New Roman" w:eastAsia="仿宋_GB2312" w:cs="Times New Roman"/>
          <w:sz w:val="24"/>
          <w:lang w:val="zh-CN"/>
        </w:rPr>
        <w:t>“资金使用合规性”指标用于评价资金使用是否违规。工作组通过对石狮</w:t>
      </w:r>
      <w:r>
        <w:rPr>
          <w:rFonts w:hint="eastAsia" w:ascii="仿宋" w:hAnsi="仿宋" w:eastAsia="仿宋" w:cs="Times New Roman"/>
          <w:sz w:val="24"/>
          <w:lang w:val="zh-CN"/>
        </w:rPr>
        <w:t>市中小学班级多媒体教学设备全覆盖工程项目的拨付、使用情况等基本数据的了解，并实地抽查项目相关的支出材料，资金使用符合项目立项批复文件中列明的建设范围和使用用途，资金拨付有完整的审批程序和手续。该指标不扣分,得满分3分。</w:t>
      </w:r>
    </w:p>
    <w:p w14:paraId="41C610E6">
      <w:pPr>
        <w:spacing w:line="360" w:lineRule="auto"/>
        <w:ind w:firstLine="480" w:firstLineChars="200"/>
        <w:rPr>
          <w:rFonts w:hint="eastAsia" w:ascii="仿宋" w:hAnsi="仿宋" w:eastAsia="仿宋" w:cs="Times New Roman"/>
          <w:sz w:val="24"/>
          <w:lang w:val="zh-CN"/>
        </w:rPr>
      </w:pPr>
      <w:r>
        <w:rPr>
          <w:rFonts w:hint="eastAsia" w:ascii="仿宋" w:hAnsi="仿宋" w:eastAsia="仿宋" w:cs="Times New Roman"/>
          <w:sz w:val="24"/>
          <w:lang w:val="zh-CN"/>
        </w:rPr>
        <w:t>（3）资金到位率（</w:t>
      </w:r>
      <w:r>
        <w:rPr>
          <w:rFonts w:hint="eastAsia" w:ascii="仿宋" w:hAnsi="仿宋" w:eastAsia="仿宋" w:cs="Times New Roman"/>
          <w:sz w:val="24"/>
        </w:rPr>
        <w:t>分值</w:t>
      </w:r>
      <w:r>
        <w:rPr>
          <w:rFonts w:hint="eastAsia" w:ascii="仿宋" w:hAnsi="仿宋" w:eastAsia="仿宋" w:cs="Times New Roman"/>
          <w:sz w:val="24"/>
          <w:lang w:val="zh-CN"/>
        </w:rPr>
        <w:t>3分，得分</w:t>
      </w:r>
      <w:r>
        <w:rPr>
          <w:rFonts w:hint="eastAsia" w:ascii="仿宋" w:hAnsi="仿宋" w:eastAsia="仿宋" w:cs="Times New Roman"/>
          <w:sz w:val="24"/>
        </w:rPr>
        <w:t>3</w:t>
      </w:r>
      <w:r>
        <w:rPr>
          <w:rFonts w:hint="eastAsia" w:ascii="仿宋" w:hAnsi="仿宋" w:eastAsia="仿宋" w:cs="Times New Roman"/>
          <w:sz w:val="24"/>
          <w:lang w:val="zh-CN"/>
        </w:rPr>
        <w:t>分）</w:t>
      </w:r>
    </w:p>
    <w:p w14:paraId="668313D4">
      <w:pPr>
        <w:spacing w:line="360" w:lineRule="auto"/>
        <w:ind w:firstLine="480" w:firstLineChars="200"/>
        <w:rPr>
          <w:rFonts w:hint="eastAsia" w:ascii="仿宋" w:hAnsi="仿宋" w:eastAsia="仿宋" w:cs="Times New Roman"/>
          <w:sz w:val="24"/>
          <w:lang w:val="zh-CN"/>
        </w:rPr>
      </w:pPr>
      <w:r>
        <w:rPr>
          <w:rFonts w:hint="eastAsia" w:ascii="仿宋" w:hAnsi="仿宋" w:eastAsia="仿宋" w:cs="Times New Roman"/>
          <w:sz w:val="24"/>
          <w:lang w:val="zh-CN"/>
        </w:rPr>
        <w:t>“资金到位率”用于评价项目实施年度财政资金到位情况。</w:t>
      </w:r>
      <w:r>
        <w:rPr>
          <w:rFonts w:hint="eastAsia" w:ascii="仿宋" w:hAnsi="仿宋" w:eastAsia="仿宋" w:cs="Times New Roman"/>
          <w:sz w:val="24"/>
        </w:rPr>
        <w:t>2024年石狮市中小学班级多媒体教学设备全覆盖工程项目</w:t>
      </w:r>
      <w:r>
        <w:rPr>
          <w:rFonts w:hint="eastAsia" w:ascii="仿宋" w:hAnsi="仿宋" w:eastAsia="仿宋" w:cs="Times New Roman"/>
          <w:sz w:val="24"/>
          <w:lang w:val="zh-CN"/>
        </w:rPr>
        <w:t>计划投入资金</w:t>
      </w:r>
      <w:bookmarkStart w:id="47" w:name="_Hlk204547270"/>
      <w:r>
        <w:rPr>
          <w:rFonts w:ascii="仿宋" w:hAnsi="仿宋" w:eastAsia="仿宋" w:cs="Times New Roman"/>
          <w:sz w:val="24"/>
          <w:lang w:val="zh-CN"/>
        </w:rPr>
        <w:t>469</w:t>
      </w:r>
      <w:r>
        <w:rPr>
          <w:rFonts w:hint="eastAsia" w:ascii="仿宋" w:hAnsi="仿宋" w:eastAsia="仿宋" w:cs="Times New Roman"/>
          <w:sz w:val="24"/>
          <w:lang w:val="zh-CN"/>
        </w:rPr>
        <w:t>.</w:t>
      </w:r>
      <w:r>
        <w:rPr>
          <w:rFonts w:ascii="仿宋" w:hAnsi="仿宋" w:eastAsia="仿宋" w:cs="Times New Roman"/>
          <w:sz w:val="24"/>
          <w:lang w:val="zh-CN"/>
        </w:rPr>
        <w:t>336</w:t>
      </w:r>
      <w:r>
        <w:rPr>
          <w:rFonts w:hint="eastAsia" w:ascii="仿宋" w:hAnsi="仿宋" w:eastAsia="仿宋" w:cs="Times New Roman"/>
          <w:sz w:val="24"/>
          <w:lang w:val="zh-CN"/>
        </w:rPr>
        <w:t>0</w:t>
      </w:r>
      <w:bookmarkEnd w:id="47"/>
      <w:r>
        <w:rPr>
          <w:rFonts w:hint="eastAsia" w:ascii="仿宋" w:hAnsi="仿宋" w:eastAsia="仿宋" w:cs="Times New Roman"/>
          <w:sz w:val="24"/>
          <w:lang w:val="zh-CN"/>
        </w:rPr>
        <w:t>万元，实际到位</w:t>
      </w:r>
      <w:r>
        <w:rPr>
          <w:rFonts w:ascii="仿宋" w:hAnsi="仿宋" w:eastAsia="仿宋" w:cs="Times New Roman"/>
          <w:sz w:val="24"/>
          <w:lang w:val="zh-CN"/>
        </w:rPr>
        <w:t>469</w:t>
      </w:r>
      <w:r>
        <w:rPr>
          <w:rFonts w:hint="eastAsia" w:ascii="仿宋" w:hAnsi="仿宋" w:eastAsia="仿宋" w:cs="Times New Roman"/>
          <w:sz w:val="24"/>
          <w:lang w:val="zh-CN"/>
        </w:rPr>
        <w:t>.</w:t>
      </w:r>
      <w:r>
        <w:rPr>
          <w:rFonts w:ascii="仿宋" w:hAnsi="仿宋" w:eastAsia="仿宋" w:cs="Times New Roman"/>
          <w:sz w:val="24"/>
          <w:lang w:val="zh-CN"/>
        </w:rPr>
        <w:t>336</w:t>
      </w:r>
      <w:r>
        <w:rPr>
          <w:rFonts w:hint="eastAsia" w:ascii="仿宋" w:hAnsi="仿宋" w:eastAsia="仿宋" w:cs="Times New Roman"/>
          <w:sz w:val="24"/>
          <w:lang w:val="zh-CN"/>
        </w:rPr>
        <w:t>0元，资金到位率100%。该指标</w:t>
      </w:r>
      <w:r>
        <w:rPr>
          <w:rFonts w:hint="eastAsia" w:ascii="仿宋" w:hAnsi="仿宋" w:eastAsia="仿宋" w:cs="Times New Roman"/>
          <w:sz w:val="24"/>
        </w:rPr>
        <w:t>不扣分</w:t>
      </w:r>
      <w:r>
        <w:rPr>
          <w:rFonts w:hint="eastAsia" w:ascii="仿宋" w:hAnsi="仿宋" w:eastAsia="仿宋" w:cs="Times New Roman"/>
          <w:sz w:val="24"/>
          <w:lang w:val="zh-CN"/>
        </w:rPr>
        <w:t>,</w:t>
      </w:r>
      <w:r>
        <w:rPr>
          <w:rFonts w:hint="eastAsia" w:ascii="仿宋" w:hAnsi="仿宋" w:eastAsia="仿宋" w:cs="Times New Roman"/>
          <w:sz w:val="24"/>
        </w:rPr>
        <w:t>得满分3分</w:t>
      </w:r>
    </w:p>
    <w:p w14:paraId="4D9CA8C5">
      <w:pPr>
        <w:spacing w:line="360" w:lineRule="auto"/>
        <w:ind w:firstLine="480" w:firstLineChars="200"/>
        <w:rPr>
          <w:rFonts w:hint="eastAsia" w:ascii="仿宋" w:hAnsi="仿宋" w:eastAsia="仿宋" w:cs="Times New Roman"/>
          <w:sz w:val="24"/>
          <w:lang w:val="zh-CN"/>
        </w:rPr>
      </w:pPr>
      <w:r>
        <w:rPr>
          <w:rFonts w:hint="eastAsia" w:ascii="仿宋" w:hAnsi="仿宋" w:eastAsia="仿宋" w:cs="Times New Roman"/>
          <w:sz w:val="24"/>
          <w:lang w:val="zh-CN"/>
        </w:rPr>
        <w:t>2.组织实施（</w:t>
      </w:r>
      <w:r>
        <w:rPr>
          <w:rFonts w:hint="eastAsia" w:ascii="仿宋" w:hAnsi="仿宋" w:eastAsia="仿宋" w:cs="Times New Roman"/>
          <w:sz w:val="24"/>
        </w:rPr>
        <w:t>分值</w:t>
      </w:r>
      <w:r>
        <w:rPr>
          <w:rFonts w:hint="eastAsia" w:ascii="仿宋" w:hAnsi="仿宋" w:eastAsia="仿宋" w:cs="Times New Roman"/>
          <w:sz w:val="24"/>
          <w:lang w:val="zh-CN"/>
        </w:rPr>
        <w:t>13分，得分</w:t>
      </w:r>
      <w:r>
        <w:rPr>
          <w:rFonts w:hint="eastAsia" w:ascii="仿宋" w:hAnsi="仿宋" w:eastAsia="仿宋" w:cs="Times New Roman"/>
          <w:sz w:val="24"/>
        </w:rPr>
        <w:t>10</w:t>
      </w:r>
      <w:r>
        <w:rPr>
          <w:rFonts w:hint="eastAsia" w:ascii="仿宋" w:hAnsi="仿宋" w:eastAsia="仿宋" w:cs="Times New Roman"/>
          <w:sz w:val="24"/>
          <w:lang w:val="zh-CN"/>
        </w:rPr>
        <w:t>分）</w:t>
      </w:r>
    </w:p>
    <w:p w14:paraId="0E0377F8">
      <w:pPr>
        <w:spacing w:line="360" w:lineRule="auto"/>
        <w:ind w:firstLine="480" w:firstLineChars="200"/>
        <w:rPr>
          <w:rFonts w:hint="eastAsia" w:ascii="仿宋" w:hAnsi="仿宋" w:eastAsia="仿宋" w:cs="Times New Roman"/>
          <w:sz w:val="24"/>
          <w:lang w:val="zh-CN"/>
        </w:rPr>
      </w:pPr>
      <w:r>
        <w:rPr>
          <w:rFonts w:hint="eastAsia" w:ascii="仿宋" w:hAnsi="仿宋" w:eastAsia="仿宋" w:cs="Times New Roman"/>
          <w:sz w:val="24"/>
          <w:lang w:val="zh-CN"/>
        </w:rPr>
        <w:t>（1）管理制度健全性（</w:t>
      </w:r>
      <w:r>
        <w:rPr>
          <w:rFonts w:hint="eastAsia" w:ascii="仿宋" w:hAnsi="仿宋" w:eastAsia="仿宋" w:cs="Times New Roman"/>
          <w:sz w:val="24"/>
        </w:rPr>
        <w:t>分值</w:t>
      </w:r>
      <w:r>
        <w:rPr>
          <w:rFonts w:hint="eastAsia" w:ascii="仿宋" w:hAnsi="仿宋" w:eastAsia="仿宋" w:cs="Times New Roman"/>
          <w:sz w:val="24"/>
          <w:lang w:val="zh-CN"/>
        </w:rPr>
        <w:t>4分，得分4分）</w:t>
      </w:r>
    </w:p>
    <w:p w14:paraId="361E15DF">
      <w:pPr>
        <w:spacing w:line="360" w:lineRule="auto"/>
        <w:ind w:firstLine="480" w:firstLineChars="200"/>
        <w:rPr>
          <w:rFonts w:hint="eastAsia" w:ascii="仿宋" w:hAnsi="仿宋" w:eastAsia="仿宋" w:cs="Times New Roman"/>
          <w:sz w:val="24"/>
          <w:lang w:val="zh-CN"/>
        </w:rPr>
      </w:pPr>
      <w:r>
        <w:rPr>
          <w:rFonts w:hint="eastAsia" w:ascii="仿宋" w:hAnsi="仿宋" w:eastAsia="仿宋" w:cs="Times New Roman"/>
          <w:sz w:val="24"/>
          <w:lang w:val="zh-CN"/>
        </w:rPr>
        <w:t>“管理制度健全性”指标评价项目支出是否已制定或具有相应的财务和业务管理制度，财务和业务管理制度是否合法、合规、完整。2024年石狮市中小学班级多媒体教学设备全覆盖工程项目未见相关管理制度未建立的情况。该项指标得满分4分。</w:t>
      </w:r>
    </w:p>
    <w:p w14:paraId="3B39EF5E">
      <w:pPr>
        <w:spacing w:line="360" w:lineRule="auto"/>
        <w:ind w:firstLine="480" w:firstLineChars="200"/>
        <w:rPr>
          <w:rFonts w:hint="eastAsia" w:ascii="仿宋" w:hAnsi="仿宋" w:eastAsia="仿宋" w:cs="Times New Roman"/>
          <w:sz w:val="24"/>
          <w:lang w:val="zh-CN"/>
        </w:rPr>
      </w:pPr>
      <w:r>
        <w:rPr>
          <w:rFonts w:hint="eastAsia" w:ascii="仿宋" w:hAnsi="仿宋" w:eastAsia="仿宋" w:cs="Times New Roman"/>
          <w:sz w:val="24"/>
          <w:lang w:val="zh-CN"/>
        </w:rPr>
        <w:t>（2）制度执行有效性（</w:t>
      </w:r>
      <w:r>
        <w:rPr>
          <w:rFonts w:hint="eastAsia" w:ascii="仿宋" w:hAnsi="仿宋" w:eastAsia="仿宋" w:cs="Times New Roman"/>
          <w:sz w:val="24"/>
        </w:rPr>
        <w:t>分值</w:t>
      </w:r>
      <w:r>
        <w:rPr>
          <w:rFonts w:hint="eastAsia" w:ascii="仿宋" w:hAnsi="仿宋" w:eastAsia="仿宋" w:cs="Times New Roman"/>
          <w:sz w:val="24"/>
          <w:lang w:val="zh-CN"/>
        </w:rPr>
        <w:t>4分，得分</w:t>
      </w:r>
      <w:r>
        <w:rPr>
          <w:rFonts w:hint="eastAsia" w:ascii="仿宋" w:hAnsi="仿宋" w:eastAsia="仿宋" w:cs="Times New Roman"/>
          <w:sz w:val="24"/>
        </w:rPr>
        <w:t>2</w:t>
      </w:r>
      <w:r>
        <w:rPr>
          <w:rFonts w:hint="eastAsia" w:ascii="仿宋" w:hAnsi="仿宋" w:eastAsia="仿宋" w:cs="Times New Roman"/>
          <w:sz w:val="24"/>
          <w:lang w:val="zh-CN"/>
        </w:rPr>
        <w:t>分）</w:t>
      </w:r>
    </w:p>
    <w:p w14:paraId="38A0BD72">
      <w:pPr>
        <w:spacing w:line="360" w:lineRule="auto"/>
        <w:ind w:firstLine="480" w:firstLineChars="200"/>
        <w:rPr>
          <w:rFonts w:hint="eastAsia" w:ascii="仿宋" w:hAnsi="仿宋" w:eastAsia="仿宋" w:cs="Times New Roman"/>
          <w:sz w:val="24"/>
          <w:lang w:val="zh-CN"/>
        </w:rPr>
      </w:pPr>
      <w:r>
        <w:rPr>
          <w:rFonts w:hint="eastAsia" w:ascii="仿宋" w:hAnsi="仿宋" w:eastAsia="仿宋" w:cs="Times New Roman"/>
          <w:sz w:val="24"/>
          <w:lang w:val="zh-CN"/>
        </w:rPr>
        <w:t>“制度执行有效性”指标旨在评价项目是否遵守相关法律法规和业务管理规定，用以反映和考核相关管理制度的执行情况，以及采购单位对项目实施监管的情况。工作组通过实地调研并查看石狮市中小学班级多媒体教学设备全覆盖工程项目的相关资料，经核查发现该项目在采购合同中明确约定了“分阶段付款”条款：签约7日内付50%、验收后付45%、培训结束后付5%，但在实际执行中存在严重偏差，未按合同约定的进度节点付款，而是延迟至</w:t>
      </w:r>
      <w:r>
        <w:rPr>
          <w:rFonts w:hint="eastAsia" w:ascii="仿宋" w:hAnsi="仿宋" w:eastAsia="仿宋" w:cs="Times New Roman"/>
          <w:sz w:val="24"/>
        </w:rPr>
        <w:t>2024年</w:t>
      </w:r>
      <w:r>
        <w:rPr>
          <w:rFonts w:hint="eastAsia" w:ascii="仿宋" w:hAnsi="仿宋" w:eastAsia="仿宋" w:cs="Times New Roman"/>
          <w:sz w:val="24"/>
          <w:lang w:val="zh-CN"/>
        </w:rPr>
        <w:t>12月一次性支付全款，且验收程序也未按合同时间要求执行。综上所述该指标扣2分，得2分。</w:t>
      </w:r>
    </w:p>
    <w:p w14:paraId="09907F28">
      <w:pPr>
        <w:spacing w:line="360" w:lineRule="auto"/>
        <w:ind w:firstLine="480" w:firstLineChars="200"/>
        <w:rPr>
          <w:rFonts w:hint="eastAsia" w:ascii="仿宋" w:hAnsi="仿宋" w:eastAsia="仿宋" w:cs="Times New Roman"/>
          <w:sz w:val="24"/>
          <w:lang w:val="zh-CN"/>
        </w:rPr>
      </w:pPr>
      <w:r>
        <w:rPr>
          <w:rFonts w:hint="eastAsia" w:ascii="仿宋" w:hAnsi="仿宋" w:eastAsia="仿宋" w:cs="Times New Roman"/>
          <w:sz w:val="24"/>
          <w:lang w:val="zh-CN"/>
        </w:rPr>
        <w:t>（3）采购程序规范性（分值5分，得分5分）</w:t>
      </w:r>
    </w:p>
    <w:p w14:paraId="076AD29D">
      <w:pPr>
        <w:spacing w:line="360" w:lineRule="auto"/>
        <w:ind w:firstLine="480" w:firstLineChars="200"/>
        <w:rPr>
          <w:rFonts w:hint="eastAsia" w:ascii="仿宋" w:hAnsi="仿宋" w:eastAsia="仿宋" w:cs="Times New Roman"/>
          <w:sz w:val="24"/>
          <w:lang w:val="zh-CN"/>
        </w:rPr>
      </w:pPr>
      <w:r>
        <w:rPr>
          <w:rFonts w:ascii="仿宋" w:hAnsi="仿宋" w:eastAsia="仿宋" w:cs="Times New Roman"/>
          <w:sz w:val="24"/>
        </w:rPr>
        <w:t>工作组</w:t>
      </w:r>
      <w:r>
        <w:rPr>
          <w:rFonts w:hint="eastAsia" w:ascii="仿宋" w:hAnsi="仿宋" w:eastAsia="仿宋" w:cs="Times New Roman"/>
          <w:sz w:val="24"/>
        </w:rPr>
        <w:t>通过</w:t>
      </w:r>
      <w:r>
        <w:rPr>
          <w:rFonts w:ascii="仿宋" w:hAnsi="仿宋" w:eastAsia="仿宋" w:cs="Times New Roman"/>
          <w:sz w:val="24"/>
        </w:rPr>
        <w:t>调阅</w:t>
      </w:r>
      <w:r>
        <w:rPr>
          <w:rFonts w:hint="eastAsia" w:ascii="仿宋" w:hAnsi="仿宋" w:eastAsia="仿宋" w:cs="Times New Roman"/>
          <w:sz w:val="24"/>
        </w:rPr>
        <w:t>该项目的</w:t>
      </w:r>
      <w:r>
        <w:rPr>
          <w:rFonts w:ascii="仿宋" w:hAnsi="仿宋" w:eastAsia="仿宋" w:cs="Times New Roman"/>
          <w:sz w:val="24"/>
        </w:rPr>
        <w:t>采购备案资料、评标报告和合同文件，并比对福建省政府采购网和泉州市公共资源交易中心的全流程公开记录，</w:t>
      </w:r>
      <w:r>
        <w:rPr>
          <w:rFonts w:hint="eastAsia" w:ascii="仿宋" w:hAnsi="仿宋" w:eastAsia="仿宋" w:cs="Times New Roman"/>
          <w:sz w:val="24"/>
          <w:lang w:val="zh-CN"/>
        </w:rPr>
        <w:t>确认2024年石狮市中小学班级多媒体教学设备全覆盖工程项目严格遵循《中华人民共和国政府采购法》、《政府采购货物和服务招标投标管理办法》以及《石狮市教育局货物及服务类政府采购管理制度（试行）》（狮教财〔2023〕6号）</w:t>
      </w:r>
      <w:r>
        <w:rPr>
          <w:rFonts w:ascii="仿宋" w:hAnsi="仿宋" w:eastAsia="仿宋" w:cs="Times New Roman"/>
          <w:sz w:val="24"/>
        </w:rPr>
        <w:t>等</w:t>
      </w:r>
      <w:r>
        <w:rPr>
          <w:rFonts w:hint="eastAsia" w:ascii="仿宋" w:hAnsi="仿宋" w:eastAsia="仿宋" w:cs="Times New Roman"/>
          <w:sz w:val="24"/>
        </w:rPr>
        <w:t>文件的</w:t>
      </w:r>
      <w:r>
        <w:rPr>
          <w:rFonts w:ascii="仿宋" w:hAnsi="仿宋" w:eastAsia="仿宋" w:cs="Times New Roman"/>
          <w:sz w:val="24"/>
        </w:rPr>
        <w:t>各项管理制度及相关规定的要求，相关设备的采购符合《福建省小学教育技术装备标准》、《福建省初中教育技术装备标准》（闽教规〔2022〕2号）中关于多媒体普通教室设备</w:t>
      </w:r>
      <w:r>
        <w:rPr>
          <w:rFonts w:hint="eastAsia" w:ascii="仿宋" w:hAnsi="仿宋" w:eastAsia="仿宋" w:cs="Times New Roman"/>
          <w:sz w:val="24"/>
        </w:rPr>
        <w:t>的</w:t>
      </w:r>
      <w:r>
        <w:rPr>
          <w:rFonts w:ascii="仿宋" w:hAnsi="仿宋" w:eastAsia="仿宋" w:cs="Times New Roman"/>
          <w:sz w:val="24"/>
        </w:rPr>
        <w:t>配置要求</w:t>
      </w:r>
      <w:r>
        <w:rPr>
          <w:rFonts w:hint="eastAsia" w:ascii="仿宋" w:hAnsi="仿宋" w:eastAsia="仿宋" w:cs="Times New Roman"/>
          <w:sz w:val="24"/>
          <w:lang w:val="zh-CN"/>
        </w:rPr>
        <w:t>；意向公开、招标公告、结果公示的时间节点、发布平台、公示期限及获取方式均符合法规要求，合同签订手续完整，无违规违纪现象，故该指标得满分5分。</w:t>
      </w:r>
      <w:bookmarkStart w:id="48" w:name="_Toc184981069"/>
      <w:bookmarkStart w:id="49" w:name="_Toc184981307"/>
      <w:bookmarkStart w:id="50" w:name="_Toc8999"/>
    </w:p>
    <w:p w14:paraId="281E838A">
      <w:pPr>
        <w:spacing w:line="360" w:lineRule="auto"/>
        <w:ind w:firstLine="482" w:firstLineChars="200"/>
        <w:outlineLvl w:val="1"/>
        <w:rPr>
          <w:rFonts w:ascii="仿宋_GB2312" w:hAnsi="Times New Roman" w:eastAsia="仿宋_GB2312" w:cs="Times New Roman"/>
          <w:b/>
          <w:bCs/>
          <w:sz w:val="24"/>
        </w:rPr>
      </w:pPr>
      <w:bookmarkStart w:id="51" w:name="_Toc205940240"/>
      <w:r>
        <w:rPr>
          <w:rFonts w:hint="eastAsia" w:ascii="仿宋_GB2312" w:hAnsi="Times New Roman" w:eastAsia="仿宋_GB2312" w:cs="Times New Roman"/>
          <w:b/>
          <w:bCs/>
          <w:sz w:val="24"/>
        </w:rPr>
        <w:t>（三）项目产出情况</w:t>
      </w:r>
      <w:bookmarkEnd w:id="48"/>
      <w:bookmarkEnd w:id="49"/>
      <w:r>
        <w:rPr>
          <w:rFonts w:hint="eastAsia" w:ascii="仿宋_GB2312" w:hAnsi="Times New Roman" w:eastAsia="仿宋_GB2312" w:cs="Times New Roman"/>
          <w:b/>
          <w:bCs/>
          <w:sz w:val="24"/>
        </w:rPr>
        <w:t>（分值30分，得分26分）</w:t>
      </w:r>
      <w:bookmarkEnd w:id="50"/>
      <w:bookmarkEnd w:id="51"/>
    </w:p>
    <w:p w14:paraId="35A908F2">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1.产出数量（</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6分，得分6分）</w:t>
      </w:r>
    </w:p>
    <w:p w14:paraId="30C8EE27">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本指标的评分以项目的计划购置数量与实际购置数量进行核对，当实际完成任务数/计划完成任务数=100%时得满分。经抽查石狮市新湖中心小学、石狮市宝盖镇塘边小学以及石狮市第七实验小学这三所学校的实际设备安装情况，以及对238套相关设备的验收单进行核查，确定该项目的实际采购数量与计划购置数量一致。故该项指标得满分6分。</w:t>
      </w:r>
    </w:p>
    <w:p w14:paraId="27651786">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2.产出质量（</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8分，得分8分）</w:t>
      </w:r>
    </w:p>
    <w:p w14:paraId="6C4442D9">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本指标的评分根据合同约定的验收合格条件进行考核，当履约通过验收的设备和服务/实际提供完成的设备和服务=100%时得满分。工作组经过实地走访核查，并全面审阅石狮市中小学班级多媒体教学设备全覆盖工程项目的验收材料及培训记录，确认项目涉及的238套多媒体教学设备均已按合同要求完成安装调试、验收及配套培训工作，各项指标均达到合同约定标准。经综合评估，该指标得满分8分。</w:t>
      </w:r>
    </w:p>
    <w:p w14:paraId="11C57080">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3.产出时效（</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8分，得分4分）</w:t>
      </w:r>
    </w:p>
    <w:p w14:paraId="5E79A71B">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本项指标考核项目是否按合同及政策文件要求的时间节点及时完成分批次验收。根据《2024年泉州市中小学班级多媒体教学设备全覆盖工程实施方案》（泉教装〔2024〕1号）及石狮市配套实施方案《2024年石狮市中小学班级多媒体教学设备全覆盖工程实施方案》的规定，238套教学多媒体设备按合同约定需2024年10月15日前完成验收，其中被纳入省级为民办实事工程的68套设备应于2024年8月20日前完成验收。经核查，该项目仅按期完成68套省级补助设备的验收，完成率占比仅28.6%，其余170套设备均延迟至2024年12月4日才完成验收，较合同约定时间滞后约50天。根据评分规则，每批次未按时验收扣4分，此项合计扣4分，最终得分4分。</w:t>
      </w:r>
    </w:p>
    <w:p w14:paraId="7C0C9105">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4.产出成本（</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8分，实际得分8分）</w:t>
      </w:r>
    </w:p>
    <w:p w14:paraId="09246155">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按设备购置成本控制率对产出成本进行评分，成本控制率=（实际购置成本/预算购置成本）×100%。2024年石狮市中小学班级多媒体教学设备全覆盖工程项目在</w:t>
      </w:r>
      <w:r>
        <w:rPr>
          <w:rFonts w:ascii="仿宋_GB2312" w:hAnsi="Times New Roman" w:eastAsia="仿宋_GB2312" w:cs="Times New Roman"/>
          <w:sz w:val="24"/>
        </w:rPr>
        <w:t>实施过程中，严格执行政府采购程序，通过规范化的价格控制机制确保成本效益</w:t>
      </w:r>
      <w:r>
        <w:rPr>
          <w:rFonts w:hint="eastAsia" w:ascii="仿宋_GB2312" w:hAnsi="Times New Roman" w:eastAsia="仿宋_GB2312" w:cs="Times New Roman"/>
          <w:sz w:val="24"/>
        </w:rPr>
        <w:t>。石狮市通过</w:t>
      </w:r>
      <w:r>
        <w:rPr>
          <w:rFonts w:ascii="仿宋_GB2312" w:hAnsi="Times New Roman" w:eastAsia="仿宋_GB2312" w:cs="Times New Roman"/>
          <w:sz w:val="24"/>
        </w:rPr>
        <w:t>采用事前询价</w:t>
      </w:r>
      <w:r>
        <w:rPr>
          <w:rFonts w:hint="eastAsia" w:ascii="仿宋_GB2312" w:hAnsi="Times New Roman" w:eastAsia="仿宋_GB2312" w:cs="Times New Roman"/>
          <w:sz w:val="24"/>
        </w:rPr>
        <w:t>的</w:t>
      </w:r>
      <w:r>
        <w:rPr>
          <w:rFonts w:ascii="仿宋_GB2312" w:hAnsi="Times New Roman" w:eastAsia="仿宋_GB2312" w:cs="Times New Roman"/>
          <w:sz w:val="24"/>
        </w:rPr>
        <w:t>方式，综合五家供应商报价后确定合理最高限价</w:t>
      </w:r>
      <w:r>
        <w:rPr>
          <w:rFonts w:hint="eastAsia" w:ascii="仿宋_GB2312" w:hAnsi="Times New Roman" w:eastAsia="仿宋_GB2312" w:cs="Times New Roman"/>
          <w:sz w:val="24"/>
          <w:lang w:val="zh-CN"/>
        </w:rPr>
        <w:t>，最后通过公开招标确定供应商，最终以469.3360万元的成交价完成采购，未超过471.2398万元的招标最高限价；较当年同类平均单价2.46万元下降约19.88%。</w:t>
      </w:r>
      <w:r>
        <w:rPr>
          <w:rFonts w:ascii="仿宋_GB2312" w:hAnsi="Times New Roman" w:eastAsia="仿宋_GB2312" w:cs="Times New Roman"/>
          <w:sz w:val="24"/>
        </w:rPr>
        <w:t>充</w:t>
      </w:r>
      <w:r>
        <w:rPr>
          <w:rFonts w:hint="eastAsia" w:ascii="仿宋_GB2312" w:hAnsi="Times New Roman" w:eastAsia="仿宋_GB2312" w:cs="Times New Roman"/>
          <w:sz w:val="24"/>
        </w:rPr>
        <w:t xml:space="preserve"> </w:t>
      </w:r>
      <w:r>
        <w:rPr>
          <w:rFonts w:ascii="仿宋_GB2312" w:hAnsi="Times New Roman" w:eastAsia="仿宋_GB2312" w:cs="Times New Roman"/>
          <w:sz w:val="24"/>
        </w:rPr>
        <w:t>分体现了资金使用效益。经核查，项目实际成本严格控制在预算范围内，各项采购程序合规，成本控制成效显著，故该项指标得满分</w:t>
      </w:r>
      <w:r>
        <w:rPr>
          <w:rFonts w:hint="eastAsia" w:ascii="仿宋_GB2312" w:hAnsi="Times New Roman" w:eastAsia="仿宋_GB2312" w:cs="Times New Roman"/>
          <w:sz w:val="24"/>
        </w:rPr>
        <w:t>8</w:t>
      </w:r>
      <w:r>
        <w:rPr>
          <w:rFonts w:ascii="仿宋_GB2312" w:hAnsi="Times New Roman" w:eastAsia="仿宋_GB2312" w:cs="Times New Roman"/>
          <w:sz w:val="24"/>
        </w:rPr>
        <w:t>分。</w:t>
      </w:r>
    </w:p>
    <w:p w14:paraId="53B6BEBD">
      <w:pPr>
        <w:spacing w:line="360" w:lineRule="auto"/>
        <w:ind w:firstLine="482" w:firstLineChars="200"/>
        <w:outlineLvl w:val="1"/>
        <w:rPr>
          <w:rFonts w:ascii="仿宋_GB2312" w:hAnsi="Times New Roman" w:eastAsia="仿宋_GB2312" w:cs="Times New Roman"/>
          <w:b/>
          <w:bCs/>
          <w:sz w:val="24"/>
        </w:rPr>
      </w:pPr>
      <w:bookmarkStart w:id="52" w:name="_Toc184981308"/>
      <w:bookmarkStart w:id="53" w:name="_Toc184981070"/>
      <w:bookmarkStart w:id="54" w:name="_Toc1040"/>
      <w:bookmarkStart w:id="55" w:name="_Toc205940241"/>
      <w:r>
        <w:rPr>
          <w:rFonts w:hint="eastAsia" w:ascii="仿宋_GB2312" w:hAnsi="Times New Roman" w:eastAsia="仿宋_GB2312" w:cs="Times New Roman"/>
          <w:b/>
          <w:bCs/>
          <w:sz w:val="24"/>
        </w:rPr>
        <w:t>（四）项目效益情况</w:t>
      </w:r>
      <w:bookmarkEnd w:id="52"/>
      <w:bookmarkEnd w:id="53"/>
      <w:r>
        <w:rPr>
          <w:rFonts w:hint="eastAsia" w:ascii="仿宋_GB2312" w:hAnsi="Times New Roman" w:eastAsia="仿宋_GB2312" w:cs="Times New Roman"/>
          <w:b/>
          <w:bCs/>
          <w:sz w:val="24"/>
        </w:rPr>
        <w:t>（分值30分，得分</w:t>
      </w:r>
      <w:r>
        <w:rPr>
          <w:rFonts w:ascii="仿宋_GB2312" w:hAnsi="Times New Roman" w:eastAsia="仿宋_GB2312" w:cs="Times New Roman"/>
          <w:b/>
          <w:bCs/>
          <w:sz w:val="24"/>
        </w:rPr>
        <w:t>2</w:t>
      </w:r>
      <w:r>
        <w:rPr>
          <w:rFonts w:hint="eastAsia" w:ascii="仿宋_GB2312" w:hAnsi="Times New Roman" w:eastAsia="仿宋_GB2312" w:cs="Times New Roman"/>
          <w:b/>
          <w:bCs/>
          <w:sz w:val="24"/>
        </w:rPr>
        <w:t>6.54分）</w:t>
      </w:r>
      <w:bookmarkEnd w:id="54"/>
      <w:bookmarkEnd w:id="55"/>
    </w:p>
    <w:p w14:paraId="24C02FBB">
      <w:pPr>
        <w:spacing w:line="360" w:lineRule="auto"/>
        <w:ind w:firstLine="480" w:firstLineChars="200"/>
        <w:rPr>
          <w:rFonts w:ascii="仿宋_GB2312" w:hAnsi="Times New Roman" w:eastAsia="仿宋_GB2312" w:cs="Times New Roman"/>
          <w:sz w:val="24"/>
        </w:rPr>
      </w:pPr>
      <w:r>
        <w:rPr>
          <w:rFonts w:hint="eastAsia" w:ascii="仿宋_GB2312" w:hAnsi="Times New Roman" w:eastAsia="仿宋_GB2312" w:cs="Times New Roman"/>
          <w:sz w:val="24"/>
        </w:rPr>
        <w:t>工作组通过发放问卷星</w:t>
      </w:r>
      <w:r>
        <w:rPr>
          <w:rFonts w:hint="eastAsia" w:ascii="仿宋_GB2312" w:hAnsi="Times New Roman" w:eastAsia="仿宋_GB2312" w:cs="Times New Roman"/>
          <w:sz w:val="24"/>
          <w:lang w:val="zh-CN"/>
        </w:rPr>
        <w:t>《2024年石狮市中小学班级多媒体教学设备全覆盖工程项目调查问卷》</w:t>
      </w:r>
      <w:r>
        <w:rPr>
          <w:rFonts w:hint="eastAsia" w:ascii="仿宋_GB2312" w:hAnsi="Times New Roman" w:eastAsia="仿宋_GB2312" w:cs="Times New Roman"/>
          <w:sz w:val="24"/>
        </w:rPr>
        <w:t>了解项目效益及满意度</w:t>
      </w:r>
      <w:r>
        <w:rPr>
          <w:rFonts w:hint="eastAsia" w:ascii="仿宋_GB2312" w:hAnsi="Times New Roman" w:eastAsia="仿宋_GB2312" w:cs="Times New Roman"/>
          <w:sz w:val="24"/>
          <w:lang w:val="zh-CN"/>
        </w:rPr>
        <w:t>，</w:t>
      </w:r>
      <w:r>
        <w:rPr>
          <w:rFonts w:hint="eastAsia" w:ascii="仿宋_GB2312" w:hAnsi="Times New Roman" w:eastAsia="仿宋_GB2312" w:cs="Times New Roman"/>
          <w:sz w:val="24"/>
        </w:rPr>
        <w:t>调查对象以学校为单位，共回收65所学校的调查问卷，其中47所学校在2024年获得财政补助安装的多媒体教学设备，</w:t>
      </w:r>
      <w:r>
        <w:rPr>
          <w:rFonts w:ascii="仿宋_GB2312" w:hAnsi="Times New Roman" w:eastAsia="仿宋_GB2312" w:cs="Times New Roman"/>
          <w:sz w:val="24"/>
        </w:rPr>
        <w:t>47所学校中包含已停办的塘头学校（停办原因是招生人数不足），因此实际回收的补助学校有效问卷为46份</w:t>
      </w:r>
      <w:r>
        <w:rPr>
          <w:rFonts w:hint="eastAsia" w:ascii="仿宋_GB2312" w:hAnsi="Times New Roman" w:eastAsia="仿宋_GB2312" w:cs="Times New Roman"/>
          <w:sz w:val="24"/>
        </w:rPr>
        <w:t>，</w:t>
      </w:r>
      <w:r>
        <w:rPr>
          <w:rFonts w:ascii="仿宋_GB2312" w:hAnsi="Times New Roman" w:eastAsia="仿宋_GB2312" w:cs="Times New Roman"/>
          <w:sz w:val="24"/>
        </w:rPr>
        <w:t>塘头学校原有的多媒体教学设备已调配至鸿山镇锦林小学。</w:t>
      </w:r>
    </w:p>
    <w:p w14:paraId="7BF3CEF4">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1.社会效益（</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15分，实际得分13.38分）</w:t>
      </w:r>
    </w:p>
    <w:p w14:paraId="5357656B">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（1）教学效果提升（</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5分，得分4.24分）</w:t>
      </w:r>
    </w:p>
    <w:p w14:paraId="5ADAA099">
      <w:pPr>
        <w:spacing w:line="360" w:lineRule="auto"/>
        <w:ind w:firstLine="480" w:firstLineChars="200"/>
        <w:rPr>
          <w:rFonts w:ascii="仿宋_GB2312" w:hAnsi="Times New Roman" w:eastAsia="仿宋_GB2312" w:cs="Times New Roman"/>
          <w:sz w:val="24"/>
          <w:lang w:val="zh-CN"/>
        </w:rPr>
      </w:pPr>
      <w:bookmarkStart w:id="56" w:name="OLE_LINK2"/>
      <w:r>
        <w:rPr>
          <w:rFonts w:hint="eastAsia" w:ascii="仿宋_GB2312" w:hAnsi="Times New Roman" w:eastAsia="仿宋_GB2312" w:cs="Times New Roman"/>
          <w:sz w:val="24"/>
          <w:lang w:val="zh-CN"/>
        </w:rPr>
        <w:t>教学效果提升指标用于衡量多媒体教学设备的更换对教学效果的提升情况，通过问卷调查对全市中小学的教学效果的提升程度进行评分，得分=教学效果提升程度评分平均分×100%×5分。根据</w:t>
      </w:r>
      <w:r>
        <w:rPr>
          <w:rFonts w:hint="eastAsia" w:ascii="仿宋_GB2312" w:hAnsi="Times New Roman" w:eastAsia="仿宋_GB2312" w:cs="Times New Roman"/>
          <w:sz w:val="24"/>
        </w:rPr>
        <w:t>问卷</w:t>
      </w:r>
      <w:r>
        <w:rPr>
          <w:rFonts w:hint="eastAsia" w:ascii="仿宋_GB2312" w:hAnsi="Times New Roman" w:eastAsia="仿宋_GB2312" w:cs="Times New Roman"/>
          <w:sz w:val="24"/>
          <w:lang w:val="zh-CN"/>
        </w:rPr>
        <w:t>第10题“若贵校已更换为2024年财政补助安装的希沃多媒体教学设备，请评价其对教学效果的提升；若未更换，请选择未更换无法评价”的分析结果，46份问卷中</w:t>
      </w:r>
      <w:r>
        <w:rPr>
          <w:rFonts w:hint="eastAsia" w:ascii="仿宋_GB2312" w:hAnsi="Times New Roman" w:eastAsia="仿宋_GB2312" w:cs="Times New Roman"/>
          <w:sz w:val="24"/>
        </w:rPr>
        <w:t>有</w:t>
      </w:r>
      <w:r>
        <w:rPr>
          <w:rFonts w:hint="eastAsia" w:ascii="仿宋_GB2312" w:hAnsi="Times New Roman" w:eastAsia="仿宋_GB2312" w:cs="Times New Roman"/>
          <w:sz w:val="24"/>
          <w:lang w:val="zh-CN"/>
        </w:rPr>
        <w:t>34所学校选择“显著提升”；11所学校选择“略有提升”；1所学校选择“效果下降”。经计算，教学效果提升程度评分平均为84.78%，最终得分为4.24（84.78%×5分）。</w:t>
      </w:r>
    </w:p>
    <w:bookmarkEnd w:id="56"/>
    <w:p w14:paraId="104FE88C">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（2）多媒体教学设备全覆盖（</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5分，得分4.97分）</w:t>
      </w:r>
    </w:p>
    <w:p w14:paraId="649909F7">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本指标在于衡量全市中小班级多媒教学设备的覆盖程度，以评估教育信息化基础设施的均衡性和普及性。得分=多媒体教学设备全覆盖评分平均分×100%×5分。根据回收的65份有效调查问卷，第3题“班级总数”合计为1716间。第5题“全校班级多媒体教学设备覆盖情况”</w:t>
      </w:r>
      <w:r>
        <w:rPr>
          <w:rFonts w:ascii="仿宋_GB2312" w:hAnsi="Times New Roman" w:eastAsia="仿宋_GB2312" w:cs="Times New Roman"/>
          <w:sz w:val="24"/>
        </w:rPr>
        <w:t>已配备多媒体设备班级数</w:t>
      </w:r>
      <w:r>
        <w:rPr>
          <w:rFonts w:hint="eastAsia" w:ascii="仿宋_GB2312" w:hAnsi="Times New Roman" w:eastAsia="仿宋_GB2312" w:cs="Times New Roman"/>
          <w:sz w:val="24"/>
        </w:rPr>
        <w:t>合计为1704间。</w:t>
      </w:r>
      <w:r>
        <w:rPr>
          <w:rFonts w:hint="eastAsia" w:ascii="仿宋_GB2312" w:hAnsi="Times New Roman" w:eastAsia="仿宋_GB2312" w:cs="Times New Roman"/>
          <w:sz w:val="24"/>
          <w:lang w:val="zh-CN"/>
        </w:rPr>
        <w:t>经计算，多媒体教学设备全覆盖程度评分约99.30%，最终得分为4.97分（99.30%×5分）。</w:t>
      </w:r>
    </w:p>
    <w:p w14:paraId="5E203107">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（3）多媒体教学设备与教学需求的匹配度（</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5分，得分4.17分）</w:t>
      </w:r>
    </w:p>
    <w:p w14:paraId="1405D3C1">
      <w:pPr>
        <w:spacing w:line="360" w:lineRule="auto"/>
        <w:ind w:firstLine="480" w:firstLineChars="200"/>
        <w:rPr>
          <w:rFonts w:ascii="仿宋_GB2312" w:hAnsi="Times New Roman" w:eastAsia="仿宋_GB2312" w:cs="Times New Roman"/>
          <w:sz w:val="24"/>
          <w:lang w:val="zh-CN"/>
        </w:rPr>
      </w:pPr>
      <w:r>
        <w:rPr>
          <w:rFonts w:ascii="仿宋_GB2312" w:hAnsi="Times New Roman" w:eastAsia="仿宋_GB2312" w:cs="Times New Roman"/>
          <w:sz w:val="24"/>
        </w:rPr>
        <w:t>本指标通过问卷调查量化评估多媒体教学设备对实际教学需求的满足程度。根据回收的65份有效问卷</w:t>
      </w:r>
      <w:r>
        <w:rPr>
          <w:rFonts w:hint="eastAsia" w:ascii="仿宋_GB2312" w:hAnsi="Times New Roman" w:eastAsia="仿宋_GB2312" w:cs="Times New Roman"/>
          <w:sz w:val="24"/>
        </w:rPr>
        <w:t>，针对第9题“</w:t>
      </w:r>
      <w:r>
        <w:rPr>
          <w:rFonts w:ascii="仿宋_GB2312" w:hAnsi="Times New Roman" w:eastAsia="仿宋_GB2312" w:cs="Times New Roman"/>
          <w:sz w:val="24"/>
        </w:rPr>
        <w:t>当前使用的多媒体教学设备能否满足日常教学需求</w:t>
      </w:r>
      <w:r>
        <w:rPr>
          <w:rFonts w:hint="eastAsia" w:ascii="仿宋_GB2312" w:hAnsi="Times New Roman" w:eastAsia="仿宋_GB2312" w:cs="Times New Roman"/>
          <w:sz w:val="24"/>
        </w:rPr>
        <w:t>？”的</w:t>
      </w:r>
      <w:r>
        <w:rPr>
          <w:rFonts w:ascii="仿宋_GB2312" w:hAnsi="Times New Roman" w:eastAsia="仿宋_GB2312" w:cs="Times New Roman"/>
          <w:sz w:val="24"/>
        </w:rPr>
        <w:t>统计显示：</w:t>
      </w:r>
      <w:r>
        <w:rPr>
          <w:rFonts w:hint="eastAsia" w:ascii="仿宋_GB2312" w:hAnsi="Times New Roman" w:eastAsia="仿宋_GB2312" w:cs="Times New Roman"/>
          <w:sz w:val="24"/>
        </w:rPr>
        <w:t>28所学校选择“</w:t>
      </w:r>
      <w:r>
        <w:rPr>
          <w:rFonts w:ascii="仿宋_GB2312" w:hAnsi="Times New Roman" w:eastAsia="仿宋_GB2312" w:cs="Times New Roman"/>
          <w:sz w:val="24"/>
        </w:rPr>
        <w:t>完全满足</w:t>
      </w:r>
      <w:r>
        <w:rPr>
          <w:rFonts w:hint="eastAsia" w:ascii="仿宋_GB2312" w:hAnsi="Times New Roman" w:eastAsia="仿宋_GB2312" w:cs="Times New Roman"/>
          <w:sz w:val="24"/>
        </w:rPr>
        <w:t>”</w:t>
      </w:r>
      <w:r>
        <w:rPr>
          <w:rFonts w:ascii="仿宋_GB2312" w:hAnsi="Times New Roman" w:eastAsia="仿宋_GB2312" w:cs="Times New Roman"/>
          <w:sz w:val="24"/>
        </w:rPr>
        <w:t>教学需求，</w:t>
      </w:r>
      <w:r>
        <w:rPr>
          <w:rFonts w:hint="eastAsia" w:ascii="仿宋_GB2312" w:hAnsi="Times New Roman" w:eastAsia="仿宋_GB2312" w:cs="Times New Roman"/>
          <w:sz w:val="24"/>
        </w:rPr>
        <w:t>35所学校选择“</w:t>
      </w:r>
      <w:r>
        <w:rPr>
          <w:rFonts w:ascii="仿宋_GB2312" w:hAnsi="Times New Roman" w:eastAsia="仿宋_GB2312" w:cs="Times New Roman"/>
          <w:sz w:val="24"/>
        </w:rPr>
        <w:t>基本满足</w:t>
      </w:r>
      <w:r>
        <w:rPr>
          <w:rFonts w:hint="eastAsia" w:ascii="仿宋_GB2312" w:hAnsi="Times New Roman" w:eastAsia="仿宋_GB2312" w:cs="Times New Roman"/>
          <w:sz w:val="24"/>
        </w:rPr>
        <w:t>”</w:t>
      </w:r>
      <w:r>
        <w:rPr>
          <w:rFonts w:ascii="仿宋_GB2312" w:hAnsi="Times New Roman" w:eastAsia="仿宋_GB2312" w:cs="Times New Roman"/>
          <w:sz w:val="24"/>
        </w:rPr>
        <w:t>，</w:t>
      </w:r>
      <w:r>
        <w:rPr>
          <w:rFonts w:hint="eastAsia" w:ascii="仿宋_GB2312" w:hAnsi="Times New Roman" w:eastAsia="仿宋_GB2312" w:cs="Times New Roman"/>
          <w:sz w:val="24"/>
        </w:rPr>
        <w:t>石狮市锦峰实验学校和石狮八中这2所学校均</w:t>
      </w:r>
      <w:r>
        <w:rPr>
          <w:rFonts w:ascii="仿宋_GB2312" w:hAnsi="Times New Roman" w:eastAsia="仿宋_GB2312" w:cs="Times New Roman"/>
          <w:sz w:val="24"/>
        </w:rPr>
        <w:t>认为</w:t>
      </w:r>
      <w:r>
        <w:rPr>
          <w:rFonts w:hint="eastAsia" w:ascii="仿宋_GB2312" w:hAnsi="Times New Roman" w:eastAsia="仿宋_GB2312" w:cs="Times New Roman"/>
          <w:sz w:val="24"/>
        </w:rPr>
        <w:t>“</w:t>
      </w:r>
      <w:r>
        <w:rPr>
          <w:rFonts w:ascii="仿宋_GB2312" w:hAnsi="Times New Roman" w:eastAsia="仿宋_GB2312" w:cs="Times New Roman"/>
          <w:sz w:val="24"/>
        </w:rPr>
        <w:t>不能满足</w:t>
      </w:r>
      <w:r>
        <w:rPr>
          <w:rFonts w:hint="eastAsia" w:ascii="仿宋_GB2312" w:hAnsi="Times New Roman" w:eastAsia="仿宋_GB2312" w:cs="Times New Roman"/>
          <w:sz w:val="24"/>
        </w:rPr>
        <w:t>”需求，其原因为：部分班级使用的多媒体教学设备过于老旧，故障频发，已无法满足日常教学需求。经计算，</w:t>
      </w:r>
      <w:r>
        <w:rPr>
          <w:rFonts w:ascii="仿宋_GB2312" w:hAnsi="Times New Roman" w:eastAsia="仿宋_GB2312" w:cs="Times New Roman"/>
          <w:sz w:val="24"/>
        </w:rPr>
        <w:t>通过加权得出整体</w:t>
      </w:r>
      <w:r>
        <w:rPr>
          <w:rFonts w:hint="eastAsia" w:ascii="仿宋_GB2312" w:hAnsi="Times New Roman" w:eastAsia="仿宋_GB2312" w:cs="Times New Roman"/>
          <w:sz w:val="24"/>
        </w:rPr>
        <w:t>利用率</w:t>
      </w:r>
      <w:r>
        <w:rPr>
          <w:rFonts w:ascii="仿宋_GB2312" w:hAnsi="Times New Roman" w:eastAsia="仿宋_GB2312" w:cs="Times New Roman"/>
          <w:sz w:val="24"/>
        </w:rPr>
        <w:t>为</w:t>
      </w:r>
      <w:r>
        <w:rPr>
          <w:rFonts w:hint="eastAsia" w:ascii="仿宋_GB2312" w:hAnsi="Times New Roman" w:eastAsia="仿宋_GB2312" w:cs="Times New Roman"/>
          <w:sz w:val="24"/>
        </w:rPr>
        <w:t>83.47</w:t>
      </w:r>
      <w:r>
        <w:rPr>
          <w:rFonts w:ascii="仿宋_GB2312" w:hAnsi="Times New Roman" w:eastAsia="仿宋_GB2312" w:cs="Times New Roman"/>
          <w:sz w:val="24"/>
        </w:rPr>
        <w:t>%，最终得分为4.</w:t>
      </w:r>
      <w:r>
        <w:rPr>
          <w:rFonts w:hint="eastAsia" w:ascii="仿宋_GB2312" w:hAnsi="Times New Roman" w:eastAsia="仿宋_GB2312" w:cs="Times New Roman"/>
          <w:sz w:val="24"/>
        </w:rPr>
        <w:t>17</w:t>
      </w:r>
      <w:r>
        <w:rPr>
          <w:rFonts w:ascii="仿宋_GB2312" w:hAnsi="Times New Roman" w:eastAsia="仿宋_GB2312" w:cs="Times New Roman"/>
          <w:sz w:val="24"/>
        </w:rPr>
        <w:t>分（</w:t>
      </w:r>
      <w:r>
        <w:rPr>
          <w:rFonts w:hint="eastAsia" w:ascii="仿宋_GB2312" w:hAnsi="Times New Roman" w:eastAsia="仿宋_GB2312" w:cs="Times New Roman"/>
          <w:sz w:val="24"/>
        </w:rPr>
        <w:t>即</w:t>
      </w:r>
      <w:r>
        <w:rPr>
          <w:rFonts w:ascii="仿宋_GB2312" w:hAnsi="Times New Roman" w:eastAsia="仿宋_GB2312" w:cs="Times New Roman"/>
          <w:sz w:val="24"/>
        </w:rPr>
        <w:t>83.</w:t>
      </w:r>
      <w:r>
        <w:rPr>
          <w:rFonts w:hint="eastAsia" w:ascii="仿宋_GB2312" w:hAnsi="Times New Roman" w:eastAsia="仿宋_GB2312" w:cs="Times New Roman"/>
          <w:sz w:val="24"/>
        </w:rPr>
        <w:t>4</w:t>
      </w:r>
      <w:r>
        <w:rPr>
          <w:rFonts w:ascii="仿宋_GB2312" w:hAnsi="Times New Roman" w:eastAsia="仿宋_GB2312" w:cs="Times New Roman"/>
          <w:sz w:val="24"/>
        </w:rPr>
        <w:t>7%×5分）。</w:t>
      </w:r>
    </w:p>
    <w:p w14:paraId="3E995068">
      <w:pPr>
        <w:spacing w:line="360" w:lineRule="auto"/>
        <w:ind w:firstLine="480" w:firstLineChars="200"/>
        <w:rPr>
          <w:rFonts w:ascii="仿宋_GB2312" w:hAnsi="Times New Roman" w:eastAsia="仿宋_GB2312" w:cs="Times New Roman"/>
          <w:sz w:val="24"/>
        </w:rPr>
      </w:pPr>
      <w:r>
        <w:rPr>
          <w:rFonts w:hint="eastAsia" w:ascii="仿宋_GB2312" w:hAnsi="Times New Roman" w:eastAsia="仿宋_GB2312" w:cs="Times New Roman"/>
          <w:sz w:val="24"/>
        </w:rPr>
        <w:t>2.可持续影响（分值5分，得分3.38分）</w:t>
      </w:r>
    </w:p>
    <w:p w14:paraId="1AAE6F97">
      <w:pPr>
        <w:spacing w:line="360" w:lineRule="auto"/>
        <w:ind w:firstLine="480" w:firstLineChars="200"/>
        <w:rPr>
          <w:rFonts w:ascii="仿宋_GB2312" w:hAnsi="Times New Roman" w:eastAsia="仿宋_GB2312" w:cs="Times New Roman"/>
          <w:sz w:val="24"/>
        </w:rPr>
      </w:pPr>
      <w:r>
        <w:rPr>
          <w:rFonts w:hint="eastAsia" w:ascii="仿宋_GB2312" w:hAnsi="Times New Roman" w:eastAsia="仿宋_GB2312" w:cs="Times New Roman"/>
          <w:sz w:val="24"/>
        </w:rPr>
        <w:t>本指标通过调查问卷评估多媒体教学设备的日常维护便利程度，采用加权计分法量化维护效率。</w:t>
      </w:r>
      <w:r>
        <w:rPr>
          <w:rFonts w:ascii="仿宋_GB2312" w:hAnsi="Times New Roman" w:eastAsia="仿宋_GB2312" w:cs="Times New Roman"/>
          <w:sz w:val="24"/>
        </w:rPr>
        <w:t>根据回收</w:t>
      </w:r>
      <w:r>
        <w:rPr>
          <w:rFonts w:hint="eastAsia" w:ascii="仿宋_GB2312" w:hAnsi="Times New Roman" w:eastAsia="仿宋_GB2312" w:cs="Times New Roman"/>
          <w:sz w:val="24"/>
        </w:rPr>
        <w:t>的17</w:t>
      </w:r>
      <w:r>
        <w:rPr>
          <w:rFonts w:ascii="仿宋_GB2312" w:hAnsi="Times New Roman" w:eastAsia="仿宋_GB2312" w:cs="Times New Roman"/>
          <w:sz w:val="24"/>
        </w:rPr>
        <w:t>份</w:t>
      </w:r>
      <w:r>
        <w:rPr>
          <w:rFonts w:hint="eastAsia" w:ascii="仿宋_GB2312" w:hAnsi="Times New Roman" w:eastAsia="仿宋_GB2312" w:cs="Times New Roman"/>
          <w:sz w:val="24"/>
        </w:rPr>
        <w:t>有使用故障</w:t>
      </w:r>
      <w:r>
        <w:rPr>
          <w:rFonts w:ascii="仿宋_GB2312" w:hAnsi="Times New Roman" w:eastAsia="仿宋_GB2312" w:cs="Times New Roman"/>
          <w:sz w:val="24"/>
        </w:rPr>
        <w:t>的问卷</w:t>
      </w:r>
      <w:r>
        <w:rPr>
          <w:rFonts w:hint="eastAsia" w:ascii="仿宋_GB2312" w:hAnsi="Times New Roman" w:eastAsia="仿宋_GB2312" w:cs="Times New Roman"/>
          <w:sz w:val="24"/>
        </w:rPr>
        <w:t>中，</w:t>
      </w:r>
      <w:r>
        <w:rPr>
          <w:rFonts w:ascii="仿宋_GB2312" w:hAnsi="Times New Roman" w:eastAsia="仿宋_GB2312" w:cs="Times New Roman"/>
          <w:sz w:val="24"/>
        </w:rPr>
        <w:t>大部分能自行解决的占</w:t>
      </w:r>
      <w:r>
        <w:rPr>
          <w:rFonts w:hint="eastAsia" w:ascii="仿宋_GB2312" w:hAnsi="Times New Roman" w:eastAsia="仿宋_GB2312" w:cs="Times New Roman"/>
          <w:sz w:val="24"/>
        </w:rPr>
        <w:t>41.18</w:t>
      </w:r>
      <w:r>
        <w:rPr>
          <w:rFonts w:ascii="仿宋_GB2312" w:hAnsi="Times New Roman" w:eastAsia="仿宋_GB2312" w:cs="Times New Roman"/>
          <w:sz w:val="24"/>
        </w:rPr>
        <w:t>%（权重系数1.0），需要技术人员上门的</w:t>
      </w:r>
      <w:r>
        <w:rPr>
          <w:rFonts w:hint="eastAsia" w:ascii="仿宋_GB2312" w:hAnsi="Times New Roman" w:eastAsia="仿宋_GB2312" w:cs="Times New Roman"/>
          <w:sz w:val="24"/>
        </w:rPr>
        <w:t>占52.94</w:t>
      </w:r>
      <w:r>
        <w:rPr>
          <w:rFonts w:ascii="仿宋_GB2312" w:hAnsi="Times New Roman" w:eastAsia="仿宋_GB2312" w:cs="Times New Roman"/>
          <w:sz w:val="24"/>
        </w:rPr>
        <w:t>%（权重系数0.5），需要厂商</w:t>
      </w:r>
      <w:r>
        <w:rPr>
          <w:rFonts w:hint="eastAsia" w:ascii="仿宋_GB2312" w:hAnsi="Times New Roman" w:eastAsia="仿宋_GB2312" w:cs="Times New Roman"/>
          <w:sz w:val="24"/>
        </w:rPr>
        <w:t>远程</w:t>
      </w:r>
      <w:r>
        <w:rPr>
          <w:rFonts w:ascii="仿宋_GB2312" w:hAnsi="Times New Roman" w:eastAsia="仿宋_GB2312" w:cs="Times New Roman"/>
          <w:sz w:val="24"/>
        </w:rPr>
        <w:t>/上门支持的占</w:t>
      </w:r>
      <w:r>
        <w:rPr>
          <w:rFonts w:hint="eastAsia" w:ascii="仿宋_GB2312" w:hAnsi="Times New Roman" w:eastAsia="仿宋_GB2312" w:cs="Times New Roman"/>
          <w:sz w:val="24"/>
        </w:rPr>
        <w:t>5.88</w:t>
      </w:r>
      <w:r>
        <w:rPr>
          <w:rFonts w:ascii="仿宋_GB2312" w:hAnsi="Times New Roman" w:eastAsia="仿宋_GB2312" w:cs="Times New Roman"/>
          <w:sz w:val="24"/>
        </w:rPr>
        <w:t>%（权重系数0）。根据</w:t>
      </w:r>
      <w:r>
        <w:rPr>
          <w:rFonts w:hint="eastAsia" w:ascii="仿宋_GB2312" w:hAnsi="Times New Roman" w:eastAsia="仿宋_GB2312" w:cs="Times New Roman"/>
          <w:sz w:val="24"/>
        </w:rPr>
        <w:t>“</w:t>
      </w:r>
      <w:r>
        <w:rPr>
          <w:rFonts w:ascii="仿宋_GB2312" w:hAnsi="Times New Roman" w:eastAsia="仿宋_GB2312" w:cs="Times New Roman"/>
          <w:sz w:val="24"/>
        </w:rPr>
        <w:t>(可自行解决比例×1.0+需技术人员支持比例×0.5)×基准分5分</w:t>
      </w:r>
      <w:r>
        <w:rPr>
          <w:rFonts w:hint="eastAsia" w:ascii="仿宋_GB2312" w:hAnsi="Times New Roman" w:eastAsia="仿宋_GB2312" w:cs="Times New Roman"/>
          <w:sz w:val="24"/>
        </w:rPr>
        <w:t>”最终计算得分为3.38</w:t>
      </w:r>
      <w:r>
        <w:rPr>
          <w:rFonts w:ascii="仿宋_GB2312" w:hAnsi="Times New Roman" w:eastAsia="仿宋_GB2312" w:cs="Times New Roman"/>
          <w:sz w:val="24"/>
        </w:rPr>
        <w:t>分</w:t>
      </w:r>
      <w:r>
        <w:rPr>
          <w:rFonts w:hint="eastAsia" w:ascii="仿宋_GB2312" w:hAnsi="Times New Roman" w:eastAsia="仿宋_GB2312" w:cs="Times New Roman"/>
          <w:sz w:val="24"/>
        </w:rPr>
        <w:t>。</w:t>
      </w:r>
    </w:p>
    <w:p w14:paraId="30FBA41C">
      <w:pPr>
        <w:spacing w:line="360" w:lineRule="auto"/>
        <w:ind w:firstLine="480" w:firstLineChars="200"/>
        <w:rPr>
          <w:rFonts w:ascii="仿宋_GB2312" w:hAnsi="Times New Roman" w:eastAsia="仿宋_GB2312" w:cs="Times New Roman"/>
          <w:sz w:val="24"/>
        </w:rPr>
      </w:pPr>
      <w:r>
        <w:rPr>
          <w:rFonts w:hint="eastAsia" w:ascii="仿宋_GB2312" w:hAnsi="Times New Roman" w:eastAsia="仿宋_GB2312" w:cs="Times New Roman"/>
          <w:sz w:val="24"/>
        </w:rPr>
        <w:t>3.服务对象满意度指标（分值10分，得分9.78分）</w:t>
      </w:r>
    </w:p>
    <w:p w14:paraId="40D39F1D">
      <w:pPr>
        <w:spacing w:line="360" w:lineRule="auto"/>
        <w:ind w:firstLine="480" w:firstLineChars="200"/>
        <w:rPr>
          <w:rFonts w:ascii="仿宋_GB2312" w:hAnsi="Times New Roman" w:eastAsia="仿宋_GB2312" w:cs="Times New Roman"/>
          <w:sz w:val="24"/>
        </w:rPr>
      </w:pPr>
      <w:r>
        <w:rPr>
          <w:rFonts w:hint="eastAsia" w:ascii="仿宋_GB2312" w:hAnsi="Times New Roman" w:eastAsia="仿宋_GB2312" w:cs="Times New Roman"/>
          <w:sz w:val="24"/>
        </w:rPr>
        <w:t>根据回收的46份有效调查问卷，针对设备使用部门进行满意度调查，根据第</w:t>
      </w:r>
      <w:r>
        <w:rPr>
          <w:rFonts w:ascii="仿宋_GB2312" w:hAnsi="Times New Roman" w:eastAsia="仿宋_GB2312" w:cs="Times New Roman"/>
          <w:sz w:val="24"/>
        </w:rPr>
        <w:t>11</w:t>
      </w:r>
      <w:r>
        <w:rPr>
          <w:rFonts w:hint="eastAsia" w:ascii="仿宋_GB2312" w:hAnsi="Times New Roman" w:eastAsia="仿宋_GB2312" w:cs="Times New Roman"/>
          <w:sz w:val="24"/>
        </w:rPr>
        <w:t>题“</w:t>
      </w:r>
      <w:r>
        <w:rPr>
          <w:rFonts w:ascii="仿宋_GB2312" w:hAnsi="Times New Roman" w:eastAsia="仿宋_GB2312" w:cs="Times New Roman"/>
          <w:sz w:val="24"/>
        </w:rPr>
        <w:t>请对更换后的多媒体教学设备进行满意度打分（1=非常不满意，5=非常满意）</w:t>
      </w:r>
      <w:r>
        <w:rPr>
          <w:rFonts w:hint="eastAsia" w:ascii="仿宋_GB2312" w:hAnsi="Times New Roman" w:eastAsia="仿宋_GB2312" w:cs="Times New Roman"/>
          <w:sz w:val="24"/>
        </w:rPr>
        <w:t>。”数据统计，5分（非常满意）占63.04%；4分（满意）占34.78%；3分（一般）占2.17%；2分及以下（不满意）占0%。经计算，</w:t>
      </w:r>
      <w:r>
        <w:rPr>
          <w:rFonts w:ascii="仿宋_GB2312" w:hAnsi="Times New Roman" w:eastAsia="仿宋_GB2312" w:cs="Times New Roman"/>
          <w:sz w:val="24"/>
        </w:rPr>
        <w:t>设备使用满意度达97.82%（4分及以上）</w:t>
      </w:r>
      <w:r>
        <w:rPr>
          <w:rFonts w:hint="eastAsia" w:ascii="仿宋_GB2312" w:hAnsi="Times New Roman" w:eastAsia="仿宋_GB2312" w:cs="Times New Roman"/>
          <w:sz w:val="24"/>
        </w:rPr>
        <w:t>，</w:t>
      </w:r>
      <w:r>
        <w:rPr>
          <w:rFonts w:ascii="仿宋_GB2312" w:hAnsi="Times New Roman" w:eastAsia="仿宋_GB2312" w:cs="Times New Roman"/>
          <w:sz w:val="24"/>
        </w:rPr>
        <w:t>最终得分为</w:t>
      </w:r>
      <w:r>
        <w:rPr>
          <w:rFonts w:hint="eastAsia" w:ascii="仿宋_GB2312" w:hAnsi="Times New Roman" w:eastAsia="仿宋_GB2312" w:cs="Times New Roman"/>
          <w:sz w:val="24"/>
        </w:rPr>
        <w:t>9.78</w:t>
      </w:r>
      <w:r>
        <w:rPr>
          <w:rFonts w:ascii="仿宋_GB2312" w:hAnsi="Times New Roman" w:eastAsia="仿宋_GB2312" w:cs="Times New Roman"/>
          <w:sz w:val="24"/>
        </w:rPr>
        <w:t>分</w:t>
      </w:r>
      <w:r>
        <w:rPr>
          <w:rFonts w:hint="eastAsia" w:ascii="仿宋_GB2312" w:hAnsi="Times New Roman" w:eastAsia="仿宋_GB2312" w:cs="Times New Roman"/>
          <w:sz w:val="24"/>
        </w:rPr>
        <w:t>（即97.82%</w:t>
      </w:r>
      <w:r>
        <w:rPr>
          <w:rFonts w:ascii="仿宋_GB2312" w:hAnsi="Times New Roman" w:eastAsia="仿宋_GB2312" w:cs="Times New Roman"/>
          <w:sz w:val="24"/>
        </w:rPr>
        <w:t>×10</w:t>
      </w:r>
      <w:r>
        <w:rPr>
          <w:rFonts w:hint="eastAsia" w:ascii="仿宋_GB2312" w:hAnsi="Times New Roman" w:eastAsia="仿宋_GB2312" w:cs="Times New Roman"/>
          <w:sz w:val="24"/>
        </w:rPr>
        <w:t>）。其中，石狮市第七中学因硬件稳定性差、故障频发，单独给出“3分（一般）”。</w:t>
      </w:r>
    </w:p>
    <w:p w14:paraId="118BE651">
      <w:pPr>
        <w:spacing w:line="360" w:lineRule="auto"/>
        <w:ind w:firstLine="480" w:firstLineChars="200"/>
        <w:rPr>
          <w:rFonts w:ascii="仿宋_GB2312" w:hAnsi="Times New Roman" w:eastAsia="仿宋_GB2312" w:cs="Times New Roman"/>
          <w:sz w:val="24"/>
        </w:rPr>
      </w:pPr>
    </w:p>
    <w:p w14:paraId="3F0F6F8B">
      <w:pPr>
        <w:spacing w:line="360" w:lineRule="auto"/>
        <w:ind w:firstLine="562" w:firstLineChars="200"/>
        <w:outlineLvl w:val="0"/>
        <w:rPr>
          <w:rFonts w:hint="eastAsia" w:ascii="仿宋" w:hAnsi="仿宋" w:eastAsia="仿宋" w:cs="仿宋"/>
          <w:b/>
          <w:bCs/>
          <w:sz w:val="28"/>
          <w:szCs w:val="28"/>
          <w:lang w:val="zh-CN"/>
        </w:rPr>
      </w:pPr>
      <w:bookmarkStart w:id="57" w:name="_Toc184981309"/>
      <w:bookmarkStart w:id="58" w:name="_Toc205940242"/>
      <w:bookmarkStart w:id="59" w:name="_Toc184981071"/>
      <w:bookmarkStart w:id="60" w:name="_Toc21059"/>
      <w:r>
        <w:rPr>
          <w:rFonts w:hint="eastAsia" w:ascii="仿宋" w:hAnsi="仿宋" w:eastAsia="仿宋" w:cs="仿宋"/>
          <w:b/>
          <w:bCs/>
          <w:sz w:val="28"/>
          <w:szCs w:val="28"/>
          <w:lang w:val="zh-CN"/>
        </w:rPr>
        <w:t>五、主要经验及做法、存在的问题及原因分析</w:t>
      </w:r>
      <w:bookmarkEnd w:id="57"/>
      <w:bookmarkEnd w:id="58"/>
      <w:bookmarkEnd w:id="59"/>
      <w:bookmarkEnd w:id="60"/>
    </w:p>
    <w:p w14:paraId="4E36F13A">
      <w:pPr>
        <w:spacing w:line="360" w:lineRule="auto"/>
        <w:ind w:firstLine="482" w:firstLineChars="200"/>
        <w:outlineLvl w:val="1"/>
        <w:rPr>
          <w:rFonts w:hint="eastAsia" w:ascii="仿宋" w:hAnsi="仿宋" w:eastAsia="仿宋" w:cs="Times New Roman"/>
          <w:b/>
          <w:bCs/>
          <w:sz w:val="24"/>
        </w:rPr>
      </w:pPr>
      <w:bookmarkStart w:id="61" w:name="_Toc184981310"/>
      <w:bookmarkStart w:id="62" w:name="_Toc205940243"/>
      <w:bookmarkStart w:id="63" w:name="_Toc184981072"/>
      <w:bookmarkStart w:id="64" w:name="_Toc24341"/>
      <w:bookmarkStart w:id="65" w:name="_Toc19516"/>
      <w:r>
        <w:rPr>
          <w:rFonts w:hint="eastAsia" w:ascii="仿宋" w:hAnsi="仿宋" w:eastAsia="仿宋" w:cs="Times New Roman"/>
          <w:b/>
          <w:bCs/>
          <w:sz w:val="24"/>
        </w:rPr>
        <w:t>（一）主要经验及做法</w:t>
      </w:r>
      <w:bookmarkEnd w:id="61"/>
      <w:bookmarkEnd w:id="62"/>
      <w:bookmarkEnd w:id="63"/>
      <w:bookmarkEnd w:id="64"/>
      <w:bookmarkEnd w:id="65"/>
    </w:p>
    <w:p w14:paraId="2CD10DB8">
      <w:pPr>
        <w:spacing w:line="360" w:lineRule="auto"/>
        <w:ind w:firstLine="480" w:firstLineChars="200"/>
        <w:rPr>
          <w:rFonts w:ascii="仿宋_GB2312" w:hAnsi="Times New Roman" w:eastAsia="仿宋_GB2312" w:cs="Times New Roman"/>
          <w:sz w:val="24"/>
        </w:rPr>
      </w:pPr>
      <w:r>
        <w:rPr>
          <w:rFonts w:hint="eastAsia" w:ascii="仿宋_GB2312" w:hAnsi="Times New Roman" w:eastAsia="仿宋_GB2312" w:cs="Times New Roman"/>
          <w:sz w:val="24"/>
        </w:rPr>
        <w:t>石狮市中小学班级多媒体教师设备全覆盖工程项目在招标采购环节较为成熟，且成效较好。在2024年的中小学多媒体教学设备的采购过程中，石狮市教育局严格遵循《石狮市教育局关于印发石狮市教育局货物及服务类政府采购管理制度(试行)的通知》（狮教财〔2023〕6号）等文件要求，采用“事前询价+公开招标”相结合的采购方式，科学控制采购成本。具体做法包括：①通过公开发布报价征集方案，广泛征集市场报价后选取合理最低报价作为底标价，并以此为基础设定合理的招标最高限价。②组织公开招标，在评标中采用综合评分法，将价格因素占比控制在30%以内，重点考核设备性能、售后服务等关键指标，确保在控制采购成本的同时保障设备质量。通过规范透明的采购流程，</w:t>
      </w:r>
      <w:r>
        <w:rPr>
          <w:rFonts w:ascii="仿宋_GB2312" w:hAnsi="Times New Roman" w:eastAsia="仿宋_GB2312" w:cs="Times New Roman"/>
          <w:sz w:val="24"/>
        </w:rPr>
        <w:t>最终中标价格较预算控制价下浮0.4%，这一结果表明本次采购工作取得了预期成效。从预算编制来看，采购前通过充分的市场调研和教学需求论证，对设备成本、安装调试及售后服务等各项费用进行了精准测算，使预算价格与实际市场行情高度吻合；从采购实施来看，采用</w:t>
      </w:r>
      <w:r>
        <w:rPr>
          <w:rFonts w:hint="eastAsia" w:ascii="仿宋_GB2312" w:hAnsi="Times New Roman" w:eastAsia="仿宋_GB2312" w:cs="Times New Roman"/>
          <w:sz w:val="24"/>
        </w:rPr>
        <w:t>“</w:t>
      </w:r>
      <w:r>
        <w:rPr>
          <w:rFonts w:ascii="仿宋_GB2312" w:hAnsi="Times New Roman" w:eastAsia="仿宋_GB2312" w:cs="Times New Roman"/>
          <w:sz w:val="24"/>
        </w:rPr>
        <w:t>两阶段</w:t>
      </w:r>
      <w:r>
        <w:rPr>
          <w:rFonts w:hint="eastAsia" w:ascii="仿宋_GB2312" w:hAnsi="Times New Roman" w:eastAsia="仿宋_GB2312" w:cs="Times New Roman"/>
          <w:sz w:val="24"/>
        </w:rPr>
        <w:t>”</w:t>
      </w:r>
      <w:r>
        <w:rPr>
          <w:rFonts w:ascii="仿宋_GB2312" w:hAnsi="Times New Roman" w:eastAsia="仿宋_GB2312" w:cs="Times New Roman"/>
          <w:sz w:val="24"/>
        </w:rPr>
        <w:t>采购模式，通过报价征集环节充分掌握市场真实价格水平，再通过综合评分法科学平衡价格与质量的关系，既防范了低价恶性竞争，又确保了设备质量和教学适用性。这种小幅度的价格下浮恰恰说明本次政府采购工作规范到位：一方面预算编制科学合理，基本反映了项目的真实成本；另一方面采购方案设计严谨，在确保设备质量的前提下实现了最优性价比，既体现了财政资金使用效益，又避免了因过度追求低价可能带来的质量风险</w:t>
      </w:r>
      <w:r>
        <w:rPr>
          <w:rFonts w:hint="eastAsia" w:ascii="仿宋_GB2312" w:hAnsi="Times New Roman" w:eastAsia="仿宋_GB2312" w:cs="Times New Roman"/>
          <w:sz w:val="24"/>
        </w:rPr>
        <w:t>。为后续设备安装调试和维护工作奠定了良好基础，有效提升了全市教育信息化建设水平。</w:t>
      </w:r>
    </w:p>
    <w:p w14:paraId="6B0828E7">
      <w:pPr>
        <w:spacing w:line="360" w:lineRule="auto"/>
        <w:ind w:firstLine="482" w:firstLineChars="200"/>
        <w:outlineLvl w:val="1"/>
        <w:rPr>
          <w:rFonts w:ascii="仿宋_GB2312" w:hAnsi="Times New Roman" w:eastAsia="仿宋_GB2312" w:cs="Times New Roman"/>
          <w:b/>
          <w:bCs/>
          <w:sz w:val="24"/>
        </w:rPr>
      </w:pPr>
      <w:bookmarkStart w:id="66" w:name="_Toc8452"/>
      <w:bookmarkStart w:id="67" w:name="_Toc184981073"/>
      <w:bookmarkStart w:id="68" w:name="_Toc205940244"/>
      <w:bookmarkStart w:id="69" w:name="_Toc184981311"/>
      <w:bookmarkStart w:id="70" w:name="_Toc13264"/>
      <w:r>
        <w:rPr>
          <w:rFonts w:hint="eastAsia" w:ascii="仿宋_GB2312" w:hAnsi="Times New Roman" w:eastAsia="仿宋_GB2312" w:cs="Times New Roman"/>
          <w:b/>
          <w:bCs/>
          <w:sz w:val="24"/>
        </w:rPr>
        <w:t>（二）存在的问题及原因分析</w:t>
      </w:r>
      <w:bookmarkEnd w:id="66"/>
      <w:bookmarkEnd w:id="67"/>
      <w:bookmarkEnd w:id="68"/>
      <w:bookmarkEnd w:id="69"/>
      <w:bookmarkEnd w:id="70"/>
    </w:p>
    <w:p w14:paraId="331616B0">
      <w:pPr>
        <w:spacing w:line="360" w:lineRule="auto"/>
        <w:ind w:firstLine="482" w:firstLineChars="200"/>
        <w:outlineLvl w:val="1"/>
        <w:rPr>
          <w:rFonts w:hint="eastAsia" w:ascii="仿宋_GB2312" w:hAnsi="Times New Roman" w:eastAsia="仿宋_GB2312" w:cs="Times New Roman"/>
          <w:b/>
          <w:bCs/>
          <w:sz w:val="24"/>
          <w:lang w:val="zh-CN"/>
        </w:rPr>
      </w:pPr>
      <w:r>
        <w:rPr>
          <w:rFonts w:hint="eastAsia" w:ascii="仿宋_GB2312" w:hAnsi="Times New Roman" w:eastAsia="仿宋_GB2312" w:cs="Times New Roman"/>
          <w:b/>
          <w:bCs/>
          <w:sz w:val="24"/>
        </w:rPr>
        <w:t>1</w:t>
      </w:r>
      <w:r>
        <w:rPr>
          <w:rFonts w:hint="eastAsia" w:ascii="仿宋_GB2312" w:hAnsi="Times New Roman" w:eastAsia="仿宋_GB2312" w:cs="Times New Roman"/>
          <w:b/>
          <w:bCs/>
          <w:sz w:val="24"/>
          <w:lang w:val="zh-CN"/>
        </w:rPr>
        <w:t>.绩效指标体系设计不完善</w:t>
      </w:r>
    </w:p>
    <w:p w14:paraId="71711FA6">
      <w:pPr>
        <w:spacing w:line="360" w:lineRule="auto"/>
        <w:ind w:firstLine="480" w:firstLineChars="200"/>
        <w:rPr>
          <w:rFonts w:ascii="仿宋_GB2312" w:hAnsi="Times New Roman" w:eastAsia="仿宋_GB2312" w:cs="Times New Roman"/>
          <w:sz w:val="24"/>
        </w:rPr>
      </w:pPr>
      <w:r>
        <w:rPr>
          <w:rFonts w:hint="eastAsia" w:ascii="仿宋_GB2312" w:hAnsi="Times New Roman" w:eastAsia="仿宋_GB2312" w:cs="Times New Roman"/>
          <w:sz w:val="24"/>
          <w:lang w:val="zh-CN"/>
        </w:rPr>
        <w:t>根据石狮市教育局所提供的项目绩效目标表及绩效自评报告的资料，工作组发现该项目中的指标权重设计存在缺陷，</w:t>
      </w:r>
      <w:r>
        <w:rPr>
          <w:rFonts w:hint="eastAsia" w:ascii="仿宋" w:hAnsi="仿宋" w:eastAsia="仿宋" w:cs="Times New Roman"/>
          <w:sz w:val="24"/>
        </w:rPr>
        <w:t>在“产出指标-时效指标”中，以“资金支付及时率”作为三级指标，实则是将“资金管理”指标错误归入“产出指标”，</w:t>
      </w:r>
      <w:r>
        <w:rPr>
          <w:rFonts w:hint="eastAsia" w:ascii="仿宋_GB2312" w:hAnsi="Times New Roman" w:eastAsia="仿宋_GB2312" w:cs="Times New Roman"/>
          <w:sz w:val="24"/>
          <w:lang w:val="zh-CN"/>
        </w:rPr>
        <w:t>此外，社会效益指标与产出指标比重失衡，指标中“提高办学条件”等社会效益指标占比30%，而具体可量化的产出指标如“设备采购数量”却明显偏低。且社会效益指标仅采用模糊的定性描述，缺乏具体内涵和量化标准。</w:t>
      </w:r>
      <w:r>
        <w:rPr>
          <w:rFonts w:ascii="仿宋_GB2312" w:hAnsi="Times New Roman" w:eastAsia="仿宋_GB2312" w:cs="Times New Roman"/>
          <w:sz w:val="24"/>
        </w:rPr>
        <w:t>指标体系</w:t>
      </w:r>
      <w:r>
        <w:rPr>
          <w:rFonts w:hint="eastAsia" w:ascii="仿宋_GB2312" w:hAnsi="Times New Roman" w:eastAsia="仿宋_GB2312" w:cs="Times New Roman"/>
          <w:sz w:val="24"/>
          <w:lang w:val="zh-CN"/>
        </w:rPr>
        <w:t>未设置设备利用率、运维保障等关键效益指标，</w:t>
      </w:r>
      <w:r>
        <w:rPr>
          <w:rFonts w:hint="eastAsia" w:ascii="仿宋_GB2312" w:hAnsi="Times New Roman" w:eastAsia="仿宋_GB2312" w:cs="Times New Roman"/>
          <w:sz w:val="24"/>
        </w:rPr>
        <w:t>无法直接关联设备投入与教学效果的关联机制。</w:t>
      </w:r>
      <w:r>
        <w:rPr>
          <w:rFonts w:hint="eastAsia" w:ascii="仿宋_GB2312" w:hAnsi="Times New Roman" w:eastAsia="仿宋_GB2312" w:cs="Times New Roman"/>
          <w:sz w:val="24"/>
          <w:lang w:val="zh-CN"/>
        </w:rPr>
        <w:t>未严格遵守《项目支出绩效评价管理办法》中关于“指标科学完整、数据可验证”的规定，缺乏科学的指标设计。</w:t>
      </w:r>
    </w:p>
    <w:p w14:paraId="1BD8089C">
      <w:pPr>
        <w:spacing w:line="360" w:lineRule="auto"/>
        <w:ind w:firstLine="482" w:firstLineChars="200"/>
        <w:outlineLvl w:val="1"/>
        <w:rPr>
          <w:rFonts w:hint="default" w:ascii="仿宋_GB2312" w:hAnsi="Times New Roman" w:eastAsia="仿宋_GB2312" w:cs="Times New Roman"/>
          <w:b/>
          <w:bCs/>
          <w:sz w:val="24"/>
          <w:lang w:val="en-US" w:eastAsia="zh-CN"/>
        </w:rPr>
      </w:pPr>
      <w:r>
        <w:rPr>
          <w:rFonts w:hint="eastAsia" w:ascii="仿宋_GB2312" w:hAnsi="Times New Roman" w:eastAsia="仿宋_GB2312" w:cs="Times New Roman"/>
          <w:b/>
          <w:bCs/>
          <w:sz w:val="24"/>
        </w:rPr>
        <w:t>2.</w:t>
      </w:r>
      <w:r>
        <w:rPr>
          <w:rFonts w:hint="eastAsia" w:ascii="仿宋_GB2312" w:hAnsi="Times New Roman" w:eastAsia="仿宋_GB2312" w:cs="Times New Roman"/>
          <w:b/>
          <w:bCs/>
          <w:sz w:val="24"/>
          <w:lang w:val="en-US" w:eastAsia="zh-CN"/>
        </w:rPr>
        <w:t>合同执行与资金支付存在监管缺失，导致产出时效滞后</w:t>
      </w:r>
    </w:p>
    <w:p w14:paraId="79450458">
      <w:pPr>
        <w:spacing w:line="360" w:lineRule="auto"/>
        <w:ind w:firstLine="480" w:firstLineChars="200"/>
        <w:rPr>
          <w:rFonts w:ascii="仿宋_GB2312" w:hAnsi="Times New Roman" w:eastAsia="仿宋_GB2312" w:cs="Times New Roman"/>
          <w:sz w:val="24"/>
        </w:rPr>
      </w:pPr>
      <w:r>
        <w:rPr>
          <w:rFonts w:hint="eastAsia" w:ascii="仿宋_GB2312" w:hAnsi="Times New Roman" w:eastAsia="仿宋_GB2312" w:cs="Times New Roman"/>
          <w:sz w:val="24"/>
          <w:lang w:val="zh-CN"/>
        </w:rPr>
        <w:t>石狮市教育局在采购合同中明确规定了交货进度及验收时间和分阶段付款，但项目在实际执行过程中，仍然存在验收未按规定时间交付，资金支付也未按规定时间支付的问题，这反映采购执行中的监管和制度执行力度不足问题。缺乏有效的监督考核机制，特别是对资金支付和验收流程的监管不到位，具体表现为：资金支付未严格按合同约定的“50%：45%：5%”分阶段付款执行，部分款项支付滞后；验收进度存在分段滞后，根据验收记录显示，截至2024年11月30日，仅有68套多媒体教学设备于2024年8月20日按时完成验收，仅占总任务量的28.6%。其余170套设备的直至2024年12月才完成验收，较原定2024年10月15日计划延后约50天。经现场访谈了解，主要原因是供应商材料提交不及时，导致验收未按计划推进，进而影响了项目整体的结算进度。</w:t>
      </w:r>
    </w:p>
    <w:p w14:paraId="67C4945C">
      <w:pPr>
        <w:spacing w:line="360" w:lineRule="auto"/>
        <w:ind w:firstLine="482" w:firstLineChars="200"/>
        <w:outlineLvl w:val="1"/>
        <w:rPr>
          <w:rFonts w:hint="default" w:ascii="仿宋_GB2312" w:hAnsi="Times New Roman" w:eastAsia="仿宋_GB2312" w:cs="Times New Roman"/>
          <w:b/>
          <w:bCs/>
          <w:sz w:val="24"/>
          <w:highlight w:val="none"/>
          <w:lang w:val="en-US" w:eastAsia="zh-CN"/>
        </w:rPr>
      </w:pPr>
      <w:bookmarkStart w:id="71" w:name="_Hlk205479100"/>
      <w:r>
        <w:rPr>
          <w:rFonts w:hint="eastAsia" w:ascii="仿宋_GB2312" w:hAnsi="Times New Roman" w:eastAsia="仿宋_GB2312" w:cs="Times New Roman"/>
          <w:b/>
          <w:bCs/>
          <w:sz w:val="24"/>
          <w:highlight w:val="none"/>
          <w:lang w:val="en-US" w:eastAsia="zh-CN"/>
        </w:rPr>
        <w:t>3.</w:t>
      </w:r>
      <w:r>
        <w:rPr>
          <w:rFonts w:hint="eastAsia" w:ascii="仿宋_GB2312" w:hAnsi="Times New Roman" w:eastAsia="仿宋_GB2312" w:cs="Times New Roman"/>
          <w:b/>
          <w:bCs/>
          <w:sz w:val="24"/>
          <w:highlight w:val="none"/>
        </w:rPr>
        <w:t>多媒体教学设备配置规格标准偏高</w:t>
      </w:r>
    </w:p>
    <w:p w14:paraId="3AE04794">
      <w:pPr>
        <w:spacing w:line="360" w:lineRule="auto"/>
        <w:ind w:firstLine="480" w:firstLineChars="200"/>
        <w:rPr>
          <w:rFonts w:hint="eastAsia" w:ascii="仿宋" w:hAnsi="仿宋" w:eastAsia="仿宋" w:cs="Times New Roman"/>
          <w:sz w:val="24"/>
        </w:rPr>
      </w:pPr>
      <w:r>
        <w:rPr>
          <w:rFonts w:ascii="仿宋" w:hAnsi="仿宋" w:eastAsia="仿宋" w:cs="Times New Roman"/>
          <w:sz w:val="24"/>
        </w:rPr>
        <w:t>工作组通过实地考察发现，当前配置的希沃触控一体机FG86EA存在高配低用问题。其硬件性能与扩展功能被过度设计，远超当前中小学常规课堂教学需求。溯源来看，设备选型阶段未建立基于一线教师真实使用场景的需求模型，过度聚焦CPU主频、内存容量、多点触控精度等技术参数，导致系统自带的分组研讨、AI学情分析、远程互动课堂等高级模块成为事实上的冗余配置。在实际使用场景中，多数教师的操作仅停留在基础触控、PPT播放与简易批注上，复杂的多级菜单和专业化功能反而抬高了使用门槛，增加了认知负荷；而实现板书书写与课件播放这两项核心需求，本可通过性价比更高的中端设备或交互式投影方案完成。与此同时，尽管设备功能丰富，但教师培训体系仅覆盖基础操作，对高阶模块缺乏分层、分科的系统化指导，致使设备潜能长期沉睡。高配置带来的不仅是购置成本上升，更推高了后续维保、升级与能耗支出，形成“投入高、产出低、维护贵”的恶性循环。</w:t>
      </w:r>
      <w:bookmarkEnd w:id="71"/>
      <w:bookmarkStart w:id="72" w:name="_Toc184981074"/>
      <w:bookmarkStart w:id="73" w:name="_Toc24504"/>
      <w:bookmarkStart w:id="74" w:name="_Toc184981312"/>
    </w:p>
    <w:p w14:paraId="4926D022">
      <w:pPr>
        <w:spacing w:line="360" w:lineRule="auto"/>
        <w:ind w:firstLine="562" w:firstLineChars="200"/>
        <w:outlineLvl w:val="0"/>
        <w:rPr>
          <w:rFonts w:hint="eastAsia" w:ascii="仿宋" w:hAnsi="仿宋" w:eastAsia="仿宋" w:cs="仿宋"/>
          <w:b/>
          <w:bCs/>
          <w:sz w:val="28"/>
          <w:szCs w:val="28"/>
          <w:lang w:val="zh-CN"/>
        </w:rPr>
      </w:pPr>
      <w:bookmarkStart w:id="75" w:name="_Toc205940245"/>
      <w:r>
        <w:rPr>
          <w:rFonts w:hint="eastAsia" w:ascii="仿宋" w:hAnsi="仿宋" w:eastAsia="仿宋" w:cs="仿宋"/>
          <w:b/>
          <w:bCs/>
          <w:sz w:val="28"/>
          <w:szCs w:val="28"/>
          <w:lang w:val="zh-CN"/>
        </w:rPr>
        <w:t>六、有关建议</w:t>
      </w:r>
      <w:bookmarkEnd w:id="72"/>
      <w:bookmarkEnd w:id="73"/>
      <w:bookmarkEnd w:id="74"/>
      <w:bookmarkEnd w:id="75"/>
    </w:p>
    <w:p w14:paraId="710B7A3F">
      <w:pPr>
        <w:spacing w:line="360" w:lineRule="auto"/>
        <w:ind w:firstLine="482" w:firstLineChars="200"/>
        <w:outlineLvl w:val="1"/>
        <w:rPr>
          <w:rFonts w:ascii="仿宋_GB2312" w:hAnsi="Times New Roman" w:eastAsia="仿宋_GB2312" w:cs="Times New Roman"/>
          <w:b/>
          <w:bCs/>
          <w:sz w:val="24"/>
        </w:rPr>
      </w:pPr>
      <w:bookmarkStart w:id="76" w:name="_Toc205940246"/>
      <w:bookmarkStart w:id="77" w:name="_Toc19117"/>
      <w:bookmarkStart w:id="78" w:name="_Toc184981075"/>
      <w:bookmarkStart w:id="79" w:name="_Toc184981313"/>
      <w:r>
        <w:rPr>
          <w:rFonts w:hint="eastAsia" w:ascii="仿宋_GB2312" w:hAnsi="Times New Roman" w:eastAsia="仿宋_GB2312" w:cs="Times New Roman"/>
          <w:b/>
          <w:bCs/>
          <w:sz w:val="24"/>
        </w:rPr>
        <w:t>（一）完善制度管理和绩效指标设定</w:t>
      </w:r>
      <w:bookmarkEnd w:id="76"/>
      <w:bookmarkEnd w:id="77"/>
      <w:bookmarkEnd w:id="78"/>
      <w:bookmarkEnd w:id="79"/>
    </w:p>
    <w:p w14:paraId="605DB12E">
      <w:pPr>
        <w:pStyle w:val="6"/>
        <w:numPr>
          <w:ilvl w:val="0"/>
          <w:numId w:val="0"/>
        </w:numPr>
        <w:tabs>
          <w:tab w:val="clear" w:pos="2040"/>
        </w:tabs>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针对评价过程中发现的绩效指标不明确、制度执行有效性不足的问题，建议项目管理部门加强制度管理的</w:t>
      </w:r>
      <w:r>
        <w:rPr>
          <w:rFonts w:ascii="仿宋_GB2312" w:hAnsi="Times New Roman" w:eastAsia="仿宋_GB2312" w:cs="Times New Roman"/>
          <w:sz w:val="24"/>
        </w:rPr>
        <w:t>监督机制和考核体系，</w:t>
      </w:r>
      <w:r>
        <w:rPr>
          <w:rFonts w:hint="eastAsia" w:ascii="仿宋_GB2312" w:hAnsi="Times New Roman" w:eastAsia="仿宋_GB2312" w:cs="Times New Roman"/>
          <w:sz w:val="24"/>
        </w:rPr>
        <w:t>将支付及时率纳入项目负责人绩效考核，</w:t>
      </w:r>
      <w:r>
        <w:rPr>
          <w:rFonts w:ascii="仿宋_GB2312" w:hAnsi="Times New Roman" w:eastAsia="仿宋_GB2312" w:cs="Times New Roman"/>
          <w:sz w:val="24"/>
        </w:rPr>
        <w:t>确保资金拨付与项目进度同步</w:t>
      </w:r>
      <w:r>
        <w:rPr>
          <w:rFonts w:hint="eastAsia" w:ascii="仿宋_GB2312" w:hAnsi="Times New Roman" w:eastAsia="仿宋_GB2312" w:cs="Times New Roman"/>
          <w:sz w:val="24"/>
          <w:lang w:val="zh-CN"/>
        </w:rPr>
        <w:t>。同时规范绩效指标体系，绩效指标的设置应遵循财政部《项目支出绩效评价管理办法》的要求，参照《项目支出绩效自评表》规范设置一级指标和二级指标，三级个性化指标则根据项目自身特点设置具体可量化的指标。</w:t>
      </w:r>
      <w:r>
        <w:rPr>
          <w:rFonts w:hint="eastAsia" w:ascii="仿宋_GB2312" w:hAnsi="Times New Roman" w:eastAsia="仿宋_GB2312" w:cs="Times New Roman"/>
          <w:sz w:val="24"/>
        </w:rPr>
        <w:t>组织相关人员系统学习</w:t>
      </w:r>
      <w:r>
        <w:rPr>
          <w:rFonts w:hint="eastAsia" w:ascii="仿宋_GB2312" w:hAnsi="Times New Roman" w:eastAsia="仿宋_GB2312" w:cs="Times New Roman"/>
          <w:sz w:val="24"/>
          <w:lang w:val="zh-CN"/>
        </w:rPr>
        <w:t>《项目支出绩效评价管理办法》，明确各类指标的定义、层级及相关权重分值的设置，科学设置指标体系。</w:t>
      </w:r>
    </w:p>
    <w:p w14:paraId="056319F1">
      <w:pPr>
        <w:spacing w:line="360" w:lineRule="auto"/>
        <w:ind w:firstLine="482" w:firstLineChars="200"/>
        <w:outlineLvl w:val="1"/>
        <w:rPr>
          <w:rFonts w:ascii="仿宋_GB2312" w:hAnsi="Times New Roman" w:eastAsia="仿宋_GB2312" w:cs="Times New Roman"/>
          <w:b/>
          <w:bCs/>
          <w:sz w:val="24"/>
        </w:rPr>
      </w:pPr>
      <w:bookmarkStart w:id="80" w:name="_Toc184981314"/>
      <w:bookmarkStart w:id="81" w:name="_Toc14072"/>
      <w:bookmarkStart w:id="82" w:name="_Toc184981076"/>
      <w:bookmarkStart w:id="83" w:name="_Toc205940247"/>
      <w:r>
        <w:rPr>
          <w:rFonts w:hint="eastAsia" w:ascii="仿宋_GB2312" w:hAnsi="Times New Roman" w:eastAsia="仿宋_GB2312" w:cs="Times New Roman"/>
          <w:b/>
          <w:bCs/>
          <w:sz w:val="24"/>
        </w:rPr>
        <w:t>（二）加强</w:t>
      </w:r>
      <w:bookmarkEnd w:id="80"/>
      <w:bookmarkEnd w:id="81"/>
      <w:bookmarkEnd w:id="82"/>
      <w:r>
        <w:rPr>
          <w:rFonts w:hint="eastAsia" w:ascii="仿宋_GB2312" w:hAnsi="Times New Roman" w:eastAsia="仿宋_GB2312" w:cs="Times New Roman"/>
          <w:b/>
          <w:bCs/>
          <w:sz w:val="24"/>
        </w:rPr>
        <w:t>产出时效控制</w:t>
      </w:r>
      <w:bookmarkEnd w:id="83"/>
    </w:p>
    <w:p w14:paraId="45E6D910">
      <w:pPr>
        <w:spacing w:line="360" w:lineRule="auto"/>
        <w:ind w:firstLine="480" w:firstLineChars="200"/>
        <w:rPr>
          <w:rFonts w:ascii="仿宋_GB2312" w:hAnsi="Times New Roman" w:eastAsia="仿宋_GB2312" w:cs="Times New Roman"/>
          <w:sz w:val="24"/>
          <w:lang w:val="zh-CN"/>
        </w:rPr>
      </w:pPr>
      <w:bookmarkStart w:id="84" w:name="_Hlk205978651"/>
      <w:r>
        <w:rPr>
          <w:rFonts w:hint="eastAsia" w:ascii="仿宋_GB2312" w:hAnsi="Times New Roman" w:eastAsia="仿宋_GB2312" w:cs="Times New Roman"/>
          <w:sz w:val="24"/>
          <w:lang w:val="zh-CN"/>
        </w:rPr>
        <w:t>对项目实施过程中出现的进度滞后问题（170套设备较原计划延迟约50天验收）。建议相关管理部门建立全流程时效管控机制；在项目启动前</w:t>
      </w:r>
      <w:r>
        <w:rPr>
          <w:rFonts w:ascii="仿宋_GB2312" w:hAnsi="Times New Roman" w:eastAsia="仿宋_GB2312" w:cs="Times New Roman"/>
          <w:sz w:val="24"/>
        </w:rPr>
        <w:t>就将验收节点明确写入合同里程碑，并配套</w:t>
      </w:r>
      <w:r>
        <w:rPr>
          <w:rFonts w:hint="eastAsia" w:ascii="仿宋_GB2312" w:hAnsi="Times New Roman" w:eastAsia="仿宋_GB2312" w:cs="Times New Roman"/>
          <w:sz w:val="24"/>
        </w:rPr>
        <w:t>“</w:t>
      </w:r>
      <w:r>
        <w:rPr>
          <w:rFonts w:ascii="仿宋_GB2312" w:hAnsi="Times New Roman" w:eastAsia="仿宋_GB2312" w:cs="Times New Roman"/>
          <w:sz w:val="24"/>
        </w:rPr>
        <w:t>逾期验收扣减尾款</w:t>
      </w:r>
      <w:r>
        <w:rPr>
          <w:rFonts w:hint="eastAsia" w:ascii="仿宋_GB2312" w:hAnsi="Times New Roman" w:eastAsia="仿宋_GB2312" w:cs="Times New Roman"/>
          <w:sz w:val="24"/>
        </w:rPr>
        <w:t>”</w:t>
      </w:r>
      <w:r>
        <w:rPr>
          <w:rFonts w:ascii="仿宋_GB2312" w:hAnsi="Times New Roman" w:eastAsia="仿宋_GB2312" w:cs="Times New Roman"/>
          <w:sz w:val="24"/>
        </w:rPr>
        <w:t>条款，从源头做好约束</w:t>
      </w:r>
      <w:r>
        <w:rPr>
          <w:rFonts w:hint="eastAsia" w:ascii="仿宋_GB2312" w:hAnsi="Times New Roman" w:eastAsia="仿宋_GB2312" w:cs="Times New Roman"/>
          <w:sz w:val="24"/>
        </w:rPr>
        <w:t>。</w:t>
      </w:r>
      <w:r>
        <w:rPr>
          <w:rFonts w:ascii="仿宋_GB2312" w:hAnsi="Times New Roman" w:eastAsia="仿宋_GB2312" w:cs="Times New Roman"/>
          <w:sz w:val="24"/>
        </w:rPr>
        <w:t>在项目实施过程中，</w:t>
      </w:r>
      <w:r>
        <w:rPr>
          <w:rFonts w:hint="eastAsia" w:ascii="仿宋_GB2312" w:hAnsi="Times New Roman" w:eastAsia="仿宋_GB2312" w:cs="Times New Roman"/>
          <w:sz w:val="24"/>
          <w:lang w:val="zh-CN"/>
        </w:rPr>
        <w:t>制定分阶段进度计划，将设备采购、安装调试、验收等环节细化至周度目标；实施“红黄绿灯”预警管理，对滞后超10天的环节自动预警并督办。</w:t>
      </w:r>
      <w:r>
        <w:rPr>
          <w:rFonts w:ascii="仿宋_GB2312" w:hAnsi="Times New Roman" w:eastAsia="仿宋_GB2312" w:cs="Times New Roman"/>
          <w:sz w:val="24"/>
        </w:rPr>
        <w:t>同时，将</w:t>
      </w:r>
      <w:r>
        <w:rPr>
          <w:rFonts w:hint="eastAsia" w:ascii="仿宋_GB2312" w:hAnsi="Times New Roman" w:eastAsia="仿宋_GB2312" w:cs="Times New Roman"/>
          <w:sz w:val="24"/>
        </w:rPr>
        <w:t>“</w:t>
      </w:r>
      <w:r>
        <w:rPr>
          <w:rFonts w:ascii="仿宋_GB2312" w:hAnsi="Times New Roman" w:eastAsia="仿宋_GB2312" w:cs="Times New Roman"/>
          <w:sz w:val="24"/>
        </w:rPr>
        <w:t>验收</w:t>
      </w:r>
      <w:r>
        <w:rPr>
          <w:rFonts w:hint="eastAsia" w:ascii="仿宋_GB2312" w:hAnsi="Times New Roman" w:eastAsia="仿宋_GB2312" w:cs="Times New Roman"/>
          <w:sz w:val="24"/>
        </w:rPr>
        <w:t>及时</w:t>
      </w:r>
      <w:r>
        <w:rPr>
          <w:rFonts w:ascii="仿宋_GB2312" w:hAnsi="Times New Roman" w:eastAsia="仿宋_GB2312" w:cs="Times New Roman"/>
          <w:sz w:val="24"/>
        </w:rPr>
        <w:t>率</w:t>
      </w:r>
      <w:r>
        <w:rPr>
          <w:rFonts w:hint="eastAsia" w:ascii="仿宋_GB2312" w:hAnsi="Times New Roman" w:eastAsia="仿宋_GB2312" w:cs="Times New Roman"/>
          <w:sz w:val="24"/>
        </w:rPr>
        <w:t>”</w:t>
      </w:r>
      <w:r>
        <w:rPr>
          <w:rFonts w:ascii="仿宋_GB2312" w:hAnsi="Times New Roman" w:eastAsia="仿宋_GB2312" w:cs="Times New Roman"/>
          <w:sz w:val="24"/>
        </w:rPr>
        <w:t>纳入项目负责人绩效考核，并建立验收资料预审机制，提前锁定缺项，确保项目完成后第一时间完成验收，杜绝久拖不验。</w:t>
      </w:r>
    </w:p>
    <w:bookmarkEnd w:id="84"/>
    <w:p w14:paraId="44222297">
      <w:pPr>
        <w:spacing w:line="360" w:lineRule="auto"/>
        <w:ind w:firstLine="482" w:firstLineChars="200"/>
        <w:outlineLvl w:val="1"/>
        <w:rPr>
          <w:rFonts w:ascii="仿宋_GB2312" w:hAnsi="Times New Roman" w:eastAsia="仿宋_GB2312" w:cs="Times New Roman"/>
          <w:b/>
          <w:bCs/>
          <w:sz w:val="24"/>
        </w:rPr>
      </w:pPr>
      <w:bookmarkStart w:id="85" w:name="_Toc184981079"/>
      <w:bookmarkStart w:id="86" w:name="_Toc184981317"/>
      <w:bookmarkStart w:id="87" w:name="_Toc31537"/>
      <w:bookmarkStart w:id="88" w:name="_Toc205940248"/>
      <w:r>
        <w:rPr>
          <w:rFonts w:hint="eastAsia" w:ascii="仿宋_GB2312" w:hAnsi="Times New Roman" w:eastAsia="仿宋_GB2312" w:cs="Times New Roman"/>
          <w:b/>
          <w:bCs/>
          <w:sz w:val="24"/>
        </w:rPr>
        <w:t>（三）保障全市基础教育的多媒体教学设备</w:t>
      </w:r>
      <w:bookmarkEnd w:id="85"/>
      <w:bookmarkEnd w:id="86"/>
      <w:bookmarkEnd w:id="87"/>
      <w:r>
        <w:rPr>
          <w:rFonts w:hint="eastAsia" w:ascii="仿宋_GB2312" w:hAnsi="Times New Roman" w:eastAsia="仿宋_GB2312" w:cs="Times New Roman"/>
          <w:b/>
          <w:bCs/>
          <w:sz w:val="24"/>
        </w:rPr>
        <w:t>需求</w:t>
      </w:r>
      <w:bookmarkEnd w:id="88"/>
    </w:p>
    <w:p w14:paraId="6C95C448">
      <w:pPr>
        <w:pStyle w:val="6"/>
        <w:numPr>
          <w:ilvl w:val="0"/>
          <w:numId w:val="0"/>
        </w:numPr>
        <w:tabs>
          <w:tab w:val="clear" w:pos="2040"/>
        </w:tabs>
        <w:spacing w:line="360" w:lineRule="auto"/>
        <w:ind w:firstLine="480" w:firstLineChars="200"/>
        <w:rPr>
          <w:rFonts w:hint="eastAsia" w:ascii="仿宋" w:hAnsi="仿宋" w:eastAsia="仿宋" w:cs="Times New Roman"/>
          <w:sz w:val="24"/>
        </w:rPr>
      </w:pPr>
      <w:r>
        <w:rPr>
          <w:rFonts w:hint="eastAsia" w:ascii="仿宋" w:hAnsi="仿宋" w:eastAsia="仿宋" w:cs="Times New Roman"/>
          <w:sz w:val="24"/>
          <w:lang w:val="zh-CN"/>
        </w:rPr>
        <w:t>基于调查问卷的反馈，建议</w:t>
      </w:r>
      <w:r>
        <w:rPr>
          <w:rFonts w:hint="eastAsia" w:ascii="仿宋" w:hAnsi="仿宋" w:eastAsia="仿宋" w:cs="Times New Roman"/>
          <w:sz w:val="24"/>
        </w:rPr>
        <w:t>保障</w:t>
      </w:r>
      <w:r>
        <w:rPr>
          <w:rFonts w:ascii="仿宋" w:hAnsi="仿宋" w:eastAsia="仿宋" w:cs="Times New Roman"/>
          <w:sz w:val="24"/>
        </w:rPr>
        <w:t>全市</w:t>
      </w:r>
      <w:r>
        <w:rPr>
          <w:rFonts w:hint="eastAsia" w:ascii="仿宋" w:hAnsi="仿宋" w:eastAsia="仿宋" w:cs="Times New Roman"/>
          <w:sz w:val="24"/>
        </w:rPr>
        <w:t>基础教育的</w:t>
      </w:r>
      <w:r>
        <w:rPr>
          <w:rFonts w:ascii="仿宋" w:hAnsi="仿宋" w:eastAsia="仿宋" w:cs="Times New Roman"/>
          <w:sz w:val="24"/>
        </w:rPr>
        <w:t>多媒体教学设备</w:t>
      </w:r>
      <w:r>
        <w:rPr>
          <w:rFonts w:hint="eastAsia" w:ascii="仿宋" w:hAnsi="仿宋" w:eastAsia="仿宋" w:cs="Times New Roman"/>
          <w:sz w:val="24"/>
        </w:rPr>
        <w:t>需求</w:t>
      </w:r>
      <w:r>
        <w:rPr>
          <w:rFonts w:hint="eastAsia" w:ascii="仿宋" w:hAnsi="仿宋" w:eastAsia="仿宋" w:cs="Times New Roman"/>
          <w:sz w:val="24"/>
          <w:lang w:val="zh-CN"/>
        </w:rPr>
        <w:t>，</w:t>
      </w:r>
      <w:bookmarkStart w:id="89" w:name="_Toc184981319"/>
      <w:bookmarkStart w:id="90" w:name="_Toc184981081"/>
      <w:bookmarkStart w:id="91" w:name="_Toc16876"/>
      <w:r>
        <w:rPr>
          <w:rFonts w:ascii="仿宋" w:hAnsi="仿宋" w:eastAsia="仿宋" w:cs="Times New Roman"/>
          <w:sz w:val="24"/>
        </w:rPr>
        <w:t>补齐新增班级、专用教室和报废设备的缺口，提高设备覆盖率；同时定期开展</w:t>
      </w:r>
      <w:r>
        <w:rPr>
          <w:rFonts w:hint="eastAsia" w:ascii="仿宋" w:hAnsi="仿宋" w:eastAsia="仿宋" w:cs="Times New Roman"/>
          <w:sz w:val="24"/>
        </w:rPr>
        <w:t>组织</w:t>
      </w:r>
      <w:r>
        <w:rPr>
          <w:rFonts w:ascii="仿宋" w:hAnsi="仿宋" w:eastAsia="仿宋" w:cs="Times New Roman"/>
          <w:sz w:val="24"/>
        </w:rPr>
        <w:t>培训，每学期组织不少于2次校级信息管理员和学科教师混合式培训，内容涵盖设备日常维护、学科软件深度应用及网络安全管理，确保教师</w:t>
      </w:r>
      <w:r>
        <w:rPr>
          <w:rFonts w:hint="eastAsia" w:ascii="仿宋" w:hAnsi="仿宋" w:eastAsia="仿宋" w:cs="Times New Roman"/>
          <w:sz w:val="24"/>
        </w:rPr>
        <w:t>“</w:t>
      </w:r>
      <w:r>
        <w:rPr>
          <w:rFonts w:ascii="仿宋" w:hAnsi="仿宋" w:eastAsia="仿宋" w:cs="Times New Roman"/>
          <w:sz w:val="24"/>
        </w:rPr>
        <w:t>会用、善用</w:t>
      </w:r>
      <w:r>
        <w:rPr>
          <w:rFonts w:hint="eastAsia" w:ascii="仿宋" w:hAnsi="仿宋" w:eastAsia="仿宋" w:cs="Times New Roman"/>
          <w:sz w:val="24"/>
        </w:rPr>
        <w:t>”，</w:t>
      </w:r>
      <w:r>
        <w:rPr>
          <w:rFonts w:ascii="仿宋" w:hAnsi="仿宋" w:eastAsia="仿宋" w:cs="Times New Roman"/>
          <w:sz w:val="24"/>
        </w:rPr>
        <w:t>故障</w:t>
      </w:r>
      <w:r>
        <w:rPr>
          <w:rFonts w:hint="eastAsia" w:ascii="仿宋" w:hAnsi="仿宋" w:eastAsia="仿宋" w:cs="Times New Roman"/>
          <w:sz w:val="24"/>
        </w:rPr>
        <w:t>“</w:t>
      </w:r>
      <w:r>
        <w:rPr>
          <w:rFonts w:ascii="仿宋" w:hAnsi="仿宋" w:eastAsia="仿宋" w:cs="Times New Roman"/>
          <w:sz w:val="24"/>
        </w:rPr>
        <w:t>早发现、快处理</w:t>
      </w:r>
      <w:r>
        <w:rPr>
          <w:rFonts w:hint="eastAsia" w:ascii="仿宋" w:hAnsi="仿宋" w:eastAsia="仿宋" w:cs="Times New Roman"/>
          <w:sz w:val="24"/>
        </w:rPr>
        <w:t>”。以达到提高设备使用效率，缩短设备故障响应时间</w:t>
      </w:r>
      <w:r>
        <w:rPr>
          <w:rFonts w:ascii="仿宋" w:hAnsi="仿宋" w:eastAsia="仿宋" w:cs="Times New Roman"/>
          <w:sz w:val="24"/>
        </w:rPr>
        <w:t>。</w:t>
      </w:r>
      <w:r>
        <w:rPr>
          <w:rFonts w:hint="eastAsia" w:ascii="仿宋" w:hAnsi="仿宋" w:eastAsia="仿宋" w:cs="Times New Roman"/>
          <w:sz w:val="24"/>
        </w:rPr>
        <w:t>完善反馈机制，通过线上问卷、教师座谈会等多种渠道广泛收集意见，提升项目透明度和公众参与度，积极回应教师群体对“全覆盖、快响应、易使用”的需求和建议，持续提高公众满意度。</w:t>
      </w:r>
      <w:r>
        <w:rPr>
          <w:rFonts w:ascii="仿宋" w:hAnsi="仿宋" w:eastAsia="仿宋" w:cs="Times New Roman"/>
          <w:sz w:val="24"/>
        </w:rPr>
        <w:t>针对教学设备配置过高的问题，根据《福建省小学教育技术装备标准》及《福建省初中教育技术装备标准》（闽教规〔2022〕2号）的规定，普通教学教室多媒体设备应满足以下基础配置要求：显示设备可从交互式一体机、平板电视+计算机、超短焦投影机+电子白板+计算机、液晶投影机+银幕+计算机四种模式中任选（除第四种外均需具备健康护眼功能）；必须配置预装教学软件的计算机；选配视频展示设备；配备≥30W音响系统及有线/无线话筒；配置集成多种接口的中央控制系统；提供≥100Mbps网络接入。在完全满足上述标准的前提下，建议优先考虑基础款设备，如希沃RC75EA触控一体机（晋江市龙湖镇中心学校2024年采购中标价17,800元/套），按现有469.336</w:t>
      </w:r>
      <w:r>
        <w:rPr>
          <w:rFonts w:hint="eastAsia" w:ascii="仿宋" w:hAnsi="仿宋" w:eastAsia="仿宋" w:cs="Times New Roman"/>
          <w:sz w:val="24"/>
        </w:rPr>
        <w:t>0</w:t>
      </w:r>
      <w:r>
        <w:rPr>
          <w:rFonts w:ascii="仿宋" w:hAnsi="仿宋" w:eastAsia="仿宋" w:cs="Times New Roman"/>
          <w:sz w:val="24"/>
        </w:rPr>
        <w:t>万元预算可采购约263套，较原方案（238套）增加25套，基于此，</w:t>
      </w:r>
      <w:r>
        <w:rPr>
          <w:rFonts w:hint="eastAsia" w:ascii="仿宋" w:hAnsi="仿宋" w:eastAsia="仿宋" w:cs="Times New Roman"/>
          <w:sz w:val="24"/>
        </w:rPr>
        <w:t>建议未来在采购相关设备时应建立需求论证机制，结合教学场景优化配置标准，避免盲目追求高配，确保设备功能与教学实际紧密匹配。</w:t>
      </w:r>
    </w:p>
    <w:p w14:paraId="4897FEA8">
      <w:pPr>
        <w:pStyle w:val="6"/>
        <w:numPr>
          <w:ilvl w:val="0"/>
          <w:numId w:val="0"/>
        </w:numPr>
        <w:tabs>
          <w:tab w:val="clear" w:pos="2040"/>
        </w:tabs>
        <w:spacing w:line="360" w:lineRule="auto"/>
        <w:ind w:firstLine="480" w:firstLineChars="200"/>
        <w:rPr>
          <w:rFonts w:hint="eastAsia" w:ascii="仿宋" w:hAnsi="仿宋" w:eastAsia="仿宋" w:cs="Times New Roman"/>
          <w:sz w:val="24"/>
        </w:rPr>
      </w:pPr>
    </w:p>
    <w:p w14:paraId="0A1160A8">
      <w:pPr>
        <w:pStyle w:val="6"/>
        <w:numPr>
          <w:ilvl w:val="0"/>
          <w:numId w:val="0"/>
        </w:numPr>
        <w:tabs>
          <w:tab w:val="clear" w:pos="2040"/>
        </w:tabs>
        <w:spacing w:line="360" w:lineRule="auto"/>
        <w:ind w:firstLine="562" w:firstLineChars="200"/>
        <w:outlineLvl w:val="0"/>
        <w:rPr>
          <w:rFonts w:hint="eastAsia" w:ascii="仿宋" w:hAnsi="仿宋" w:eastAsia="仿宋" w:cs="仿宋"/>
          <w:b/>
          <w:bCs/>
          <w:sz w:val="28"/>
          <w:szCs w:val="28"/>
          <w:lang w:val="zh-CN"/>
        </w:rPr>
      </w:pPr>
      <w:bookmarkStart w:id="92" w:name="_Toc205940249"/>
      <w:r>
        <w:rPr>
          <w:rFonts w:hint="eastAsia" w:ascii="仿宋" w:hAnsi="仿宋" w:eastAsia="仿宋" w:cs="仿宋"/>
          <w:b/>
          <w:bCs/>
          <w:sz w:val="28"/>
          <w:szCs w:val="28"/>
          <w:lang w:val="zh-CN"/>
        </w:rPr>
        <w:t>七、其他需要说明的问题</w:t>
      </w:r>
      <w:bookmarkEnd w:id="89"/>
      <w:bookmarkEnd w:id="90"/>
      <w:bookmarkEnd w:id="91"/>
      <w:bookmarkEnd w:id="92"/>
    </w:p>
    <w:p w14:paraId="3C088A36">
      <w:pPr>
        <w:pStyle w:val="6"/>
        <w:numPr>
          <w:ilvl w:val="0"/>
          <w:numId w:val="0"/>
        </w:numPr>
        <w:tabs>
          <w:tab w:val="clear" w:pos="2040"/>
        </w:tabs>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本绩效评价报告旨在对2024年度石狮市中小学班级多媒体教学设备全覆盖工程项目的实施效果进行综合评估，提供决策支持，为未来的项目管理和预算分配提供参考依据。报告中的数据和分析基于现有可获得的信息和文档，可能存在数据不全面或滞后的情况，这可能影响评价结果的准确性和时效性。鉴于数据来源和分析方法的局限，报告中的结论可能需要根据新的数据和情况适时调整。项目管理者应持续监控项目进展，并根据实际情况对策略进行优化。本报告供石狮市财政局和石狮市教育局等相关部门在项目规划、执行和监控过程中使用。建议使用者结合项目实际情况，参考报告中的评价结果和建议，制定相应的改进措施。</w:t>
      </w:r>
    </w:p>
    <w:p w14:paraId="3AF13F87">
      <w:pPr>
        <w:pStyle w:val="6"/>
        <w:numPr>
          <w:ilvl w:val="0"/>
          <w:numId w:val="0"/>
        </w:numPr>
        <w:tabs>
          <w:tab w:val="clear" w:pos="2040"/>
        </w:tabs>
        <w:spacing w:line="360" w:lineRule="auto"/>
        <w:ind w:firstLine="480" w:firstLineChars="200"/>
        <w:rPr>
          <w:rFonts w:ascii="仿宋_GB2312" w:hAnsi="Times New Roman" w:eastAsia="仿宋_GB2312" w:cs="Times New Roman"/>
          <w:sz w:val="24"/>
          <w:lang w:val="zh-CN"/>
        </w:rPr>
      </w:pPr>
    </w:p>
    <w:p w14:paraId="7C6EFCE0">
      <w:pPr>
        <w:pStyle w:val="6"/>
        <w:numPr>
          <w:ilvl w:val="0"/>
          <w:numId w:val="0"/>
        </w:numPr>
        <w:tabs>
          <w:tab w:val="clear" w:pos="2040"/>
        </w:tabs>
        <w:spacing w:line="360" w:lineRule="auto"/>
        <w:ind w:firstLine="480" w:firstLineChars="200"/>
        <w:rPr>
          <w:rFonts w:ascii="仿宋_GB2312" w:hAnsi="Times New Roman" w:eastAsia="仿宋_GB2312" w:cs="Times New Roman"/>
          <w:sz w:val="24"/>
          <w:lang w:val="zh-CN"/>
        </w:rPr>
      </w:pPr>
    </w:p>
    <w:p w14:paraId="7FF62353">
      <w:pPr>
        <w:pStyle w:val="6"/>
        <w:numPr>
          <w:ilvl w:val="0"/>
          <w:numId w:val="0"/>
        </w:numPr>
        <w:tabs>
          <w:tab w:val="clear" w:pos="2040"/>
        </w:tabs>
        <w:spacing w:line="360" w:lineRule="auto"/>
        <w:ind w:firstLine="480" w:firstLineChars="200"/>
        <w:rPr>
          <w:rFonts w:ascii="仿宋_GB2312" w:hAnsi="Times New Roman" w:eastAsia="仿宋_GB2312" w:cs="Times New Roman"/>
          <w:sz w:val="24"/>
          <w:lang w:val="zh-CN"/>
        </w:rPr>
      </w:pPr>
    </w:p>
    <w:p w14:paraId="24CD37D7">
      <w:pPr>
        <w:pStyle w:val="6"/>
        <w:numPr>
          <w:ilvl w:val="0"/>
          <w:numId w:val="0"/>
        </w:numPr>
        <w:tabs>
          <w:tab w:val="clear" w:pos="2040"/>
        </w:tabs>
        <w:spacing w:line="360" w:lineRule="auto"/>
        <w:ind w:firstLine="480" w:firstLineChars="200"/>
        <w:rPr>
          <w:rFonts w:ascii="仿宋_GB2312" w:hAnsi="Times New Roman" w:eastAsia="仿宋_GB2312" w:cs="Times New Roman"/>
          <w:sz w:val="24"/>
          <w:lang w:val="zh-CN"/>
        </w:rPr>
      </w:pPr>
    </w:p>
    <w:p w14:paraId="5ACCC2B4">
      <w:pPr>
        <w:pStyle w:val="6"/>
        <w:numPr>
          <w:ilvl w:val="0"/>
          <w:numId w:val="0"/>
        </w:numPr>
        <w:tabs>
          <w:tab w:val="clear" w:pos="2040"/>
        </w:tabs>
        <w:spacing w:line="360" w:lineRule="auto"/>
        <w:ind w:firstLine="480" w:firstLineChars="200"/>
        <w:rPr>
          <w:rFonts w:ascii="仿宋_GB2312" w:hAnsi="Times New Roman" w:eastAsia="仿宋_GB2312" w:cs="Times New Roman"/>
          <w:sz w:val="24"/>
          <w:lang w:val="zh-CN"/>
        </w:rPr>
      </w:pPr>
    </w:p>
    <w:p w14:paraId="73C9A66B">
      <w:pPr>
        <w:pStyle w:val="6"/>
        <w:numPr>
          <w:ilvl w:val="0"/>
          <w:numId w:val="0"/>
        </w:numPr>
        <w:tabs>
          <w:tab w:val="clear" w:pos="2040"/>
        </w:tabs>
        <w:spacing w:line="360" w:lineRule="auto"/>
        <w:ind w:firstLine="480" w:firstLineChars="200"/>
        <w:rPr>
          <w:rFonts w:ascii="仿宋_GB2312" w:hAnsi="Times New Roman" w:eastAsia="仿宋_GB2312" w:cs="Times New Roman"/>
          <w:sz w:val="24"/>
          <w:lang w:val="zh-CN"/>
        </w:rPr>
      </w:pPr>
    </w:p>
    <w:p w14:paraId="38AAC8D9">
      <w:pPr>
        <w:pStyle w:val="6"/>
        <w:numPr>
          <w:ilvl w:val="0"/>
          <w:numId w:val="0"/>
        </w:numPr>
        <w:tabs>
          <w:tab w:val="clear" w:pos="2040"/>
        </w:tabs>
        <w:spacing w:line="360" w:lineRule="auto"/>
        <w:ind w:firstLine="480" w:firstLineChars="200"/>
        <w:rPr>
          <w:rFonts w:ascii="仿宋_GB2312" w:hAnsi="Times New Roman" w:eastAsia="仿宋_GB2312" w:cs="Times New Roman"/>
          <w:sz w:val="24"/>
          <w:lang w:val="zh-CN"/>
        </w:rPr>
      </w:pPr>
    </w:p>
    <w:p w14:paraId="7276D31E">
      <w:pPr>
        <w:pStyle w:val="6"/>
        <w:numPr>
          <w:ilvl w:val="0"/>
          <w:numId w:val="0"/>
        </w:numPr>
        <w:tabs>
          <w:tab w:val="clear" w:pos="2040"/>
        </w:tabs>
        <w:spacing w:line="360" w:lineRule="auto"/>
        <w:ind w:firstLine="480" w:firstLineChars="200"/>
        <w:rPr>
          <w:rFonts w:ascii="仿宋_GB2312" w:hAnsi="Times New Roman" w:eastAsia="仿宋_GB2312" w:cs="Times New Roman"/>
          <w:sz w:val="24"/>
          <w:lang w:val="zh-CN"/>
        </w:rPr>
      </w:pPr>
    </w:p>
    <w:p w14:paraId="29902582">
      <w:pPr>
        <w:pStyle w:val="6"/>
        <w:numPr>
          <w:ilvl w:val="0"/>
          <w:numId w:val="0"/>
        </w:numPr>
        <w:tabs>
          <w:tab w:val="clear" w:pos="2040"/>
        </w:tabs>
        <w:spacing w:line="360" w:lineRule="auto"/>
        <w:ind w:firstLine="480" w:firstLineChars="200"/>
        <w:rPr>
          <w:rFonts w:ascii="仿宋_GB2312" w:hAnsi="Times New Roman" w:eastAsia="仿宋_GB2312" w:cs="Times New Roman"/>
          <w:sz w:val="24"/>
          <w:lang w:val="zh-CN"/>
        </w:rPr>
      </w:pPr>
    </w:p>
    <w:p w14:paraId="608F5262">
      <w:pPr>
        <w:pStyle w:val="6"/>
        <w:numPr>
          <w:ilvl w:val="0"/>
          <w:numId w:val="0"/>
        </w:numPr>
        <w:tabs>
          <w:tab w:val="clear" w:pos="2040"/>
        </w:tabs>
        <w:spacing w:line="360" w:lineRule="auto"/>
        <w:ind w:firstLine="480" w:firstLineChars="200"/>
        <w:rPr>
          <w:rFonts w:ascii="仿宋_GB2312" w:hAnsi="Times New Roman" w:eastAsia="仿宋_GB2312" w:cs="Times New Roman"/>
          <w:sz w:val="24"/>
          <w:lang w:val="zh-CN"/>
        </w:rPr>
      </w:pPr>
    </w:p>
    <w:p w14:paraId="24491035">
      <w:pPr>
        <w:pStyle w:val="6"/>
        <w:numPr>
          <w:ilvl w:val="0"/>
          <w:numId w:val="0"/>
        </w:numPr>
        <w:tabs>
          <w:tab w:val="clear" w:pos="2040"/>
        </w:tabs>
        <w:spacing w:line="360" w:lineRule="auto"/>
        <w:ind w:firstLine="480" w:firstLineChars="200"/>
        <w:rPr>
          <w:rFonts w:ascii="仿宋_GB2312" w:hAnsi="Times New Roman" w:eastAsia="仿宋_GB2312" w:cs="Times New Roman"/>
          <w:sz w:val="24"/>
          <w:lang w:val="zh-CN"/>
        </w:rPr>
      </w:pPr>
    </w:p>
    <w:p w14:paraId="4D56BAD6">
      <w:pPr>
        <w:pStyle w:val="6"/>
        <w:numPr>
          <w:ilvl w:val="0"/>
          <w:numId w:val="0"/>
        </w:numPr>
        <w:tabs>
          <w:tab w:val="clear" w:pos="2040"/>
        </w:tabs>
        <w:spacing w:line="360" w:lineRule="auto"/>
        <w:ind w:firstLine="480" w:firstLineChars="200"/>
        <w:rPr>
          <w:rFonts w:ascii="仿宋_GB2312" w:hAnsi="Times New Roman" w:eastAsia="仿宋_GB2312" w:cs="Times New Roman"/>
          <w:sz w:val="24"/>
          <w:lang w:val="zh-CN"/>
        </w:rPr>
      </w:pPr>
    </w:p>
    <w:p w14:paraId="4E1E07D0">
      <w:pPr>
        <w:pStyle w:val="6"/>
        <w:numPr>
          <w:ilvl w:val="0"/>
          <w:numId w:val="0"/>
        </w:numPr>
        <w:tabs>
          <w:tab w:val="clear" w:pos="2040"/>
        </w:tabs>
        <w:spacing w:line="360" w:lineRule="auto"/>
        <w:ind w:firstLine="480" w:firstLineChars="200"/>
        <w:rPr>
          <w:rFonts w:ascii="仿宋_GB2312" w:hAnsi="Times New Roman" w:eastAsia="仿宋_GB2312" w:cs="Times New Roman"/>
          <w:sz w:val="24"/>
          <w:lang w:val="zh-CN"/>
        </w:rPr>
      </w:pPr>
    </w:p>
    <w:p w14:paraId="13FC821B">
      <w:pPr>
        <w:pStyle w:val="6"/>
        <w:numPr>
          <w:ilvl w:val="0"/>
          <w:numId w:val="0"/>
        </w:numPr>
        <w:tabs>
          <w:tab w:val="clear" w:pos="2040"/>
        </w:tabs>
        <w:spacing w:line="360" w:lineRule="auto"/>
        <w:ind w:firstLine="480" w:firstLineChars="200"/>
        <w:rPr>
          <w:rFonts w:ascii="仿宋_GB2312" w:hAnsi="Times New Roman" w:eastAsia="仿宋_GB2312" w:cs="Times New Roman"/>
          <w:sz w:val="24"/>
          <w:lang w:val="zh-CN"/>
        </w:rPr>
      </w:pPr>
    </w:p>
    <w:p w14:paraId="6714ABB9">
      <w:pPr>
        <w:pStyle w:val="6"/>
        <w:numPr>
          <w:ilvl w:val="0"/>
          <w:numId w:val="0"/>
        </w:numPr>
        <w:tabs>
          <w:tab w:val="clear" w:pos="2040"/>
        </w:tabs>
        <w:spacing w:line="360" w:lineRule="auto"/>
        <w:ind w:firstLine="480" w:firstLineChars="200"/>
        <w:rPr>
          <w:rFonts w:ascii="仿宋_GB2312" w:hAnsi="Times New Roman" w:eastAsia="仿宋_GB2312" w:cs="Times New Roman"/>
          <w:sz w:val="24"/>
          <w:lang w:val="zh-CN"/>
        </w:rPr>
      </w:pPr>
    </w:p>
    <w:p w14:paraId="3AE3B14E">
      <w:pPr>
        <w:pStyle w:val="6"/>
        <w:numPr>
          <w:ilvl w:val="0"/>
          <w:numId w:val="0"/>
        </w:numPr>
        <w:tabs>
          <w:tab w:val="clear" w:pos="2040"/>
        </w:tabs>
        <w:spacing w:line="360" w:lineRule="auto"/>
        <w:ind w:firstLine="480" w:firstLineChars="200"/>
        <w:rPr>
          <w:rFonts w:ascii="仿宋_GB2312" w:hAnsi="Times New Roman" w:eastAsia="仿宋_GB2312" w:cs="Times New Roman"/>
          <w:sz w:val="24"/>
          <w:lang w:val="zh-CN"/>
        </w:rPr>
      </w:pPr>
    </w:p>
    <w:p w14:paraId="7D9AC010">
      <w:pPr>
        <w:pStyle w:val="6"/>
        <w:numPr>
          <w:ilvl w:val="0"/>
          <w:numId w:val="0"/>
        </w:numPr>
        <w:tabs>
          <w:tab w:val="clear" w:pos="2040"/>
        </w:tabs>
        <w:spacing w:line="360" w:lineRule="auto"/>
        <w:ind w:firstLine="480" w:firstLineChars="200"/>
        <w:rPr>
          <w:rFonts w:ascii="仿宋_GB2312" w:hAnsi="Times New Roman" w:eastAsia="仿宋_GB2312" w:cs="Times New Roman"/>
          <w:sz w:val="24"/>
          <w:lang w:val="zh-CN"/>
        </w:rPr>
      </w:pPr>
    </w:p>
    <w:p w14:paraId="7128BE19">
      <w:pPr>
        <w:ind w:firstLine="482" w:firstLineChars="200"/>
        <w:jc w:val="left"/>
        <w:rPr>
          <w:rFonts w:hint="eastAsia" w:ascii="仿宋" w:hAnsi="仿宋" w:eastAsia="仿宋" w:cs="宋体"/>
          <w:b/>
          <w:bCs/>
          <w:sz w:val="24"/>
        </w:rPr>
      </w:pPr>
      <w:r>
        <w:rPr>
          <w:rFonts w:hint="eastAsia" w:ascii="仿宋" w:hAnsi="仿宋" w:eastAsia="仿宋" w:cs="宋体"/>
          <w:b/>
          <w:bCs/>
          <w:sz w:val="24"/>
        </w:rPr>
        <w:t>集大财经咨询（福州）有限公司                   主评人签字：</w:t>
      </w:r>
    </w:p>
    <w:p w14:paraId="4311A97C">
      <w:pPr>
        <w:ind w:firstLine="1446" w:firstLineChars="600"/>
        <w:rPr>
          <w:rFonts w:hint="eastAsia" w:ascii="仿宋" w:hAnsi="仿宋" w:eastAsia="仿宋" w:cs="宋体"/>
          <w:b/>
          <w:bCs/>
          <w:sz w:val="24"/>
        </w:rPr>
      </w:pPr>
      <w:r>
        <w:rPr>
          <w:rFonts w:hint="eastAsia" w:ascii="仿宋" w:hAnsi="仿宋" w:eastAsia="仿宋" w:cs="宋体"/>
          <w:b/>
          <w:bCs/>
          <w:sz w:val="24"/>
        </w:rPr>
        <w:t xml:space="preserve">中国 </w:t>
      </w:r>
      <w:r>
        <w:rPr>
          <w:rFonts w:hint="eastAsia" w:ascii="微软雅黑" w:hAnsi="微软雅黑" w:eastAsia="微软雅黑" w:cs="微软雅黑"/>
          <w:b/>
          <w:bCs/>
          <w:sz w:val="24"/>
        </w:rPr>
        <w:t>•</w:t>
      </w:r>
      <w:r>
        <w:rPr>
          <w:rFonts w:hint="eastAsia" w:ascii="仿宋" w:hAnsi="仿宋" w:eastAsia="仿宋" w:cs="宋体"/>
          <w:b/>
          <w:bCs/>
          <w:sz w:val="24"/>
        </w:rPr>
        <w:t xml:space="preserve"> 福州               </w:t>
      </w:r>
    </w:p>
    <w:p w14:paraId="6213FBCC">
      <w:pPr>
        <w:ind w:firstLine="1446" w:firstLineChars="600"/>
        <w:jc w:val="right"/>
        <w:rPr>
          <w:rFonts w:hint="eastAsia" w:ascii="仿宋" w:hAnsi="仿宋" w:eastAsia="仿宋" w:cs="宋体"/>
          <w:b/>
          <w:bCs/>
          <w:sz w:val="24"/>
        </w:rPr>
      </w:pPr>
      <w:r>
        <w:rPr>
          <w:rFonts w:hint="eastAsia" w:ascii="仿宋" w:hAnsi="仿宋" w:eastAsia="仿宋" w:cs="宋体"/>
          <w:b/>
          <w:bCs/>
          <w:sz w:val="24"/>
        </w:rPr>
        <w:t xml:space="preserve">  二零二五年  月   日     </w:t>
      </w:r>
    </w:p>
    <w:p w14:paraId="0805F3CC">
      <w:pPr>
        <w:ind w:firstLine="1446" w:firstLineChars="600"/>
        <w:jc w:val="right"/>
        <w:rPr>
          <w:rFonts w:hint="eastAsia" w:ascii="仿宋" w:hAnsi="仿宋" w:eastAsia="仿宋" w:cs="宋体"/>
          <w:b/>
          <w:bCs/>
          <w:sz w:val="24"/>
        </w:rPr>
      </w:pPr>
    </w:p>
    <w:p w14:paraId="4739E2CD">
      <w:pPr>
        <w:spacing w:line="360" w:lineRule="auto"/>
        <w:jc w:val="left"/>
        <w:outlineLvl w:val="0"/>
        <w:rPr>
          <w:rFonts w:hint="eastAsia" w:ascii="仿宋" w:hAnsi="仿宋" w:eastAsia="仿宋" w:cs="仿宋"/>
          <w:b/>
          <w:bCs/>
          <w:sz w:val="28"/>
          <w:szCs w:val="28"/>
          <w:lang w:val="zh-CN"/>
        </w:rPr>
      </w:pPr>
      <w:bookmarkStart w:id="93" w:name="_Toc17139"/>
      <w:bookmarkStart w:id="94" w:name="_Toc15180"/>
      <w:bookmarkStart w:id="95" w:name="_Toc205940250"/>
      <w:bookmarkStart w:id="96" w:name="_Toc184981320"/>
      <w:bookmarkStart w:id="97" w:name="_Toc184981082"/>
      <w:r>
        <w:rPr>
          <w:rFonts w:hint="eastAsia" w:ascii="仿宋" w:hAnsi="仿宋" w:eastAsia="仿宋" w:cs="仿宋"/>
          <w:b/>
          <w:bCs/>
          <w:sz w:val="28"/>
          <w:szCs w:val="28"/>
          <w:lang w:val="zh-CN"/>
        </w:rPr>
        <w:t>附表</w:t>
      </w:r>
      <w:r>
        <w:rPr>
          <w:rFonts w:hint="eastAsia" w:ascii="仿宋" w:hAnsi="仿宋" w:eastAsia="仿宋" w:cs="仿宋"/>
          <w:b/>
          <w:bCs/>
          <w:sz w:val="28"/>
          <w:szCs w:val="28"/>
        </w:rPr>
        <w:t xml:space="preserve">  </w:t>
      </w:r>
      <w:r>
        <w:rPr>
          <w:rFonts w:hint="eastAsia" w:ascii="仿宋" w:hAnsi="仿宋" w:eastAsia="仿宋" w:cs="仿宋"/>
          <w:b/>
          <w:bCs/>
          <w:sz w:val="28"/>
          <w:szCs w:val="28"/>
          <w:lang w:val="zh-CN"/>
        </w:rPr>
        <w:t>2024年石狮市中小学班级多媒体教学设备全覆盖工程项目评价指标表</w:t>
      </w:r>
      <w:bookmarkEnd w:id="93"/>
      <w:bookmarkEnd w:id="94"/>
      <w:bookmarkEnd w:id="95"/>
      <w:bookmarkEnd w:id="96"/>
      <w:bookmarkEnd w:id="97"/>
    </w:p>
    <w:tbl>
      <w:tblPr>
        <w:tblStyle w:val="13"/>
        <w:tblW w:w="8551" w:type="dxa"/>
        <w:tblInd w:w="91" w:type="dxa"/>
        <w:tblLayout w:type="fixed"/>
        <w:tblCellMar>
          <w:top w:w="0" w:type="dxa"/>
          <w:left w:w="108" w:type="dxa"/>
          <w:bottom w:w="0" w:type="dxa"/>
          <w:right w:w="108" w:type="dxa"/>
        </w:tblCellMar>
      </w:tblPr>
      <w:tblGrid>
        <w:gridCol w:w="647"/>
        <w:gridCol w:w="1050"/>
        <w:gridCol w:w="1260"/>
        <w:gridCol w:w="5594"/>
      </w:tblGrid>
      <w:tr w14:paraId="62FB8CF6">
        <w:tblPrEx>
          <w:tblCellMar>
            <w:top w:w="0" w:type="dxa"/>
            <w:left w:w="108" w:type="dxa"/>
            <w:bottom w:w="0" w:type="dxa"/>
            <w:right w:w="108" w:type="dxa"/>
          </w:tblCellMar>
        </w:tblPrEx>
        <w:trPr>
          <w:trHeight w:val="272" w:hRule="atLeast"/>
          <w:tblHeader/>
        </w:trPr>
        <w:tc>
          <w:tcPr>
            <w:tcW w:w="2957" w:type="dxa"/>
            <w:gridSpan w:val="3"/>
            <w:tcBorders>
              <w:top w:val="single" w:color="auto" w:sz="4" w:space="0"/>
              <w:left w:val="single" w:color="auto" w:sz="4" w:space="0"/>
              <w:bottom w:val="single" w:color="auto" w:sz="4" w:space="0"/>
              <w:right w:val="single" w:color="auto" w:sz="4" w:space="0"/>
            </w:tcBorders>
            <w:noWrap/>
            <w:vAlign w:val="center"/>
          </w:tcPr>
          <w:p w14:paraId="12BEA07A">
            <w:pPr>
              <w:widowControl/>
              <w:jc w:val="center"/>
              <w:rPr>
                <w:rFonts w:hint="eastAsia" w:ascii="仿宋" w:hAnsi="仿宋" w:eastAsia="仿宋"/>
                <w:b/>
                <w:bCs/>
                <w:color w:val="000000"/>
                <w:szCs w:val="21"/>
              </w:rPr>
            </w:pPr>
            <w:r>
              <w:rPr>
                <w:rFonts w:hint="eastAsia" w:ascii="仿宋" w:hAnsi="仿宋" w:eastAsia="仿宋"/>
                <w:b/>
                <w:bCs/>
                <w:color w:val="000000"/>
                <w:szCs w:val="21"/>
              </w:rPr>
              <w:t>评价指标</w:t>
            </w:r>
          </w:p>
        </w:tc>
        <w:tc>
          <w:tcPr>
            <w:tcW w:w="5594" w:type="dxa"/>
            <w:vMerge w:val="restart"/>
            <w:tcBorders>
              <w:top w:val="single" w:color="auto" w:sz="4" w:space="0"/>
              <w:left w:val="single" w:color="auto" w:sz="4" w:space="0"/>
              <w:bottom w:val="single" w:color="auto" w:sz="4" w:space="0"/>
              <w:right w:val="single" w:color="auto" w:sz="4" w:space="0"/>
            </w:tcBorders>
            <w:noWrap/>
            <w:vAlign w:val="center"/>
          </w:tcPr>
          <w:p w14:paraId="361F1F2B">
            <w:pPr>
              <w:widowControl/>
              <w:jc w:val="center"/>
              <w:rPr>
                <w:rFonts w:hint="eastAsia" w:ascii="仿宋" w:hAnsi="仿宋" w:eastAsia="仿宋"/>
                <w:b/>
                <w:bCs/>
                <w:color w:val="000000"/>
                <w:szCs w:val="21"/>
              </w:rPr>
            </w:pPr>
            <w:r>
              <w:rPr>
                <w:rFonts w:hint="eastAsia" w:ascii="仿宋" w:hAnsi="仿宋" w:eastAsia="仿宋"/>
                <w:b/>
                <w:bCs/>
                <w:color w:val="000000"/>
                <w:szCs w:val="21"/>
              </w:rPr>
              <w:t>评分标准</w:t>
            </w:r>
          </w:p>
        </w:tc>
      </w:tr>
      <w:tr w14:paraId="5F144631">
        <w:tblPrEx>
          <w:tblCellMar>
            <w:top w:w="0" w:type="dxa"/>
            <w:left w:w="108" w:type="dxa"/>
            <w:bottom w:w="0" w:type="dxa"/>
            <w:right w:w="108" w:type="dxa"/>
          </w:tblCellMar>
        </w:tblPrEx>
        <w:trPr>
          <w:trHeight w:val="272" w:hRule="atLeast"/>
          <w:tblHeader/>
        </w:trPr>
        <w:tc>
          <w:tcPr>
            <w:tcW w:w="647" w:type="dxa"/>
            <w:tcBorders>
              <w:top w:val="nil"/>
              <w:left w:val="single" w:color="auto" w:sz="4" w:space="0"/>
              <w:bottom w:val="single" w:color="auto" w:sz="4" w:space="0"/>
              <w:right w:val="single" w:color="auto" w:sz="4" w:space="0"/>
            </w:tcBorders>
            <w:noWrap/>
            <w:vAlign w:val="center"/>
          </w:tcPr>
          <w:p w14:paraId="675B9920">
            <w:pPr>
              <w:widowControl/>
              <w:jc w:val="center"/>
              <w:rPr>
                <w:rFonts w:hint="eastAsia" w:ascii="仿宋" w:hAnsi="仿宋" w:eastAsia="仿宋"/>
                <w:b/>
                <w:bCs/>
                <w:color w:val="000000"/>
                <w:szCs w:val="21"/>
              </w:rPr>
            </w:pPr>
            <w:r>
              <w:rPr>
                <w:rFonts w:hint="eastAsia" w:ascii="仿宋" w:hAnsi="仿宋" w:eastAsia="仿宋"/>
                <w:b/>
                <w:bCs/>
                <w:color w:val="000000"/>
                <w:szCs w:val="21"/>
              </w:rPr>
              <w:t>一级指标</w:t>
            </w:r>
          </w:p>
        </w:tc>
        <w:tc>
          <w:tcPr>
            <w:tcW w:w="1050" w:type="dxa"/>
            <w:tcBorders>
              <w:top w:val="nil"/>
              <w:left w:val="nil"/>
              <w:bottom w:val="single" w:color="auto" w:sz="4" w:space="0"/>
              <w:right w:val="single" w:color="auto" w:sz="4" w:space="0"/>
            </w:tcBorders>
            <w:noWrap/>
            <w:vAlign w:val="center"/>
          </w:tcPr>
          <w:p w14:paraId="400E3FB6">
            <w:pPr>
              <w:widowControl/>
              <w:jc w:val="center"/>
              <w:rPr>
                <w:rFonts w:hint="eastAsia" w:ascii="仿宋" w:hAnsi="仿宋" w:eastAsia="仿宋"/>
                <w:b/>
                <w:bCs/>
                <w:color w:val="000000"/>
                <w:szCs w:val="21"/>
              </w:rPr>
            </w:pPr>
            <w:r>
              <w:rPr>
                <w:rFonts w:hint="eastAsia" w:ascii="仿宋" w:hAnsi="仿宋" w:eastAsia="仿宋"/>
                <w:b/>
                <w:bCs/>
                <w:color w:val="000000"/>
                <w:szCs w:val="21"/>
              </w:rPr>
              <w:t>二级指标</w:t>
            </w:r>
          </w:p>
        </w:tc>
        <w:tc>
          <w:tcPr>
            <w:tcW w:w="1260" w:type="dxa"/>
            <w:tcBorders>
              <w:top w:val="nil"/>
              <w:left w:val="nil"/>
              <w:bottom w:val="single" w:color="auto" w:sz="4" w:space="0"/>
              <w:right w:val="single" w:color="auto" w:sz="4" w:space="0"/>
            </w:tcBorders>
            <w:noWrap/>
            <w:vAlign w:val="center"/>
          </w:tcPr>
          <w:p w14:paraId="7DAEEFD9">
            <w:pPr>
              <w:widowControl/>
              <w:jc w:val="center"/>
              <w:rPr>
                <w:rFonts w:hint="eastAsia" w:ascii="仿宋" w:hAnsi="仿宋" w:eastAsia="仿宋"/>
                <w:b/>
                <w:bCs/>
                <w:color w:val="000000"/>
                <w:szCs w:val="21"/>
              </w:rPr>
            </w:pPr>
            <w:r>
              <w:rPr>
                <w:rFonts w:hint="eastAsia" w:ascii="仿宋" w:hAnsi="仿宋" w:eastAsia="仿宋"/>
                <w:b/>
                <w:bCs/>
                <w:color w:val="000000"/>
                <w:szCs w:val="21"/>
              </w:rPr>
              <w:t>三级指标</w:t>
            </w:r>
          </w:p>
        </w:tc>
        <w:tc>
          <w:tcPr>
            <w:tcW w:w="5594" w:type="dxa"/>
            <w:vMerge w:val="continue"/>
            <w:tcBorders>
              <w:top w:val="single" w:color="auto" w:sz="4" w:space="0"/>
              <w:left w:val="single" w:color="auto" w:sz="4" w:space="0"/>
              <w:bottom w:val="single" w:color="auto" w:sz="4" w:space="0"/>
              <w:right w:val="single" w:color="auto" w:sz="4" w:space="0"/>
            </w:tcBorders>
            <w:vAlign w:val="center"/>
          </w:tcPr>
          <w:p w14:paraId="3B3443A8">
            <w:pPr>
              <w:widowControl/>
              <w:jc w:val="left"/>
              <w:rPr>
                <w:rFonts w:hint="eastAsia" w:ascii="仿宋" w:hAnsi="仿宋" w:eastAsia="仿宋"/>
                <w:b/>
                <w:bCs/>
                <w:color w:val="000000"/>
                <w:szCs w:val="21"/>
              </w:rPr>
            </w:pPr>
          </w:p>
        </w:tc>
      </w:tr>
      <w:tr w14:paraId="0C533238">
        <w:tblPrEx>
          <w:tblCellMar>
            <w:top w:w="0" w:type="dxa"/>
            <w:left w:w="108" w:type="dxa"/>
            <w:bottom w:w="0" w:type="dxa"/>
            <w:right w:w="108" w:type="dxa"/>
          </w:tblCellMar>
        </w:tblPrEx>
        <w:trPr>
          <w:trHeight w:val="3247" w:hRule="atLeast"/>
        </w:trPr>
        <w:tc>
          <w:tcPr>
            <w:tcW w:w="647" w:type="dxa"/>
            <w:vMerge w:val="restart"/>
            <w:tcBorders>
              <w:top w:val="nil"/>
              <w:left w:val="single" w:color="auto" w:sz="4" w:space="0"/>
              <w:bottom w:val="single" w:color="000000" w:sz="4" w:space="0"/>
              <w:right w:val="single" w:color="auto" w:sz="4" w:space="0"/>
            </w:tcBorders>
            <w:vAlign w:val="center"/>
          </w:tcPr>
          <w:p w14:paraId="27D5AE8D">
            <w:pPr>
              <w:widowControl/>
              <w:jc w:val="center"/>
              <w:rPr>
                <w:rFonts w:hint="eastAsia" w:ascii="仿宋" w:hAnsi="仿宋" w:eastAsia="仿宋"/>
                <w:color w:val="000000"/>
                <w:szCs w:val="21"/>
              </w:rPr>
            </w:pPr>
            <w:r>
              <w:rPr>
                <w:rFonts w:hint="eastAsia" w:ascii="仿宋" w:hAnsi="仿宋" w:eastAsia="仿宋"/>
                <w:color w:val="000000"/>
                <w:szCs w:val="21"/>
              </w:rPr>
              <w:t>决策</w:t>
            </w:r>
            <w:r>
              <w:rPr>
                <w:rFonts w:hint="eastAsia" w:ascii="仿宋" w:hAnsi="仿宋" w:eastAsia="仿宋"/>
                <w:color w:val="000000"/>
                <w:szCs w:val="21"/>
              </w:rPr>
              <w:br w:type="textWrapping"/>
            </w:r>
            <w:r>
              <w:rPr>
                <w:rFonts w:hint="eastAsia" w:ascii="仿宋" w:hAnsi="仿宋" w:eastAsia="仿宋"/>
                <w:color w:val="000000"/>
                <w:szCs w:val="21"/>
              </w:rPr>
              <w:t>（18分）</w:t>
            </w:r>
          </w:p>
        </w:tc>
        <w:tc>
          <w:tcPr>
            <w:tcW w:w="1050" w:type="dxa"/>
            <w:vMerge w:val="restart"/>
            <w:tcBorders>
              <w:top w:val="nil"/>
              <w:left w:val="single" w:color="auto" w:sz="4" w:space="0"/>
              <w:bottom w:val="single" w:color="000000" w:sz="4" w:space="0"/>
              <w:right w:val="single" w:color="auto" w:sz="4" w:space="0"/>
            </w:tcBorders>
            <w:vAlign w:val="center"/>
          </w:tcPr>
          <w:p w14:paraId="4B962E84">
            <w:pPr>
              <w:widowControl/>
              <w:jc w:val="center"/>
              <w:rPr>
                <w:rFonts w:hint="eastAsia" w:ascii="仿宋" w:hAnsi="仿宋" w:eastAsia="仿宋"/>
                <w:color w:val="000000"/>
                <w:szCs w:val="21"/>
              </w:rPr>
            </w:pPr>
            <w:r>
              <w:rPr>
                <w:rFonts w:hint="eastAsia" w:ascii="仿宋" w:hAnsi="仿宋" w:eastAsia="仿宋"/>
                <w:color w:val="000000"/>
                <w:szCs w:val="21"/>
              </w:rPr>
              <w:t>项目立项</w:t>
            </w:r>
            <w:r>
              <w:rPr>
                <w:rFonts w:hint="eastAsia" w:ascii="仿宋" w:hAnsi="仿宋" w:eastAsia="仿宋"/>
                <w:color w:val="000000"/>
                <w:szCs w:val="21"/>
              </w:rPr>
              <w:br w:type="textWrapping"/>
            </w:r>
            <w:r>
              <w:rPr>
                <w:rFonts w:hint="eastAsia" w:ascii="仿宋" w:hAnsi="仿宋" w:eastAsia="仿宋"/>
                <w:color w:val="000000"/>
                <w:szCs w:val="21"/>
              </w:rPr>
              <w:t>（6分）</w:t>
            </w:r>
          </w:p>
        </w:tc>
        <w:tc>
          <w:tcPr>
            <w:tcW w:w="1260" w:type="dxa"/>
            <w:tcBorders>
              <w:top w:val="nil"/>
              <w:left w:val="nil"/>
              <w:bottom w:val="single" w:color="auto" w:sz="4" w:space="0"/>
              <w:right w:val="single" w:color="auto" w:sz="4" w:space="0"/>
            </w:tcBorders>
            <w:vAlign w:val="center"/>
          </w:tcPr>
          <w:p w14:paraId="5B8348E1">
            <w:pPr>
              <w:widowControl/>
              <w:jc w:val="center"/>
              <w:rPr>
                <w:rFonts w:hint="eastAsia" w:ascii="仿宋" w:hAnsi="仿宋" w:eastAsia="仿宋"/>
                <w:color w:val="000000"/>
                <w:szCs w:val="21"/>
              </w:rPr>
            </w:pPr>
            <w:r>
              <w:rPr>
                <w:rFonts w:hint="eastAsia" w:ascii="仿宋" w:hAnsi="仿宋" w:eastAsia="仿宋"/>
                <w:color w:val="000000"/>
                <w:szCs w:val="21"/>
              </w:rPr>
              <w:t>立项依据充分性</w:t>
            </w:r>
            <w:r>
              <w:rPr>
                <w:rFonts w:hint="eastAsia" w:ascii="仿宋" w:hAnsi="仿宋" w:eastAsia="仿宋"/>
                <w:color w:val="000000"/>
                <w:szCs w:val="21"/>
              </w:rPr>
              <w:br w:type="textWrapping"/>
            </w:r>
            <w:r>
              <w:rPr>
                <w:rFonts w:hint="eastAsia" w:ascii="仿宋" w:hAnsi="仿宋" w:eastAsia="仿宋"/>
                <w:color w:val="000000"/>
                <w:szCs w:val="21"/>
              </w:rPr>
              <w:t>（3分）</w:t>
            </w:r>
          </w:p>
        </w:tc>
        <w:tc>
          <w:tcPr>
            <w:tcW w:w="5594" w:type="dxa"/>
            <w:tcBorders>
              <w:top w:val="nil"/>
              <w:left w:val="nil"/>
              <w:bottom w:val="single" w:color="auto" w:sz="4" w:space="0"/>
              <w:right w:val="single" w:color="auto" w:sz="4" w:space="0"/>
            </w:tcBorders>
            <w:vAlign w:val="center"/>
          </w:tcPr>
          <w:p w14:paraId="568FD227">
            <w:pPr>
              <w:widowControl/>
              <w:jc w:val="left"/>
              <w:rPr>
                <w:rFonts w:hint="eastAsia" w:ascii="仿宋" w:hAnsi="仿宋" w:eastAsia="仿宋"/>
                <w:color w:val="000000"/>
                <w:szCs w:val="21"/>
              </w:rPr>
            </w:pPr>
            <w:r>
              <w:rPr>
                <w:rFonts w:hint="eastAsia" w:ascii="仿宋" w:hAnsi="仿宋" w:eastAsia="仿宋"/>
                <w:color w:val="000000"/>
                <w:szCs w:val="21"/>
              </w:rPr>
              <w:t>①项目立项是否符合国家法律法规、国民经济发展规划和相关政策；</w:t>
            </w:r>
          </w:p>
          <w:p w14:paraId="667E0A04">
            <w:pPr>
              <w:widowControl/>
              <w:jc w:val="left"/>
              <w:rPr>
                <w:rFonts w:hint="eastAsia" w:ascii="仿宋" w:hAnsi="仿宋" w:eastAsia="仿宋"/>
                <w:color w:val="000000"/>
                <w:szCs w:val="21"/>
              </w:rPr>
            </w:pPr>
            <w:r>
              <w:rPr>
                <w:rFonts w:hint="eastAsia" w:ascii="仿宋" w:hAnsi="仿宋" w:eastAsia="仿宋"/>
                <w:color w:val="000000"/>
                <w:szCs w:val="21"/>
              </w:rPr>
              <w:t>②项目立项是否符合行业发展规划和政策要求；</w:t>
            </w:r>
            <w:r>
              <w:rPr>
                <w:rFonts w:hint="eastAsia" w:ascii="仿宋" w:hAnsi="仿宋" w:eastAsia="仿宋"/>
                <w:color w:val="000000"/>
                <w:szCs w:val="21"/>
              </w:rPr>
              <w:br w:type="textWrapping"/>
            </w:r>
            <w:r>
              <w:rPr>
                <w:rFonts w:hint="eastAsia" w:ascii="仿宋" w:hAnsi="仿宋" w:eastAsia="仿宋"/>
                <w:color w:val="000000"/>
                <w:szCs w:val="21"/>
              </w:rPr>
              <w:t>③项目立项是否与部门职责范围相符，属于部门履职所需；</w:t>
            </w:r>
            <w:r>
              <w:rPr>
                <w:rFonts w:hint="eastAsia" w:ascii="仿宋" w:hAnsi="仿宋" w:eastAsia="仿宋"/>
                <w:color w:val="000000"/>
                <w:szCs w:val="21"/>
              </w:rPr>
              <w:br w:type="textWrapping"/>
            </w:r>
            <w:r>
              <w:rPr>
                <w:rFonts w:hint="eastAsia" w:ascii="仿宋" w:hAnsi="仿宋" w:eastAsia="仿宋"/>
                <w:color w:val="000000"/>
                <w:szCs w:val="21"/>
              </w:rPr>
              <w:t>④项目是否属于公共财政支持范围，是否符合中央、地方事权支出责任划分原则；</w:t>
            </w:r>
            <w:r>
              <w:rPr>
                <w:rFonts w:hint="eastAsia" w:ascii="仿宋" w:hAnsi="仿宋" w:eastAsia="仿宋"/>
                <w:color w:val="000000"/>
                <w:szCs w:val="21"/>
              </w:rPr>
              <w:br w:type="textWrapping"/>
            </w:r>
            <w:r>
              <w:rPr>
                <w:rFonts w:hint="eastAsia" w:ascii="仿宋" w:hAnsi="仿宋" w:eastAsia="仿宋"/>
                <w:color w:val="000000"/>
                <w:szCs w:val="21"/>
              </w:rPr>
              <w:t>⑤项目是否与相关部门同类项目或部门内部相关项目重复。</w:t>
            </w:r>
            <w:r>
              <w:rPr>
                <w:rFonts w:hint="eastAsia" w:ascii="仿宋" w:hAnsi="仿宋" w:eastAsia="仿宋"/>
                <w:color w:val="000000"/>
                <w:szCs w:val="21"/>
              </w:rPr>
              <w:br w:type="textWrapping"/>
            </w:r>
            <w:r>
              <w:rPr>
                <w:rFonts w:hint="eastAsia" w:ascii="仿宋" w:hAnsi="仿宋" w:eastAsia="仿宋"/>
                <w:color w:val="000000"/>
                <w:szCs w:val="21"/>
              </w:rPr>
              <w:t>以上占权重的20%，一项不符合扣除相应权重分，扣完为止。</w:t>
            </w:r>
          </w:p>
        </w:tc>
      </w:tr>
      <w:tr w14:paraId="2BFBDC9D">
        <w:tblPrEx>
          <w:tblCellMar>
            <w:top w:w="0" w:type="dxa"/>
            <w:left w:w="108" w:type="dxa"/>
            <w:bottom w:w="0" w:type="dxa"/>
            <w:right w:w="108" w:type="dxa"/>
          </w:tblCellMar>
        </w:tblPrEx>
        <w:trPr>
          <w:trHeight w:val="2232" w:hRule="atLeast"/>
        </w:trPr>
        <w:tc>
          <w:tcPr>
            <w:tcW w:w="647" w:type="dxa"/>
            <w:vMerge w:val="continue"/>
            <w:tcBorders>
              <w:top w:val="nil"/>
              <w:left w:val="single" w:color="auto" w:sz="4" w:space="0"/>
              <w:bottom w:val="single" w:color="000000" w:sz="4" w:space="0"/>
              <w:right w:val="single" w:color="auto" w:sz="4" w:space="0"/>
            </w:tcBorders>
            <w:vAlign w:val="center"/>
          </w:tcPr>
          <w:p w14:paraId="6EBA3DFF">
            <w:pPr>
              <w:widowControl/>
              <w:jc w:val="left"/>
              <w:rPr>
                <w:rFonts w:hint="eastAsia" w:ascii="仿宋" w:hAnsi="仿宋" w:eastAsia="仿宋"/>
                <w:color w:val="000000"/>
                <w:szCs w:val="21"/>
              </w:rPr>
            </w:pPr>
          </w:p>
        </w:tc>
        <w:tc>
          <w:tcPr>
            <w:tcW w:w="1050" w:type="dxa"/>
            <w:vMerge w:val="continue"/>
            <w:tcBorders>
              <w:top w:val="nil"/>
              <w:left w:val="single" w:color="auto" w:sz="4" w:space="0"/>
              <w:bottom w:val="single" w:color="000000" w:sz="4" w:space="0"/>
              <w:right w:val="single" w:color="auto" w:sz="4" w:space="0"/>
            </w:tcBorders>
            <w:vAlign w:val="center"/>
          </w:tcPr>
          <w:p w14:paraId="79E94D8E">
            <w:pPr>
              <w:widowControl/>
              <w:jc w:val="left"/>
              <w:rPr>
                <w:rFonts w:hint="eastAsia" w:ascii="仿宋" w:hAnsi="仿宋" w:eastAsia="仿宋"/>
                <w:color w:val="000000"/>
                <w:szCs w:val="21"/>
              </w:rPr>
            </w:pPr>
          </w:p>
        </w:tc>
        <w:tc>
          <w:tcPr>
            <w:tcW w:w="1260" w:type="dxa"/>
            <w:tcBorders>
              <w:top w:val="nil"/>
              <w:left w:val="nil"/>
              <w:bottom w:val="single" w:color="auto" w:sz="4" w:space="0"/>
              <w:right w:val="single" w:color="auto" w:sz="4" w:space="0"/>
            </w:tcBorders>
            <w:vAlign w:val="center"/>
          </w:tcPr>
          <w:p w14:paraId="06512C69">
            <w:pPr>
              <w:widowControl/>
              <w:jc w:val="center"/>
              <w:rPr>
                <w:rFonts w:hint="eastAsia" w:ascii="仿宋" w:hAnsi="仿宋" w:eastAsia="仿宋"/>
                <w:color w:val="000000"/>
                <w:szCs w:val="21"/>
              </w:rPr>
            </w:pPr>
            <w:r>
              <w:rPr>
                <w:rFonts w:hint="eastAsia" w:ascii="仿宋" w:hAnsi="仿宋" w:eastAsia="仿宋"/>
                <w:color w:val="000000"/>
                <w:szCs w:val="21"/>
              </w:rPr>
              <w:t>立项程序规范性</w:t>
            </w:r>
            <w:r>
              <w:rPr>
                <w:rFonts w:hint="eastAsia" w:ascii="仿宋" w:hAnsi="仿宋" w:eastAsia="仿宋"/>
                <w:color w:val="000000"/>
                <w:szCs w:val="21"/>
              </w:rPr>
              <w:br w:type="textWrapping"/>
            </w:r>
            <w:r>
              <w:rPr>
                <w:rFonts w:hint="eastAsia" w:ascii="仿宋" w:hAnsi="仿宋" w:eastAsia="仿宋"/>
                <w:color w:val="000000"/>
                <w:szCs w:val="21"/>
              </w:rPr>
              <w:t>（3分）</w:t>
            </w:r>
          </w:p>
        </w:tc>
        <w:tc>
          <w:tcPr>
            <w:tcW w:w="5594" w:type="dxa"/>
            <w:tcBorders>
              <w:top w:val="nil"/>
              <w:left w:val="nil"/>
              <w:bottom w:val="single" w:color="auto" w:sz="4" w:space="0"/>
              <w:right w:val="single" w:color="auto" w:sz="4" w:space="0"/>
            </w:tcBorders>
            <w:vAlign w:val="center"/>
          </w:tcPr>
          <w:p w14:paraId="73217A4E">
            <w:pPr>
              <w:widowControl/>
              <w:jc w:val="left"/>
              <w:rPr>
                <w:rFonts w:hint="eastAsia" w:ascii="仿宋" w:hAnsi="仿宋" w:eastAsia="仿宋"/>
                <w:color w:val="000000"/>
                <w:szCs w:val="21"/>
              </w:rPr>
            </w:pPr>
            <w:r>
              <w:rPr>
                <w:rFonts w:hint="eastAsia" w:ascii="仿宋" w:hAnsi="仿宋" w:eastAsia="仿宋"/>
                <w:color w:val="000000"/>
                <w:szCs w:val="21"/>
              </w:rPr>
              <w:t>①项目是否按照规定的程序申请设立；</w:t>
            </w:r>
          </w:p>
          <w:p w14:paraId="665DEB15">
            <w:pPr>
              <w:widowControl/>
              <w:jc w:val="left"/>
              <w:rPr>
                <w:rFonts w:hint="eastAsia" w:ascii="仿宋" w:hAnsi="仿宋" w:eastAsia="仿宋"/>
                <w:color w:val="000000"/>
                <w:szCs w:val="21"/>
              </w:rPr>
            </w:pPr>
            <w:r>
              <w:rPr>
                <w:rFonts w:hint="eastAsia" w:ascii="仿宋" w:hAnsi="仿宋" w:eastAsia="仿宋"/>
                <w:color w:val="000000"/>
                <w:szCs w:val="21"/>
              </w:rPr>
              <w:t>②审批文件、材料是否符合相关要求；</w:t>
            </w:r>
          </w:p>
          <w:p w14:paraId="3C10826F">
            <w:pPr>
              <w:widowControl/>
              <w:jc w:val="left"/>
              <w:rPr>
                <w:rFonts w:hint="eastAsia" w:ascii="仿宋" w:hAnsi="仿宋" w:eastAsia="仿宋"/>
                <w:color w:val="000000"/>
                <w:szCs w:val="21"/>
              </w:rPr>
            </w:pPr>
            <w:r>
              <w:rPr>
                <w:rFonts w:hint="eastAsia" w:ascii="仿宋" w:hAnsi="仿宋" w:eastAsia="仿宋"/>
                <w:color w:val="000000"/>
                <w:szCs w:val="21"/>
              </w:rPr>
              <w:t>③事前是否已经过必要的可行性研究、专家论证、风险评估、绩效评估、集体决策。</w:t>
            </w:r>
          </w:p>
          <w:p w14:paraId="6068B530">
            <w:pPr>
              <w:widowControl/>
              <w:jc w:val="left"/>
              <w:rPr>
                <w:rFonts w:hint="eastAsia" w:ascii="仿宋" w:hAnsi="仿宋" w:eastAsia="仿宋"/>
                <w:color w:val="000000"/>
                <w:szCs w:val="21"/>
              </w:rPr>
            </w:pPr>
            <w:r>
              <w:rPr>
                <w:rFonts w:hint="eastAsia" w:ascii="仿宋" w:hAnsi="仿宋" w:eastAsia="仿宋"/>
                <w:color w:val="000000"/>
                <w:szCs w:val="21"/>
              </w:rPr>
              <w:t>满分3分，一项不符合扣1分。</w:t>
            </w:r>
          </w:p>
        </w:tc>
      </w:tr>
      <w:tr w14:paraId="3AE5FF39">
        <w:tblPrEx>
          <w:tblCellMar>
            <w:top w:w="0" w:type="dxa"/>
            <w:left w:w="108" w:type="dxa"/>
            <w:bottom w:w="0" w:type="dxa"/>
            <w:right w:w="108" w:type="dxa"/>
          </w:tblCellMar>
        </w:tblPrEx>
        <w:trPr>
          <w:trHeight w:val="1727" w:hRule="atLeast"/>
        </w:trPr>
        <w:tc>
          <w:tcPr>
            <w:tcW w:w="647" w:type="dxa"/>
            <w:vMerge w:val="continue"/>
            <w:tcBorders>
              <w:top w:val="nil"/>
              <w:left w:val="single" w:color="auto" w:sz="4" w:space="0"/>
              <w:bottom w:val="single" w:color="000000" w:sz="4" w:space="0"/>
              <w:right w:val="single" w:color="auto" w:sz="4" w:space="0"/>
            </w:tcBorders>
            <w:vAlign w:val="center"/>
          </w:tcPr>
          <w:p w14:paraId="784B3545">
            <w:pPr>
              <w:widowControl/>
              <w:jc w:val="left"/>
              <w:rPr>
                <w:rFonts w:hint="eastAsia" w:ascii="仿宋" w:hAnsi="仿宋" w:eastAsia="仿宋"/>
                <w:color w:val="000000"/>
                <w:szCs w:val="21"/>
              </w:rPr>
            </w:pPr>
          </w:p>
        </w:tc>
        <w:tc>
          <w:tcPr>
            <w:tcW w:w="1050" w:type="dxa"/>
            <w:vMerge w:val="restart"/>
            <w:tcBorders>
              <w:top w:val="nil"/>
              <w:left w:val="single" w:color="auto" w:sz="4" w:space="0"/>
              <w:bottom w:val="single" w:color="000000" w:sz="4" w:space="0"/>
              <w:right w:val="single" w:color="auto" w:sz="4" w:space="0"/>
            </w:tcBorders>
            <w:vAlign w:val="center"/>
          </w:tcPr>
          <w:p w14:paraId="784787C8">
            <w:pPr>
              <w:widowControl/>
              <w:jc w:val="center"/>
              <w:rPr>
                <w:rFonts w:hint="eastAsia" w:ascii="仿宋" w:hAnsi="仿宋" w:eastAsia="仿宋"/>
                <w:color w:val="000000"/>
                <w:szCs w:val="21"/>
              </w:rPr>
            </w:pPr>
            <w:r>
              <w:rPr>
                <w:rFonts w:hint="eastAsia" w:ascii="仿宋" w:hAnsi="仿宋" w:eastAsia="仿宋"/>
                <w:color w:val="000000"/>
                <w:szCs w:val="21"/>
              </w:rPr>
              <w:t>绩效目标</w:t>
            </w:r>
            <w:r>
              <w:rPr>
                <w:rFonts w:hint="eastAsia" w:ascii="仿宋" w:hAnsi="仿宋" w:eastAsia="仿宋"/>
                <w:color w:val="000000"/>
                <w:szCs w:val="21"/>
              </w:rPr>
              <w:br w:type="textWrapping"/>
            </w:r>
            <w:r>
              <w:rPr>
                <w:rFonts w:hint="eastAsia" w:ascii="仿宋" w:hAnsi="仿宋" w:eastAsia="仿宋"/>
                <w:color w:val="000000"/>
                <w:szCs w:val="21"/>
              </w:rPr>
              <w:t>（6分）</w:t>
            </w:r>
          </w:p>
        </w:tc>
        <w:tc>
          <w:tcPr>
            <w:tcW w:w="1260" w:type="dxa"/>
            <w:tcBorders>
              <w:top w:val="nil"/>
              <w:left w:val="nil"/>
              <w:bottom w:val="single" w:color="auto" w:sz="4" w:space="0"/>
              <w:right w:val="single" w:color="auto" w:sz="4" w:space="0"/>
            </w:tcBorders>
            <w:vAlign w:val="center"/>
          </w:tcPr>
          <w:p w14:paraId="6B30FD43">
            <w:pPr>
              <w:widowControl/>
              <w:jc w:val="center"/>
              <w:rPr>
                <w:rFonts w:hint="eastAsia" w:ascii="仿宋" w:hAnsi="仿宋" w:eastAsia="仿宋"/>
                <w:color w:val="000000"/>
                <w:szCs w:val="21"/>
              </w:rPr>
            </w:pPr>
            <w:r>
              <w:rPr>
                <w:rFonts w:hint="eastAsia" w:ascii="仿宋" w:hAnsi="仿宋" w:eastAsia="仿宋"/>
                <w:color w:val="000000"/>
                <w:szCs w:val="21"/>
              </w:rPr>
              <w:t>绩效目标合理性</w:t>
            </w:r>
            <w:r>
              <w:rPr>
                <w:rFonts w:hint="eastAsia" w:ascii="仿宋" w:hAnsi="仿宋" w:eastAsia="仿宋"/>
                <w:color w:val="000000"/>
                <w:szCs w:val="21"/>
              </w:rPr>
              <w:br w:type="textWrapping"/>
            </w:r>
            <w:r>
              <w:rPr>
                <w:rFonts w:hint="eastAsia" w:ascii="仿宋" w:hAnsi="仿宋" w:eastAsia="仿宋"/>
                <w:color w:val="000000"/>
                <w:szCs w:val="21"/>
              </w:rPr>
              <w:t>（3分）</w:t>
            </w:r>
          </w:p>
        </w:tc>
        <w:tc>
          <w:tcPr>
            <w:tcW w:w="5594" w:type="dxa"/>
            <w:tcBorders>
              <w:top w:val="nil"/>
              <w:left w:val="nil"/>
              <w:bottom w:val="single" w:color="auto" w:sz="4" w:space="0"/>
              <w:right w:val="single" w:color="auto" w:sz="4" w:space="0"/>
            </w:tcBorders>
            <w:vAlign w:val="center"/>
          </w:tcPr>
          <w:p w14:paraId="5170EC0C">
            <w:pPr>
              <w:widowControl/>
              <w:jc w:val="left"/>
              <w:rPr>
                <w:rFonts w:hint="eastAsia" w:ascii="仿宋" w:hAnsi="仿宋" w:eastAsia="仿宋"/>
                <w:color w:val="000000"/>
                <w:szCs w:val="21"/>
              </w:rPr>
            </w:pPr>
            <w:r>
              <w:rPr>
                <w:rFonts w:hint="eastAsia" w:ascii="仿宋" w:hAnsi="仿宋" w:eastAsia="仿宋"/>
                <w:color w:val="000000"/>
                <w:szCs w:val="21"/>
              </w:rPr>
              <w:t>①项目绩效目标与实际工作内容是否具有相关性；</w:t>
            </w:r>
          </w:p>
          <w:p w14:paraId="741C7A2C">
            <w:pPr>
              <w:widowControl/>
              <w:jc w:val="left"/>
              <w:rPr>
                <w:rFonts w:hint="eastAsia" w:ascii="仿宋" w:hAnsi="仿宋" w:eastAsia="仿宋"/>
                <w:color w:val="000000"/>
                <w:szCs w:val="21"/>
              </w:rPr>
            </w:pPr>
            <w:r>
              <w:rPr>
                <w:rFonts w:hint="eastAsia" w:ascii="仿宋" w:hAnsi="仿宋" w:eastAsia="仿宋"/>
                <w:color w:val="000000"/>
                <w:szCs w:val="21"/>
              </w:rPr>
              <w:t>②项目预期产出效益和效果是否符合正常的业绩水平；</w:t>
            </w:r>
          </w:p>
          <w:p w14:paraId="0387E6D2">
            <w:pPr>
              <w:widowControl/>
              <w:jc w:val="left"/>
              <w:rPr>
                <w:rFonts w:hint="eastAsia" w:ascii="仿宋" w:hAnsi="仿宋" w:eastAsia="仿宋"/>
                <w:color w:val="000000"/>
                <w:szCs w:val="21"/>
              </w:rPr>
            </w:pPr>
            <w:r>
              <w:rPr>
                <w:rFonts w:hint="eastAsia" w:ascii="仿宋" w:hAnsi="仿宋" w:eastAsia="仿宋"/>
                <w:color w:val="000000"/>
                <w:szCs w:val="21"/>
              </w:rPr>
              <w:t>③是否与预算确定的项目投资额或资金量相匹配。</w:t>
            </w:r>
          </w:p>
          <w:p w14:paraId="0FAEAB15">
            <w:pPr>
              <w:widowControl/>
              <w:jc w:val="left"/>
              <w:rPr>
                <w:rFonts w:hint="eastAsia" w:ascii="仿宋" w:hAnsi="仿宋" w:eastAsia="仿宋"/>
                <w:color w:val="000000"/>
                <w:szCs w:val="21"/>
              </w:rPr>
            </w:pPr>
            <w:r>
              <w:rPr>
                <w:rFonts w:hint="eastAsia" w:ascii="仿宋" w:hAnsi="仿宋" w:eastAsia="仿宋"/>
                <w:color w:val="000000"/>
                <w:szCs w:val="21"/>
              </w:rPr>
              <w:t>满分3分，一项不符合扣1分。</w:t>
            </w:r>
          </w:p>
        </w:tc>
      </w:tr>
      <w:tr w14:paraId="21C62DFC">
        <w:tblPrEx>
          <w:tblCellMar>
            <w:top w:w="0" w:type="dxa"/>
            <w:left w:w="108" w:type="dxa"/>
            <w:bottom w:w="0" w:type="dxa"/>
            <w:right w:w="108" w:type="dxa"/>
          </w:tblCellMar>
        </w:tblPrEx>
        <w:trPr>
          <w:trHeight w:val="1080" w:hRule="atLeast"/>
        </w:trPr>
        <w:tc>
          <w:tcPr>
            <w:tcW w:w="647" w:type="dxa"/>
            <w:vMerge w:val="continue"/>
            <w:tcBorders>
              <w:top w:val="nil"/>
              <w:left w:val="single" w:color="auto" w:sz="4" w:space="0"/>
              <w:bottom w:val="single" w:color="000000" w:sz="4" w:space="0"/>
              <w:right w:val="single" w:color="auto" w:sz="4" w:space="0"/>
            </w:tcBorders>
            <w:vAlign w:val="center"/>
          </w:tcPr>
          <w:p w14:paraId="247D0932">
            <w:pPr>
              <w:widowControl/>
              <w:jc w:val="left"/>
              <w:rPr>
                <w:rFonts w:hint="eastAsia" w:ascii="仿宋" w:hAnsi="仿宋" w:eastAsia="仿宋"/>
                <w:color w:val="000000"/>
                <w:szCs w:val="21"/>
              </w:rPr>
            </w:pPr>
          </w:p>
        </w:tc>
        <w:tc>
          <w:tcPr>
            <w:tcW w:w="1050" w:type="dxa"/>
            <w:vMerge w:val="continue"/>
            <w:tcBorders>
              <w:top w:val="nil"/>
              <w:left w:val="single" w:color="auto" w:sz="4" w:space="0"/>
              <w:bottom w:val="single" w:color="000000" w:sz="4" w:space="0"/>
              <w:right w:val="single" w:color="auto" w:sz="4" w:space="0"/>
            </w:tcBorders>
            <w:vAlign w:val="center"/>
          </w:tcPr>
          <w:p w14:paraId="6BD694AF">
            <w:pPr>
              <w:widowControl/>
              <w:jc w:val="left"/>
              <w:rPr>
                <w:rFonts w:hint="eastAsia" w:ascii="仿宋" w:hAnsi="仿宋" w:eastAsia="仿宋"/>
                <w:color w:val="000000"/>
                <w:szCs w:val="21"/>
              </w:rPr>
            </w:pPr>
          </w:p>
        </w:tc>
        <w:tc>
          <w:tcPr>
            <w:tcW w:w="1260" w:type="dxa"/>
            <w:tcBorders>
              <w:top w:val="nil"/>
              <w:left w:val="nil"/>
              <w:bottom w:val="single" w:color="auto" w:sz="4" w:space="0"/>
              <w:right w:val="single" w:color="auto" w:sz="4" w:space="0"/>
            </w:tcBorders>
            <w:vAlign w:val="center"/>
          </w:tcPr>
          <w:p w14:paraId="2212EF64">
            <w:pPr>
              <w:widowControl/>
              <w:jc w:val="center"/>
              <w:rPr>
                <w:rFonts w:hint="eastAsia" w:ascii="仿宋" w:hAnsi="仿宋" w:eastAsia="仿宋"/>
                <w:color w:val="000000"/>
                <w:szCs w:val="21"/>
              </w:rPr>
            </w:pPr>
            <w:r>
              <w:rPr>
                <w:rFonts w:hint="eastAsia" w:ascii="仿宋" w:hAnsi="仿宋" w:eastAsia="仿宋"/>
                <w:color w:val="000000"/>
                <w:szCs w:val="21"/>
              </w:rPr>
              <w:t>绩效指标明确性</w:t>
            </w:r>
            <w:r>
              <w:rPr>
                <w:rFonts w:hint="eastAsia" w:ascii="仿宋" w:hAnsi="仿宋" w:eastAsia="仿宋"/>
                <w:color w:val="000000"/>
                <w:szCs w:val="21"/>
              </w:rPr>
              <w:br w:type="textWrapping"/>
            </w:r>
            <w:r>
              <w:rPr>
                <w:rFonts w:hint="eastAsia" w:ascii="仿宋" w:hAnsi="仿宋" w:eastAsia="仿宋"/>
                <w:color w:val="000000"/>
                <w:szCs w:val="21"/>
              </w:rPr>
              <w:t>（3分）</w:t>
            </w:r>
          </w:p>
        </w:tc>
        <w:tc>
          <w:tcPr>
            <w:tcW w:w="5594" w:type="dxa"/>
            <w:tcBorders>
              <w:top w:val="nil"/>
              <w:left w:val="nil"/>
              <w:bottom w:val="single" w:color="auto" w:sz="4" w:space="0"/>
              <w:right w:val="single" w:color="auto" w:sz="4" w:space="0"/>
            </w:tcBorders>
            <w:vAlign w:val="center"/>
          </w:tcPr>
          <w:p w14:paraId="4B76A5DF">
            <w:pPr>
              <w:widowControl/>
              <w:jc w:val="left"/>
              <w:rPr>
                <w:rFonts w:hint="eastAsia" w:ascii="仿宋" w:hAnsi="仿宋" w:eastAsia="仿宋"/>
                <w:color w:val="000000"/>
                <w:szCs w:val="21"/>
              </w:rPr>
            </w:pPr>
            <w:r>
              <w:rPr>
                <w:rFonts w:hint="eastAsia" w:ascii="仿宋" w:hAnsi="仿宋" w:eastAsia="仿宋"/>
                <w:color w:val="000000"/>
                <w:szCs w:val="21"/>
              </w:rPr>
              <w:t>①是否将绩效目标细化分解为具体的绩效指标；</w:t>
            </w:r>
            <w:r>
              <w:rPr>
                <w:rFonts w:hint="eastAsia" w:ascii="仿宋" w:hAnsi="仿宋" w:eastAsia="仿宋"/>
                <w:color w:val="000000"/>
                <w:szCs w:val="21"/>
              </w:rPr>
              <w:br w:type="textWrapping"/>
            </w:r>
            <w:r>
              <w:rPr>
                <w:rFonts w:hint="eastAsia" w:ascii="仿宋" w:hAnsi="仿宋" w:eastAsia="仿宋"/>
                <w:color w:val="000000"/>
                <w:szCs w:val="21"/>
              </w:rPr>
              <w:t>②是否通过清晰、可衡量的指标值予以体现；</w:t>
            </w:r>
            <w:r>
              <w:rPr>
                <w:rFonts w:hint="eastAsia" w:ascii="仿宋" w:hAnsi="仿宋" w:eastAsia="仿宋"/>
                <w:color w:val="000000"/>
                <w:szCs w:val="21"/>
              </w:rPr>
              <w:br w:type="textWrapping"/>
            </w:r>
            <w:r>
              <w:rPr>
                <w:rFonts w:hint="eastAsia" w:ascii="仿宋" w:hAnsi="仿宋" w:eastAsia="仿宋"/>
                <w:color w:val="000000"/>
                <w:szCs w:val="21"/>
              </w:rPr>
              <w:t>③是否与目标任务数或计划数相对应。</w:t>
            </w:r>
            <w:r>
              <w:rPr>
                <w:rFonts w:hint="eastAsia" w:ascii="仿宋" w:hAnsi="仿宋" w:eastAsia="仿宋"/>
                <w:color w:val="000000"/>
                <w:szCs w:val="21"/>
              </w:rPr>
              <w:br w:type="textWrapping"/>
            </w:r>
            <w:r>
              <w:rPr>
                <w:rFonts w:hint="eastAsia" w:ascii="仿宋" w:hAnsi="仿宋" w:eastAsia="仿宋"/>
                <w:color w:val="000000"/>
                <w:szCs w:val="21"/>
              </w:rPr>
              <w:t>满分3分，一项不符合扣1分。</w:t>
            </w:r>
          </w:p>
        </w:tc>
      </w:tr>
      <w:tr w14:paraId="73A276A5">
        <w:tblPrEx>
          <w:tblCellMar>
            <w:top w:w="0" w:type="dxa"/>
            <w:left w:w="108" w:type="dxa"/>
            <w:bottom w:w="0" w:type="dxa"/>
            <w:right w:w="108" w:type="dxa"/>
          </w:tblCellMar>
        </w:tblPrEx>
        <w:trPr>
          <w:trHeight w:val="2179" w:hRule="atLeast"/>
        </w:trPr>
        <w:tc>
          <w:tcPr>
            <w:tcW w:w="647" w:type="dxa"/>
            <w:vMerge w:val="continue"/>
            <w:tcBorders>
              <w:top w:val="nil"/>
              <w:left w:val="single" w:color="auto" w:sz="4" w:space="0"/>
              <w:bottom w:val="single" w:color="000000" w:sz="4" w:space="0"/>
              <w:right w:val="single" w:color="auto" w:sz="4" w:space="0"/>
            </w:tcBorders>
            <w:vAlign w:val="center"/>
          </w:tcPr>
          <w:p w14:paraId="4ADEEB72">
            <w:pPr>
              <w:widowControl/>
              <w:jc w:val="left"/>
              <w:rPr>
                <w:rFonts w:hint="eastAsia" w:ascii="仿宋" w:hAnsi="仿宋" w:eastAsia="仿宋"/>
                <w:color w:val="000000"/>
                <w:szCs w:val="21"/>
              </w:rPr>
            </w:pPr>
          </w:p>
        </w:tc>
        <w:tc>
          <w:tcPr>
            <w:tcW w:w="1050" w:type="dxa"/>
            <w:vMerge w:val="restart"/>
            <w:tcBorders>
              <w:top w:val="nil"/>
              <w:left w:val="single" w:color="auto" w:sz="4" w:space="0"/>
              <w:bottom w:val="single" w:color="000000" w:sz="4" w:space="0"/>
              <w:right w:val="single" w:color="auto" w:sz="4" w:space="0"/>
            </w:tcBorders>
            <w:vAlign w:val="center"/>
          </w:tcPr>
          <w:p w14:paraId="64FB5884">
            <w:pPr>
              <w:widowControl/>
              <w:jc w:val="center"/>
              <w:rPr>
                <w:rFonts w:hint="eastAsia" w:ascii="仿宋" w:hAnsi="仿宋" w:eastAsia="仿宋"/>
                <w:color w:val="000000"/>
                <w:szCs w:val="21"/>
              </w:rPr>
            </w:pPr>
            <w:r>
              <w:rPr>
                <w:rFonts w:hint="eastAsia" w:ascii="仿宋" w:hAnsi="仿宋" w:eastAsia="仿宋"/>
                <w:color w:val="000000"/>
                <w:szCs w:val="21"/>
              </w:rPr>
              <w:t>资金投入</w:t>
            </w:r>
            <w:r>
              <w:rPr>
                <w:rFonts w:hint="eastAsia" w:ascii="仿宋" w:hAnsi="仿宋" w:eastAsia="仿宋"/>
                <w:color w:val="000000"/>
                <w:szCs w:val="21"/>
              </w:rPr>
              <w:br w:type="textWrapping"/>
            </w:r>
            <w:r>
              <w:rPr>
                <w:rFonts w:hint="eastAsia" w:ascii="仿宋" w:hAnsi="仿宋" w:eastAsia="仿宋"/>
                <w:color w:val="000000"/>
                <w:szCs w:val="21"/>
              </w:rPr>
              <w:t>（6分）</w:t>
            </w:r>
          </w:p>
        </w:tc>
        <w:tc>
          <w:tcPr>
            <w:tcW w:w="1260" w:type="dxa"/>
            <w:tcBorders>
              <w:top w:val="nil"/>
              <w:left w:val="nil"/>
              <w:bottom w:val="single" w:color="auto" w:sz="4" w:space="0"/>
              <w:right w:val="single" w:color="auto" w:sz="4" w:space="0"/>
            </w:tcBorders>
            <w:vAlign w:val="center"/>
          </w:tcPr>
          <w:p w14:paraId="197FB392">
            <w:pPr>
              <w:widowControl/>
              <w:jc w:val="center"/>
              <w:rPr>
                <w:rFonts w:hint="eastAsia" w:ascii="仿宋" w:hAnsi="仿宋" w:eastAsia="仿宋"/>
                <w:szCs w:val="21"/>
              </w:rPr>
            </w:pPr>
            <w:r>
              <w:rPr>
                <w:rFonts w:hint="eastAsia" w:ascii="仿宋" w:hAnsi="仿宋" w:eastAsia="仿宋"/>
                <w:szCs w:val="21"/>
              </w:rPr>
              <w:t>预算编制科学性</w:t>
            </w:r>
            <w:r>
              <w:rPr>
                <w:rFonts w:hint="eastAsia" w:ascii="仿宋" w:hAnsi="仿宋" w:eastAsia="仿宋"/>
                <w:szCs w:val="21"/>
              </w:rPr>
              <w:br w:type="textWrapping"/>
            </w:r>
            <w:r>
              <w:rPr>
                <w:rFonts w:hint="eastAsia" w:ascii="仿宋" w:hAnsi="仿宋" w:eastAsia="仿宋"/>
                <w:szCs w:val="21"/>
              </w:rPr>
              <w:t>（4分）</w:t>
            </w:r>
          </w:p>
        </w:tc>
        <w:tc>
          <w:tcPr>
            <w:tcW w:w="5594" w:type="dxa"/>
            <w:tcBorders>
              <w:top w:val="nil"/>
              <w:left w:val="nil"/>
              <w:bottom w:val="single" w:color="auto" w:sz="4" w:space="0"/>
              <w:right w:val="single" w:color="auto" w:sz="4" w:space="0"/>
            </w:tcBorders>
            <w:vAlign w:val="center"/>
          </w:tcPr>
          <w:p w14:paraId="5318A5EE">
            <w:pPr>
              <w:widowControl/>
              <w:jc w:val="left"/>
              <w:rPr>
                <w:rFonts w:hint="eastAsia" w:ascii="仿宋" w:hAnsi="仿宋" w:eastAsia="仿宋"/>
                <w:color w:val="000000"/>
                <w:szCs w:val="21"/>
              </w:rPr>
            </w:pPr>
            <w:r>
              <w:rPr>
                <w:rFonts w:hint="eastAsia" w:ascii="仿宋" w:hAnsi="仿宋" w:eastAsia="仿宋"/>
                <w:color w:val="000000"/>
                <w:szCs w:val="21"/>
              </w:rPr>
              <w:t>①预算编制是否经过科学论证；</w:t>
            </w:r>
            <w:r>
              <w:rPr>
                <w:rFonts w:hint="eastAsia" w:ascii="仿宋" w:hAnsi="仿宋" w:eastAsia="仿宋"/>
                <w:color w:val="000000"/>
                <w:szCs w:val="21"/>
              </w:rPr>
              <w:br w:type="textWrapping"/>
            </w:r>
            <w:r>
              <w:rPr>
                <w:rFonts w:hint="eastAsia" w:ascii="仿宋" w:hAnsi="仿宋" w:eastAsia="仿宋"/>
                <w:color w:val="000000"/>
                <w:szCs w:val="21"/>
              </w:rPr>
              <w:t>②预算内容与项目内容是否匹配；</w:t>
            </w:r>
            <w:r>
              <w:rPr>
                <w:rFonts w:hint="eastAsia" w:ascii="仿宋" w:hAnsi="仿宋" w:eastAsia="仿宋"/>
                <w:color w:val="000000"/>
                <w:szCs w:val="21"/>
              </w:rPr>
              <w:br w:type="textWrapping"/>
            </w:r>
            <w:r>
              <w:rPr>
                <w:rFonts w:hint="eastAsia" w:ascii="仿宋" w:hAnsi="仿宋" w:eastAsia="仿宋"/>
                <w:color w:val="000000"/>
                <w:szCs w:val="21"/>
              </w:rPr>
              <w:t>③预算额度测算依据是否充分，是否按照标准编制；</w:t>
            </w:r>
            <w:r>
              <w:rPr>
                <w:rFonts w:hint="eastAsia" w:ascii="仿宋" w:hAnsi="仿宋" w:eastAsia="仿宋"/>
                <w:color w:val="000000"/>
                <w:szCs w:val="21"/>
              </w:rPr>
              <w:br w:type="textWrapping"/>
            </w:r>
            <w:r>
              <w:rPr>
                <w:rFonts w:hint="eastAsia" w:ascii="仿宋" w:hAnsi="仿宋" w:eastAsia="仿宋"/>
                <w:color w:val="000000"/>
                <w:szCs w:val="21"/>
              </w:rPr>
              <w:t>④预算确定的项目投资额或资金量是否与工作任务相匹配。</w:t>
            </w:r>
            <w:r>
              <w:rPr>
                <w:rFonts w:hint="eastAsia" w:ascii="仿宋" w:hAnsi="仿宋" w:eastAsia="仿宋"/>
                <w:color w:val="000000"/>
                <w:szCs w:val="21"/>
              </w:rPr>
              <w:br w:type="textWrapping"/>
            </w:r>
            <w:r>
              <w:rPr>
                <w:rFonts w:hint="eastAsia" w:ascii="仿宋" w:hAnsi="仿宋" w:eastAsia="仿宋"/>
                <w:color w:val="000000"/>
                <w:szCs w:val="21"/>
              </w:rPr>
              <w:t>满分4分，一项不符合扣1分。</w:t>
            </w:r>
          </w:p>
        </w:tc>
      </w:tr>
      <w:tr w14:paraId="176DCD9C">
        <w:tblPrEx>
          <w:tblCellMar>
            <w:top w:w="0" w:type="dxa"/>
            <w:left w:w="108" w:type="dxa"/>
            <w:bottom w:w="0" w:type="dxa"/>
            <w:right w:w="108" w:type="dxa"/>
          </w:tblCellMar>
        </w:tblPrEx>
        <w:trPr>
          <w:trHeight w:val="1402" w:hRule="atLeast"/>
        </w:trPr>
        <w:tc>
          <w:tcPr>
            <w:tcW w:w="647" w:type="dxa"/>
            <w:vMerge w:val="continue"/>
            <w:tcBorders>
              <w:top w:val="nil"/>
              <w:left w:val="single" w:color="auto" w:sz="4" w:space="0"/>
              <w:bottom w:val="single" w:color="auto" w:sz="4" w:space="0"/>
              <w:right w:val="single" w:color="auto" w:sz="4" w:space="0"/>
            </w:tcBorders>
            <w:vAlign w:val="center"/>
          </w:tcPr>
          <w:p w14:paraId="3AAE9A51">
            <w:pPr>
              <w:widowControl/>
              <w:jc w:val="left"/>
              <w:rPr>
                <w:rFonts w:hint="eastAsia" w:ascii="仿宋" w:hAnsi="仿宋" w:eastAsia="仿宋"/>
                <w:color w:val="000000"/>
                <w:szCs w:val="21"/>
              </w:rPr>
            </w:pPr>
          </w:p>
        </w:tc>
        <w:tc>
          <w:tcPr>
            <w:tcW w:w="1050" w:type="dxa"/>
            <w:vMerge w:val="continue"/>
            <w:tcBorders>
              <w:top w:val="nil"/>
              <w:left w:val="single" w:color="auto" w:sz="4" w:space="0"/>
              <w:bottom w:val="single" w:color="auto" w:sz="4" w:space="0"/>
              <w:right w:val="single" w:color="auto" w:sz="4" w:space="0"/>
            </w:tcBorders>
            <w:vAlign w:val="center"/>
          </w:tcPr>
          <w:p w14:paraId="5762F15D">
            <w:pPr>
              <w:widowControl/>
              <w:jc w:val="left"/>
              <w:rPr>
                <w:rFonts w:hint="eastAsia" w:ascii="仿宋" w:hAnsi="仿宋" w:eastAsia="仿宋"/>
                <w:color w:val="000000"/>
                <w:szCs w:val="21"/>
              </w:rPr>
            </w:pPr>
          </w:p>
        </w:tc>
        <w:tc>
          <w:tcPr>
            <w:tcW w:w="1260" w:type="dxa"/>
            <w:tcBorders>
              <w:top w:val="nil"/>
              <w:left w:val="nil"/>
              <w:bottom w:val="single" w:color="auto" w:sz="4" w:space="0"/>
              <w:right w:val="single" w:color="auto" w:sz="4" w:space="0"/>
            </w:tcBorders>
            <w:vAlign w:val="center"/>
          </w:tcPr>
          <w:p w14:paraId="09D251C2">
            <w:pPr>
              <w:widowControl/>
              <w:jc w:val="center"/>
              <w:rPr>
                <w:rFonts w:hint="eastAsia" w:ascii="仿宋" w:hAnsi="仿宋" w:eastAsia="仿宋"/>
                <w:color w:val="000000"/>
                <w:szCs w:val="21"/>
              </w:rPr>
            </w:pPr>
            <w:r>
              <w:rPr>
                <w:rFonts w:hint="eastAsia" w:ascii="仿宋" w:hAnsi="仿宋" w:eastAsia="仿宋"/>
                <w:color w:val="000000"/>
                <w:szCs w:val="21"/>
              </w:rPr>
              <w:t>资金分配合理性</w:t>
            </w:r>
            <w:r>
              <w:rPr>
                <w:rFonts w:hint="eastAsia" w:ascii="仿宋" w:hAnsi="仿宋" w:eastAsia="仿宋"/>
                <w:color w:val="000000"/>
                <w:szCs w:val="21"/>
              </w:rPr>
              <w:br w:type="textWrapping"/>
            </w:r>
            <w:r>
              <w:rPr>
                <w:rFonts w:hint="eastAsia" w:ascii="仿宋" w:hAnsi="仿宋" w:eastAsia="仿宋"/>
                <w:color w:val="000000"/>
                <w:szCs w:val="21"/>
              </w:rPr>
              <w:t>（2分）</w:t>
            </w:r>
          </w:p>
        </w:tc>
        <w:tc>
          <w:tcPr>
            <w:tcW w:w="5594" w:type="dxa"/>
            <w:tcBorders>
              <w:top w:val="nil"/>
              <w:left w:val="nil"/>
              <w:bottom w:val="single" w:color="auto" w:sz="4" w:space="0"/>
              <w:right w:val="single" w:color="auto" w:sz="4" w:space="0"/>
            </w:tcBorders>
            <w:vAlign w:val="center"/>
          </w:tcPr>
          <w:p w14:paraId="64973233">
            <w:pPr>
              <w:widowControl/>
              <w:jc w:val="left"/>
              <w:rPr>
                <w:rFonts w:hint="eastAsia" w:ascii="仿宋" w:hAnsi="仿宋" w:eastAsia="仿宋"/>
                <w:color w:val="000000"/>
                <w:szCs w:val="21"/>
              </w:rPr>
            </w:pPr>
            <w:r>
              <w:rPr>
                <w:rFonts w:hint="eastAsia" w:ascii="仿宋" w:hAnsi="仿宋" w:eastAsia="仿宋"/>
                <w:color w:val="000000"/>
                <w:szCs w:val="21"/>
              </w:rPr>
              <w:t>①预算资金分配依据是否充分；</w:t>
            </w:r>
            <w:r>
              <w:rPr>
                <w:rFonts w:hint="eastAsia" w:ascii="仿宋" w:hAnsi="仿宋" w:eastAsia="仿宋"/>
                <w:color w:val="000000"/>
                <w:szCs w:val="21"/>
              </w:rPr>
              <w:br w:type="textWrapping"/>
            </w:r>
            <w:r>
              <w:rPr>
                <w:rFonts w:hint="eastAsia" w:ascii="仿宋" w:hAnsi="仿宋" w:eastAsia="仿宋"/>
                <w:color w:val="000000"/>
                <w:szCs w:val="21"/>
              </w:rPr>
              <w:t>②资金分配额度是否合理，与地方实际是否相适应。</w:t>
            </w:r>
            <w:r>
              <w:rPr>
                <w:rFonts w:hint="eastAsia" w:ascii="仿宋" w:hAnsi="仿宋" w:eastAsia="仿宋"/>
                <w:color w:val="000000"/>
                <w:szCs w:val="21"/>
              </w:rPr>
              <w:br w:type="textWrapping"/>
            </w:r>
            <w:r>
              <w:rPr>
                <w:rFonts w:hint="eastAsia" w:ascii="仿宋" w:hAnsi="仿宋" w:eastAsia="仿宋"/>
                <w:color w:val="000000"/>
                <w:szCs w:val="21"/>
              </w:rPr>
              <w:t>满分2分，一项不符合扣1分。</w:t>
            </w:r>
          </w:p>
        </w:tc>
      </w:tr>
      <w:tr w14:paraId="71F1C087">
        <w:tblPrEx>
          <w:tblCellMar>
            <w:top w:w="0" w:type="dxa"/>
            <w:left w:w="108" w:type="dxa"/>
            <w:bottom w:w="0" w:type="dxa"/>
            <w:right w:w="108" w:type="dxa"/>
          </w:tblCellMar>
        </w:tblPrEx>
        <w:trPr>
          <w:trHeight w:val="810" w:hRule="atLeast"/>
        </w:trPr>
        <w:tc>
          <w:tcPr>
            <w:tcW w:w="647" w:type="dxa"/>
            <w:vMerge w:val="restart"/>
            <w:tcBorders>
              <w:top w:val="single" w:color="auto" w:sz="4" w:space="0"/>
              <w:left w:val="single" w:color="auto" w:sz="4" w:space="0"/>
              <w:right w:val="single" w:color="auto" w:sz="4" w:space="0"/>
            </w:tcBorders>
            <w:vAlign w:val="center"/>
          </w:tcPr>
          <w:p w14:paraId="6A758F8B">
            <w:pPr>
              <w:jc w:val="left"/>
              <w:rPr>
                <w:rFonts w:hint="eastAsia" w:ascii="仿宋" w:hAnsi="仿宋" w:eastAsia="仿宋"/>
                <w:color w:val="000000"/>
                <w:szCs w:val="21"/>
              </w:rPr>
            </w:pPr>
            <w:r>
              <w:rPr>
                <w:rFonts w:hint="eastAsia" w:ascii="仿宋" w:hAnsi="仿宋" w:eastAsia="仿宋"/>
                <w:color w:val="000000"/>
                <w:szCs w:val="21"/>
              </w:rPr>
              <w:t>过程</w:t>
            </w:r>
            <w:r>
              <w:rPr>
                <w:rFonts w:hint="eastAsia" w:ascii="仿宋" w:hAnsi="仿宋" w:eastAsia="仿宋"/>
                <w:color w:val="000000"/>
                <w:szCs w:val="21"/>
              </w:rPr>
              <w:br w:type="textWrapping"/>
            </w:r>
            <w:r>
              <w:rPr>
                <w:rFonts w:hint="eastAsia" w:ascii="仿宋" w:hAnsi="仿宋" w:eastAsia="仿宋"/>
                <w:color w:val="000000"/>
                <w:szCs w:val="21"/>
              </w:rPr>
              <w:t>（22分）</w:t>
            </w:r>
          </w:p>
        </w:tc>
        <w:tc>
          <w:tcPr>
            <w:tcW w:w="1050" w:type="dxa"/>
            <w:vMerge w:val="restart"/>
            <w:tcBorders>
              <w:top w:val="single" w:color="auto" w:sz="4" w:space="0"/>
              <w:left w:val="single" w:color="auto" w:sz="4" w:space="0"/>
              <w:bottom w:val="single" w:color="000000" w:sz="4" w:space="0"/>
              <w:right w:val="single" w:color="auto" w:sz="4" w:space="0"/>
            </w:tcBorders>
            <w:vAlign w:val="center"/>
          </w:tcPr>
          <w:p w14:paraId="3B10B857">
            <w:pPr>
              <w:widowControl/>
              <w:jc w:val="center"/>
              <w:rPr>
                <w:rFonts w:hint="eastAsia" w:ascii="仿宋" w:hAnsi="仿宋" w:eastAsia="仿宋"/>
                <w:color w:val="000000"/>
                <w:szCs w:val="21"/>
              </w:rPr>
            </w:pPr>
            <w:r>
              <w:rPr>
                <w:rFonts w:hint="eastAsia" w:ascii="仿宋" w:hAnsi="仿宋" w:eastAsia="仿宋"/>
                <w:color w:val="000000"/>
                <w:szCs w:val="21"/>
              </w:rPr>
              <w:t>资金管理</w:t>
            </w:r>
            <w:r>
              <w:rPr>
                <w:rFonts w:hint="eastAsia" w:ascii="仿宋" w:hAnsi="仿宋" w:eastAsia="仿宋"/>
                <w:color w:val="000000"/>
                <w:szCs w:val="21"/>
              </w:rPr>
              <w:br w:type="textWrapping"/>
            </w:r>
            <w:r>
              <w:rPr>
                <w:rFonts w:hint="eastAsia" w:ascii="仿宋" w:hAnsi="仿宋" w:eastAsia="仿宋"/>
                <w:color w:val="000000"/>
                <w:szCs w:val="21"/>
              </w:rPr>
              <w:t>（9分）</w:t>
            </w:r>
          </w:p>
        </w:tc>
        <w:tc>
          <w:tcPr>
            <w:tcW w:w="1260" w:type="dxa"/>
            <w:tcBorders>
              <w:top w:val="single" w:color="auto" w:sz="4" w:space="0"/>
              <w:left w:val="nil"/>
              <w:bottom w:val="single" w:color="auto" w:sz="4" w:space="0"/>
              <w:right w:val="single" w:color="auto" w:sz="4" w:space="0"/>
            </w:tcBorders>
            <w:vAlign w:val="center"/>
          </w:tcPr>
          <w:p w14:paraId="0B7CAA37">
            <w:pPr>
              <w:widowControl/>
              <w:jc w:val="center"/>
              <w:rPr>
                <w:rFonts w:hint="eastAsia" w:ascii="仿宋" w:hAnsi="仿宋" w:eastAsia="仿宋"/>
                <w:color w:val="000000"/>
                <w:szCs w:val="21"/>
              </w:rPr>
            </w:pPr>
            <w:r>
              <w:rPr>
                <w:rFonts w:hint="eastAsia" w:ascii="仿宋" w:hAnsi="仿宋" w:eastAsia="仿宋"/>
                <w:color w:val="000000"/>
                <w:szCs w:val="21"/>
              </w:rPr>
              <w:t>预算执行率</w:t>
            </w:r>
            <w:r>
              <w:rPr>
                <w:rFonts w:hint="eastAsia" w:ascii="仿宋" w:hAnsi="仿宋" w:eastAsia="仿宋"/>
                <w:color w:val="000000"/>
                <w:szCs w:val="21"/>
              </w:rPr>
              <w:br w:type="textWrapping"/>
            </w:r>
            <w:r>
              <w:rPr>
                <w:rFonts w:hint="eastAsia" w:ascii="仿宋" w:hAnsi="仿宋" w:eastAsia="仿宋"/>
                <w:color w:val="000000"/>
                <w:szCs w:val="21"/>
              </w:rPr>
              <w:t>（3分）</w:t>
            </w:r>
          </w:p>
        </w:tc>
        <w:tc>
          <w:tcPr>
            <w:tcW w:w="5594" w:type="dxa"/>
            <w:tcBorders>
              <w:top w:val="nil"/>
              <w:left w:val="nil"/>
              <w:bottom w:val="single" w:color="auto" w:sz="4" w:space="0"/>
              <w:right w:val="single" w:color="auto" w:sz="4" w:space="0"/>
            </w:tcBorders>
            <w:vAlign w:val="center"/>
          </w:tcPr>
          <w:p w14:paraId="489AB3D5">
            <w:pPr>
              <w:widowControl/>
              <w:jc w:val="left"/>
              <w:rPr>
                <w:rFonts w:hint="eastAsia" w:ascii="仿宋" w:hAnsi="仿宋" w:eastAsia="仿宋"/>
                <w:color w:val="000000"/>
                <w:szCs w:val="21"/>
              </w:rPr>
            </w:pPr>
            <w:r>
              <w:rPr>
                <w:rFonts w:hint="eastAsia" w:ascii="仿宋" w:hAnsi="仿宋" w:eastAsia="仿宋"/>
                <w:color w:val="000000"/>
                <w:szCs w:val="21"/>
              </w:rPr>
              <w:t>预算执行率=（实际使用资金/实际到位资金）×100%。</w:t>
            </w:r>
            <w:r>
              <w:rPr>
                <w:rFonts w:hint="eastAsia" w:ascii="仿宋" w:hAnsi="仿宋" w:eastAsia="仿宋"/>
                <w:color w:val="000000"/>
                <w:szCs w:val="21"/>
              </w:rPr>
              <w:br w:type="textWrapping"/>
            </w:r>
            <w:r>
              <w:rPr>
                <w:rFonts w:hint="eastAsia" w:ascii="仿宋" w:hAnsi="仿宋" w:eastAsia="仿宋"/>
                <w:color w:val="000000"/>
                <w:szCs w:val="21"/>
              </w:rPr>
              <w:t>预算执行率≥90%得4分，预算执行率＜90%每降低5%扣1分，不足5%，按比例扣分，扣完为止。</w:t>
            </w:r>
          </w:p>
        </w:tc>
      </w:tr>
      <w:tr w14:paraId="380A5BCF">
        <w:tblPrEx>
          <w:tblCellMar>
            <w:top w:w="0" w:type="dxa"/>
            <w:left w:w="108" w:type="dxa"/>
            <w:bottom w:w="0" w:type="dxa"/>
            <w:right w:w="108" w:type="dxa"/>
          </w:tblCellMar>
        </w:tblPrEx>
        <w:trPr>
          <w:trHeight w:val="1979" w:hRule="atLeast"/>
        </w:trPr>
        <w:tc>
          <w:tcPr>
            <w:tcW w:w="647" w:type="dxa"/>
            <w:vMerge w:val="continue"/>
            <w:tcBorders>
              <w:left w:val="single" w:color="auto" w:sz="4" w:space="0"/>
              <w:right w:val="single" w:color="auto" w:sz="4" w:space="0"/>
            </w:tcBorders>
            <w:vAlign w:val="center"/>
          </w:tcPr>
          <w:p w14:paraId="6273E630">
            <w:pPr>
              <w:jc w:val="left"/>
              <w:rPr>
                <w:rFonts w:hint="eastAsia" w:ascii="仿宋" w:hAnsi="仿宋" w:eastAsia="仿宋"/>
                <w:color w:val="000000"/>
                <w:szCs w:val="21"/>
              </w:rPr>
            </w:pPr>
          </w:p>
        </w:tc>
        <w:tc>
          <w:tcPr>
            <w:tcW w:w="1050" w:type="dxa"/>
            <w:vMerge w:val="continue"/>
            <w:tcBorders>
              <w:top w:val="nil"/>
              <w:left w:val="single" w:color="auto" w:sz="4" w:space="0"/>
              <w:bottom w:val="single" w:color="000000" w:sz="4" w:space="0"/>
              <w:right w:val="single" w:color="auto" w:sz="4" w:space="0"/>
            </w:tcBorders>
            <w:vAlign w:val="center"/>
          </w:tcPr>
          <w:p w14:paraId="1352B60D">
            <w:pPr>
              <w:widowControl/>
              <w:jc w:val="left"/>
              <w:rPr>
                <w:rFonts w:hint="eastAsia" w:ascii="仿宋" w:hAnsi="仿宋" w:eastAsia="仿宋"/>
                <w:color w:val="000000"/>
                <w:szCs w:val="21"/>
              </w:rPr>
            </w:pPr>
          </w:p>
        </w:tc>
        <w:tc>
          <w:tcPr>
            <w:tcW w:w="1260" w:type="dxa"/>
            <w:tcBorders>
              <w:top w:val="nil"/>
              <w:left w:val="nil"/>
              <w:bottom w:val="single" w:color="auto" w:sz="4" w:space="0"/>
              <w:right w:val="single" w:color="auto" w:sz="4" w:space="0"/>
            </w:tcBorders>
            <w:vAlign w:val="center"/>
          </w:tcPr>
          <w:p w14:paraId="671ED8CD">
            <w:pPr>
              <w:widowControl/>
              <w:jc w:val="center"/>
              <w:rPr>
                <w:rFonts w:hint="eastAsia" w:ascii="仿宋" w:hAnsi="仿宋" w:eastAsia="仿宋"/>
                <w:color w:val="000000"/>
                <w:szCs w:val="21"/>
              </w:rPr>
            </w:pPr>
            <w:r>
              <w:rPr>
                <w:rFonts w:hint="eastAsia" w:ascii="仿宋" w:hAnsi="仿宋" w:eastAsia="仿宋"/>
                <w:color w:val="000000"/>
                <w:szCs w:val="21"/>
              </w:rPr>
              <w:t>资金使用合规性</w:t>
            </w:r>
            <w:r>
              <w:rPr>
                <w:rFonts w:hint="eastAsia" w:ascii="仿宋" w:hAnsi="仿宋" w:eastAsia="仿宋"/>
                <w:color w:val="000000"/>
                <w:szCs w:val="21"/>
              </w:rPr>
              <w:br w:type="textWrapping"/>
            </w:r>
            <w:r>
              <w:rPr>
                <w:rFonts w:hint="eastAsia" w:ascii="仿宋" w:hAnsi="仿宋" w:eastAsia="仿宋"/>
                <w:color w:val="000000"/>
                <w:szCs w:val="21"/>
              </w:rPr>
              <w:t>（3分）</w:t>
            </w:r>
          </w:p>
        </w:tc>
        <w:tc>
          <w:tcPr>
            <w:tcW w:w="5594" w:type="dxa"/>
            <w:tcBorders>
              <w:top w:val="nil"/>
              <w:left w:val="nil"/>
              <w:bottom w:val="single" w:color="auto" w:sz="4" w:space="0"/>
              <w:right w:val="single" w:color="auto" w:sz="4" w:space="0"/>
            </w:tcBorders>
            <w:vAlign w:val="center"/>
          </w:tcPr>
          <w:p w14:paraId="257026A3">
            <w:pPr>
              <w:widowControl/>
              <w:jc w:val="left"/>
              <w:rPr>
                <w:rFonts w:hint="eastAsia" w:ascii="仿宋" w:hAnsi="仿宋" w:eastAsia="仿宋"/>
                <w:color w:val="000000"/>
                <w:szCs w:val="21"/>
              </w:rPr>
            </w:pPr>
            <w:r>
              <w:rPr>
                <w:rFonts w:hint="eastAsia" w:ascii="仿宋" w:hAnsi="仿宋" w:eastAsia="仿宋"/>
                <w:color w:val="000000"/>
                <w:szCs w:val="21"/>
              </w:rPr>
              <w:t>①是否符合国家财经法规和财务管理制度以及有关专项资金管理办法的规定；</w:t>
            </w:r>
          </w:p>
          <w:p w14:paraId="5A86FFD9">
            <w:pPr>
              <w:widowControl/>
              <w:jc w:val="left"/>
              <w:rPr>
                <w:rFonts w:hint="eastAsia" w:ascii="仿宋" w:hAnsi="仿宋" w:eastAsia="仿宋"/>
                <w:color w:val="000000"/>
                <w:szCs w:val="21"/>
              </w:rPr>
            </w:pPr>
            <w:r>
              <w:rPr>
                <w:rFonts w:hint="eastAsia" w:ascii="仿宋" w:hAnsi="仿宋" w:eastAsia="仿宋"/>
                <w:color w:val="000000"/>
                <w:szCs w:val="21"/>
              </w:rPr>
              <w:t>②资金的拨付是否有完整的审批程序和手续；</w:t>
            </w:r>
          </w:p>
          <w:p w14:paraId="0812105C">
            <w:pPr>
              <w:widowControl/>
              <w:jc w:val="left"/>
              <w:rPr>
                <w:rFonts w:hint="eastAsia" w:ascii="仿宋" w:hAnsi="仿宋" w:eastAsia="仿宋"/>
                <w:color w:val="000000"/>
                <w:szCs w:val="21"/>
              </w:rPr>
            </w:pPr>
            <w:r>
              <w:rPr>
                <w:rFonts w:hint="eastAsia" w:ascii="仿宋" w:hAnsi="仿宋" w:eastAsia="仿宋"/>
                <w:color w:val="000000"/>
                <w:szCs w:val="21"/>
              </w:rPr>
              <w:t>③是否存在截留、挤占、挪用、虚列支出等情况。</w:t>
            </w:r>
            <w:r>
              <w:rPr>
                <w:rFonts w:hint="eastAsia" w:ascii="仿宋" w:hAnsi="仿宋" w:eastAsia="仿宋"/>
                <w:color w:val="000000"/>
                <w:szCs w:val="21"/>
              </w:rPr>
              <w:br w:type="textWrapping"/>
            </w:r>
            <w:r>
              <w:rPr>
                <w:rFonts w:hint="eastAsia" w:ascii="仿宋" w:hAnsi="仿宋" w:eastAsia="仿宋"/>
                <w:color w:val="000000"/>
                <w:szCs w:val="21"/>
              </w:rPr>
              <w:t>满分3分，一项不符合扣1分，扣完为止。</w:t>
            </w:r>
          </w:p>
        </w:tc>
      </w:tr>
      <w:tr w14:paraId="42E94C77">
        <w:tblPrEx>
          <w:tblCellMar>
            <w:top w:w="0" w:type="dxa"/>
            <w:left w:w="108" w:type="dxa"/>
            <w:bottom w:w="0" w:type="dxa"/>
            <w:right w:w="108" w:type="dxa"/>
          </w:tblCellMar>
        </w:tblPrEx>
        <w:trPr>
          <w:trHeight w:val="849" w:hRule="atLeast"/>
        </w:trPr>
        <w:tc>
          <w:tcPr>
            <w:tcW w:w="647" w:type="dxa"/>
            <w:vMerge w:val="continue"/>
            <w:tcBorders>
              <w:left w:val="single" w:color="auto" w:sz="4" w:space="0"/>
              <w:right w:val="single" w:color="auto" w:sz="4" w:space="0"/>
            </w:tcBorders>
            <w:vAlign w:val="center"/>
          </w:tcPr>
          <w:p w14:paraId="0070EB7F">
            <w:pPr>
              <w:widowControl/>
              <w:jc w:val="left"/>
              <w:rPr>
                <w:rFonts w:hint="eastAsia" w:ascii="仿宋" w:hAnsi="仿宋" w:eastAsia="仿宋"/>
                <w:color w:val="000000"/>
                <w:szCs w:val="21"/>
              </w:rPr>
            </w:pPr>
          </w:p>
        </w:tc>
        <w:tc>
          <w:tcPr>
            <w:tcW w:w="1050" w:type="dxa"/>
            <w:vMerge w:val="continue"/>
            <w:tcBorders>
              <w:top w:val="nil"/>
              <w:left w:val="single" w:color="auto" w:sz="4" w:space="0"/>
              <w:bottom w:val="single" w:color="000000" w:sz="4" w:space="0"/>
              <w:right w:val="single" w:color="auto" w:sz="4" w:space="0"/>
            </w:tcBorders>
            <w:vAlign w:val="center"/>
          </w:tcPr>
          <w:p w14:paraId="07070BB5">
            <w:pPr>
              <w:widowControl/>
              <w:jc w:val="left"/>
              <w:rPr>
                <w:rFonts w:hint="eastAsia" w:ascii="仿宋" w:hAnsi="仿宋" w:eastAsia="仿宋"/>
                <w:color w:val="000000"/>
                <w:szCs w:val="21"/>
              </w:rPr>
            </w:pPr>
          </w:p>
        </w:tc>
        <w:tc>
          <w:tcPr>
            <w:tcW w:w="1260" w:type="dxa"/>
            <w:tcBorders>
              <w:top w:val="nil"/>
              <w:left w:val="nil"/>
              <w:bottom w:val="single" w:color="auto" w:sz="4" w:space="0"/>
              <w:right w:val="single" w:color="auto" w:sz="4" w:space="0"/>
            </w:tcBorders>
            <w:vAlign w:val="center"/>
          </w:tcPr>
          <w:p w14:paraId="3458C472">
            <w:pPr>
              <w:widowControl/>
              <w:jc w:val="center"/>
              <w:rPr>
                <w:rFonts w:hint="eastAsia" w:ascii="仿宋" w:hAnsi="仿宋" w:eastAsia="仿宋"/>
                <w:color w:val="000000"/>
                <w:szCs w:val="21"/>
              </w:rPr>
            </w:pPr>
            <w:r>
              <w:rPr>
                <w:rFonts w:hint="eastAsia" w:ascii="仿宋" w:hAnsi="仿宋" w:eastAsia="仿宋"/>
                <w:color w:val="000000"/>
                <w:szCs w:val="21"/>
              </w:rPr>
              <w:t>资金到位率</w:t>
            </w:r>
            <w:r>
              <w:rPr>
                <w:rFonts w:hint="eastAsia" w:ascii="仿宋" w:hAnsi="仿宋" w:eastAsia="仿宋"/>
                <w:color w:val="000000"/>
                <w:szCs w:val="21"/>
              </w:rPr>
              <w:br w:type="textWrapping"/>
            </w:r>
            <w:r>
              <w:rPr>
                <w:rFonts w:hint="eastAsia" w:ascii="仿宋" w:hAnsi="仿宋" w:eastAsia="仿宋"/>
                <w:color w:val="000000"/>
                <w:szCs w:val="21"/>
              </w:rPr>
              <w:t>（3分）</w:t>
            </w:r>
          </w:p>
        </w:tc>
        <w:tc>
          <w:tcPr>
            <w:tcW w:w="5594" w:type="dxa"/>
            <w:tcBorders>
              <w:top w:val="nil"/>
              <w:left w:val="nil"/>
              <w:bottom w:val="single" w:color="auto" w:sz="4" w:space="0"/>
              <w:right w:val="single" w:color="auto" w:sz="4" w:space="0"/>
            </w:tcBorders>
            <w:vAlign w:val="center"/>
          </w:tcPr>
          <w:p w14:paraId="4C751667">
            <w:pPr>
              <w:widowControl/>
              <w:jc w:val="left"/>
              <w:rPr>
                <w:rFonts w:hint="eastAsia" w:ascii="仿宋" w:hAnsi="仿宋" w:eastAsia="仿宋"/>
                <w:color w:val="000000"/>
                <w:szCs w:val="21"/>
              </w:rPr>
            </w:pPr>
            <w:r>
              <w:rPr>
                <w:rFonts w:hint="eastAsia" w:ascii="仿宋" w:hAnsi="仿宋" w:eastAsia="仿宋"/>
                <w:color w:val="000000"/>
                <w:szCs w:val="21"/>
              </w:rPr>
              <w:t>资金到位率=（实际到位资金/计划投入资金）×100%。</w:t>
            </w:r>
            <w:r>
              <w:rPr>
                <w:rFonts w:hint="eastAsia" w:ascii="仿宋" w:hAnsi="仿宋" w:eastAsia="仿宋"/>
                <w:color w:val="000000"/>
                <w:szCs w:val="21"/>
              </w:rPr>
              <w:br w:type="textWrapping"/>
            </w:r>
            <w:r>
              <w:rPr>
                <w:rFonts w:hint="eastAsia" w:ascii="仿宋" w:hAnsi="仿宋" w:eastAsia="仿宋"/>
                <w:color w:val="000000"/>
                <w:szCs w:val="21"/>
              </w:rPr>
              <w:t>资金到位率为100%得满分，资金到位率＜100%，每降低5%扣1分,不足5%，按比例扣分，扣完为止。</w:t>
            </w:r>
          </w:p>
        </w:tc>
      </w:tr>
      <w:tr w14:paraId="064C2FBD">
        <w:tblPrEx>
          <w:tblCellMar>
            <w:top w:w="0" w:type="dxa"/>
            <w:left w:w="108" w:type="dxa"/>
            <w:bottom w:w="0" w:type="dxa"/>
            <w:right w:w="108" w:type="dxa"/>
          </w:tblCellMar>
        </w:tblPrEx>
        <w:trPr>
          <w:trHeight w:val="1080" w:hRule="atLeast"/>
        </w:trPr>
        <w:tc>
          <w:tcPr>
            <w:tcW w:w="647" w:type="dxa"/>
            <w:vMerge w:val="continue"/>
            <w:tcBorders>
              <w:left w:val="single" w:color="auto" w:sz="4" w:space="0"/>
              <w:right w:val="single" w:color="auto" w:sz="4" w:space="0"/>
            </w:tcBorders>
            <w:vAlign w:val="center"/>
          </w:tcPr>
          <w:p w14:paraId="0B2747B4">
            <w:pPr>
              <w:widowControl/>
              <w:jc w:val="left"/>
              <w:rPr>
                <w:rFonts w:hint="eastAsia" w:ascii="仿宋" w:hAnsi="仿宋" w:eastAsia="仿宋"/>
                <w:color w:val="000000"/>
                <w:szCs w:val="21"/>
              </w:rPr>
            </w:pPr>
          </w:p>
        </w:tc>
        <w:tc>
          <w:tcPr>
            <w:tcW w:w="1050" w:type="dxa"/>
            <w:vMerge w:val="restart"/>
            <w:tcBorders>
              <w:top w:val="nil"/>
              <w:left w:val="single" w:color="auto" w:sz="4" w:space="0"/>
              <w:bottom w:val="nil"/>
              <w:right w:val="single" w:color="auto" w:sz="4" w:space="0"/>
            </w:tcBorders>
            <w:vAlign w:val="center"/>
          </w:tcPr>
          <w:p w14:paraId="7CF66907">
            <w:pPr>
              <w:widowControl/>
              <w:jc w:val="center"/>
              <w:rPr>
                <w:rFonts w:hint="eastAsia" w:ascii="仿宋" w:hAnsi="仿宋" w:eastAsia="仿宋"/>
                <w:color w:val="000000"/>
                <w:szCs w:val="21"/>
              </w:rPr>
            </w:pPr>
            <w:r>
              <w:rPr>
                <w:rFonts w:hint="eastAsia" w:ascii="仿宋" w:hAnsi="仿宋" w:eastAsia="仿宋"/>
                <w:color w:val="000000"/>
                <w:szCs w:val="21"/>
              </w:rPr>
              <w:t>组织实施</w:t>
            </w:r>
            <w:r>
              <w:rPr>
                <w:rFonts w:hint="eastAsia" w:ascii="仿宋" w:hAnsi="仿宋" w:eastAsia="仿宋"/>
                <w:color w:val="000000"/>
                <w:szCs w:val="21"/>
              </w:rPr>
              <w:br w:type="page"/>
            </w:r>
            <w:r>
              <w:rPr>
                <w:rFonts w:hint="eastAsia" w:ascii="仿宋" w:hAnsi="仿宋" w:eastAsia="仿宋"/>
                <w:color w:val="000000"/>
                <w:szCs w:val="21"/>
              </w:rPr>
              <w:t>（13分）</w:t>
            </w:r>
            <w:r>
              <w:rPr>
                <w:rFonts w:hint="eastAsia" w:ascii="仿宋" w:hAnsi="仿宋" w:eastAsia="仿宋"/>
                <w:color w:val="000000"/>
                <w:szCs w:val="21"/>
              </w:rPr>
              <w:br w:type="page"/>
            </w:r>
          </w:p>
        </w:tc>
        <w:tc>
          <w:tcPr>
            <w:tcW w:w="1260" w:type="dxa"/>
            <w:tcBorders>
              <w:top w:val="nil"/>
              <w:left w:val="nil"/>
              <w:bottom w:val="single" w:color="auto" w:sz="4" w:space="0"/>
              <w:right w:val="single" w:color="auto" w:sz="4" w:space="0"/>
            </w:tcBorders>
            <w:vAlign w:val="center"/>
          </w:tcPr>
          <w:p w14:paraId="14282AEE">
            <w:pPr>
              <w:widowControl/>
              <w:jc w:val="center"/>
              <w:rPr>
                <w:rFonts w:hint="eastAsia" w:ascii="仿宋" w:hAnsi="仿宋" w:eastAsia="仿宋"/>
                <w:color w:val="000000"/>
                <w:szCs w:val="21"/>
              </w:rPr>
            </w:pPr>
            <w:r>
              <w:rPr>
                <w:rFonts w:hint="eastAsia" w:ascii="仿宋" w:hAnsi="仿宋" w:eastAsia="仿宋"/>
                <w:color w:val="000000"/>
                <w:szCs w:val="21"/>
              </w:rPr>
              <w:t>管理制度健全性</w:t>
            </w:r>
            <w:r>
              <w:rPr>
                <w:rFonts w:hint="eastAsia" w:ascii="仿宋" w:hAnsi="仿宋" w:eastAsia="仿宋"/>
                <w:color w:val="000000"/>
                <w:szCs w:val="21"/>
              </w:rPr>
              <w:br w:type="page"/>
            </w:r>
            <w:r>
              <w:rPr>
                <w:rFonts w:hint="eastAsia" w:ascii="仿宋" w:hAnsi="仿宋" w:eastAsia="仿宋"/>
                <w:color w:val="000000"/>
                <w:szCs w:val="21"/>
              </w:rPr>
              <w:t>（4分）</w:t>
            </w:r>
            <w:r>
              <w:rPr>
                <w:rFonts w:hint="eastAsia" w:ascii="仿宋" w:hAnsi="仿宋" w:eastAsia="仿宋"/>
                <w:color w:val="000000"/>
                <w:szCs w:val="21"/>
              </w:rPr>
              <w:br w:type="page"/>
            </w:r>
          </w:p>
        </w:tc>
        <w:tc>
          <w:tcPr>
            <w:tcW w:w="5594" w:type="dxa"/>
            <w:tcBorders>
              <w:top w:val="nil"/>
              <w:left w:val="nil"/>
              <w:bottom w:val="single" w:color="auto" w:sz="4" w:space="0"/>
              <w:right w:val="single" w:color="auto" w:sz="4" w:space="0"/>
            </w:tcBorders>
            <w:vAlign w:val="center"/>
          </w:tcPr>
          <w:p w14:paraId="6403A9D3">
            <w:pPr>
              <w:widowControl/>
              <w:jc w:val="left"/>
              <w:rPr>
                <w:rFonts w:hint="eastAsia" w:ascii="仿宋" w:hAnsi="仿宋" w:eastAsia="仿宋"/>
                <w:color w:val="000000"/>
                <w:szCs w:val="21"/>
              </w:rPr>
            </w:pPr>
            <w:r>
              <w:rPr>
                <w:rFonts w:hint="eastAsia" w:ascii="仿宋" w:hAnsi="仿宋" w:eastAsia="仿宋"/>
                <w:color w:val="000000"/>
                <w:szCs w:val="21"/>
              </w:rPr>
              <w:t>①是否制定或具有相应的财务管理制度；</w:t>
            </w:r>
          </w:p>
          <w:p w14:paraId="7B96FAC9">
            <w:pPr>
              <w:widowControl/>
              <w:jc w:val="left"/>
              <w:rPr>
                <w:rFonts w:hint="eastAsia" w:ascii="仿宋" w:hAnsi="仿宋" w:eastAsia="仿宋"/>
                <w:color w:val="000000"/>
                <w:szCs w:val="21"/>
              </w:rPr>
            </w:pPr>
            <w:r>
              <w:rPr>
                <w:rFonts w:hint="eastAsia" w:ascii="仿宋" w:hAnsi="仿宋" w:eastAsia="仿宋"/>
                <w:color w:val="000000"/>
                <w:szCs w:val="21"/>
              </w:rPr>
              <w:t>②是否制定或具有相应的业务管理制度；</w:t>
            </w:r>
          </w:p>
          <w:p w14:paraId="6A1FE9E0">
            <w:pPr>
              <w:widowControl/>
              <w:jc w:val="left"/>
              <w:rPr>
                <w:rFonts w:hint="eastAsia" w:ascii="仿宋" w:hAnsi="仿宋" w:eastAsia="仿宋"/>
                <w:color w:val="000000"/>
                <w:szCs w:val="21"/>
              </w:rPr>
            </w:pPr>
            <w:r>
              <w:rPr>
                <w:rFonts w:hint="eastAsia" w:ascii="仿宋" w:hAnsi="仿宋" w:eastAsia="仿宋"/>
                <w:color w:val="000000"/>
                <w:szCs w:val="21"/>
              </w:rPr>
              <w:t>③财务和业务管理制度是否合法、合规、完整；</w:t>
            </w:r>
          </w:p>
          <w:p w14:paraId="655C3620">
            <w:pPr>
              <w:widowControl/>
              <w:jc w:val="left"/>
              <w:rPr>
                <w:rFonts w:hint="eastAsia" w:ascii="仿宋" w:hAnsi="仿宋" w:eastAsia="仿宋"/>
                <w:color w:val="000000"/>
                <w:szCs w:val="21"/>
              </w:rPr>
            </w:pPr>
            <w:r>
              <w:rPr>
                <w:rFonts w:hint="eastAsia" w:ascii="仿宋" w:hAnsi="仿宋" w:eastAsia="仿宋"/>
                <w:color w:val="000000"/>
                <w:szCs w:val="21"/>
              </w:rPr>
              <w:t>④相关制度是否可以有效执行。</w:t>
            </w:r>
          </w:p>
          <w:p w14:paraId="1D955E37">
            <w:pPr>
              <w:widowControl/>
              <w:jc w:val="left"/>
              <w:rPr>
                <w:rFonts w:hint="eastAsia" w:ascii="仿宋" w:hAnsi="仿宋" w:eastAsia="仿宋"/>
                <w:color w:val="000000"/>
                <w:szCs w:val="21"/>
              </w:rPr>
            </w:pPr>
            <w:r>
              <w:rPr>
                <w:rFonts w:hint="eastAsia" w:ascii="仿宋" w:hAnsi="仿宋" w:eastAsia="仿宋"/>
                <w:color w:val="000000"/>
                <w:szCs w:val="21"/>
              </w:rPr>
              <w:t>满分4分，一项不符合扣1分。</w:t>
            </w:r>
          </w:p>
        </w:tc>
      </w:tr>
      <w:tr w14:paraId="3FF01381">
        <w:tblPrEx>
          <w:tblCellMar>
            <w:top w:w="0" w:type="dxa"/>
            <w:left w:w="108" w:type="dxa"/>
            <w:bottom w:w="0" w:type="dxa"/>
            <w:right w:w="108" w:type="dxa"/>
          </w:tblCellMar>
        </w:tblPrEx>
        <w:trPr>
          <w:trHeight w:val="1080" w:hRule="atLeast"/>
        </w:trPr>
        <w:tc>
          <w:tcPr>
            <w:tcW w:w="647" w:type="dxa"/>
            <w:vMerge w:val="continue"/>
            <w:tcBorders>
              <w:left w:val="single" w:color="auto" w:sz="4" w:space="0"/>
              <w:right w:val="single" w:color="auto" w:sz="4" w:space="0"/>
            </w:tcBorders>
            <w:vAlign w:val="center"/>
          </w:tcPr>
          <w:p w14:paraId="33D00B46">
            <w:pPr>
              <w:widowControl/>
              <w:jc w:val="left"/>
              <w:rPr>
                <w:rFonts w:hint="eastAsia" w:ascii="仿宋" w:hAnsi="仿宋" w:eastAsia="仿宋"/>
                <w:color w:val="000000"/>
                <w:szCs w:val="21"/>
              </w:rPr>
            </w:pPr>
          </w:p>
        </w:tc>
        <w:tc>
          <w:tcPr>
            <w:tcW w:w="1050" w:type="dxa"/>
            <w:vMerge w:val="continue"/>
            <w:tcBorders>
              <w:top w:val="nil"/>
              <w:left w:val="single" w:color="auto" w:sz="4" w:space="0"/>
              <w:bottom w:val="nil"/>
              <w:right w:val="single" w:color="auto" w:sz="4" w:space="0"/>
            </w:tcBorders>
            <w:vAlign w:val="center"/>
          </w:tcPr>
          <w:p w14:paraId="4F4D5D50">
            <w:pPr>
              <w:widowControl/>
              <w:jc w:val="center"/>
              <w:rPr>
                <w:rFonts w:hint="eastAsia" w:ascii="仿宋" w:hAnsi="仿宋" w:eastAsia="仿宋"/>
                <w:color w:val="000000"/>
                <w:szCs w:val="21"/>
              </w:rPr>
            </w:pPr>
          </w:p>
        </w:tc>
        <w:tc>
          <w:tcPr>
            <w:tcW w:w="1260" w:type="dxa"/>
            <w:tcBorders>
              <w:top w:val="nil"/>
              <w:left w:val="nil"/>
              <w:bottom w:val="single" w:color="auto" w:sz="4" w:space="0"/>
              <w:right w:val="single" w:color="auto" w:sz="4" w:space="0"/>
            </w:tcBorders>
            <w:vAlign w:val="center"/>
          </w:tcPr>
          <w:p w14:paraId="66019A94">
            <w:pPr>
              <w:widowControl/>
              <w:jc w:val="center"/>
              <w:rPr>
                <w:rFonts w:hint="eastAsia" w:ascii="仿宋" w:hAnsi="仿宋" w:eastAsia="仿宋"/>
                <w:color w:val="000000"/>
                <w:szCs w:val="21"/>
              </w:rPr>
            </w:pPr>
            <w:r>
              <w:rPr>
                <w:rFonts w:hint="eastAsia" w:ascii="仿宋" w:hAnsi="仿宋" w:eastAsia="仿宋"/>
                <w:color w:val="000000"/>
                <w:szCs w:val="21"/>
              </w:rPr>
              <w:t>制度执行有效性</w:t>
            </w:r>
            <w:r>
              <w:rPr>
                <w:rFonts w:hint="eastAsia" w:ascii="仿宋" w:hAnsi="仿宋" w:eastAsia="仿宋"/>
                <w:color w:val="000000"/>
                <w:szCs w:val="21"/>
              </w:rPr>
              <w:br w:type="textWrapping"/>
            </w:r>
            <w:r>
              <w:rPr>
                <w:rFonts w:hint="eastAsia" w:ascii="仿宋" w:hAnsi="仿宋" w:eastAsia="仿宋"/>
                <w:color w:val="000000"/>
                <w:szCs w:val="21"/>
              </w:rPr>
              <w:t>（4分）</w:t>
            </w:r>
          </w:p>
        </w:tc>
        <w:tc>
          <w:tcPr>
            <w:tcW w:w="5594" w:type="dxa"/>
            <w:tcBorders>
              <w:top w:val="nil"/>
              <w:left w:val="nil"/>
              <w:bottom w:val="single" w:color="auto" w:sz="4" w:space="0"/>
              <w:right w:val="single" w:color="auto" w:sz="4" w:space="0"/>
            </w:tcBorders>
            <w:vAlign w:val="center"/>
          </w:tcPr>
          <w:p w14:paraId="66941BC5">
            <w:pPr>
              <w:widowControl/>
              <w:jc w:val="left"/>
              <w:rPr>
                <w:rFonts w:hint="eastAsia" w:ascii="仿宋" w:hAnsi="仿宋" w:eastAsia="仿宋"/>
                <w:color w:val="000000"/>
                <w:szCs w:val="21"/>
              </w:rPr>
            </w:pPr>
            <w:r>
              <w:rPr>
                <w:rFonts w:hint="eastAsia" w:ascii="仿宋" w:hAnsi="仿宋" w:eastAsia="仿宋"/>
                <w:color w:val="000000"/>
                <w:szCs w:val="21"/>
              </w:rPr>
              <w:t>①按照项目计划达成计划进度，无延误现象；</w:t>
            </w:r>
          </w:p>
          <w:p w14:paraId="5AFA4602">
            <w:pPr>
              <w:widowControl/>
              <w:jc w:val="left"/>
              <w:rPr>
                <w:rFonts w:hint="eastAsia" w:ascii="仿宋" w:hAnsi="仿宋" w:eastAsia="仿宋"/>
                <w:color w:val="000000"/>
                <w:szCs w:val="21"/>
              </w:rPr>
            </w:pPr>
            <w:r>
              <w:rPr>
                <w:rFonts w:hint="eastAsia" w:ascii="仿宋" w:hAnsi="仿宋" w:eastAsia="仿宋"/>
                <w:color w:val="000000"/>
                <w:szCs w:val="21"/>
              </w:rPr>
              <w:t>②遵守相关法律法规和业务管理规定，无重大投诉；</w:t>
            </w:r>
          </w:p>
          <w:p w14:paraId="4E5C94B7">
            <w:pPr>
              <w:widowControl/>
              <w:jc w:val="left"/>
              <w:rPr>
                <w:rFonts w:hint="eastAsia" w:ascii="仿宋" w:hAnsi="仿宋" w:eastAsia="仿宋"/>
                <w:color w:val="000000"/>
                <w:szCs w:val="21"/>
              </w:rPr>
            </w:pPr>
            <w:r>
              <w:rPr>
                <w:rFonts w:hint="eastAsia" w:ascii="仿宋" w:hAnsi="仿宋" w:eastAsia="仿宋"/>
                <w:color w:val="000000"/>
                <w:szCs w:val="21"/>
              </w:rPr>
              <w:t>③项目的申请、审批、验收、评审手续齐全；</w:t>
            </w:r>
          </w:p>
          <w:p w14:paraId="50C21017">
            <w:pPr>
              <w:widowControl/>
              <w:jc w:val="left"/>
              <w:rPr>
                <w:rFonts w:hint="eastAsia" w:ascii="仿宋" w:hAnsi="仿宋" w:eastAsia="仿宋"/>
                <w:color w:val="000000"/>
                <w:szCs w:val="21"/>
              </w:rPr>
            </w:pPr>
            <w:r>
              <w:rPr>
                <w:rFonts w:hint="eastAsia" w:ascii="仿宋" w:hAnsi="仿宋" w:eastAsia="仿宋"/>
                <w:color w:val="000000"/>
                <w:szCs w:val="21"/>
              </w:rPr>
              <w:t>④日常质量检查、监督检查、项目验收等工作有序开展。</w:t>
            </w:r>
            <w:r>
              <w:rPr>
                <w:rFonts w:hint="eastAsia" w:ascii="仿宋" w:hAnsi="仿宋" w:eastAsia="仿宋"/>
                <w:color w:val="000000"/>
                <w:szCs w:val="21"/>
              </w:rPr>
              <w:br w:type="textWrapping"/>
            </w:r>
            <w:r>
              <w:rPr>
                <w:rFonts w:hint="eastAsia" w:ascii="仿宋" w:hAnsi="仿宋" w:eastAsia="仿宋"/>
                <w:color w:val="000000"/>
                <w:szCs w:val="21"/>
              </w:rPr>
              <w:t>满分4分，一项不符合扣1分。</w:t>
            </w:r>
          </w:p>
        </w:tc>
      </w:tr>
      <w:tr w14:paraId="045DA98F">
        <w:tblPrEx>
          <w:tblCellMar>
            <w:top w:w="0" w:type="dxa"/>
            <w:left w:w="108" w:type="dxa"/>
            <w:bottom w:w="0" w:type="dxa"/>
            <w:right w:w="108" w:type="dxa"/>
          </w:tblCellMar>
        </w:tblPrEx>
        <w:trPr>
          <w:trHeight w:val="1350" w:hRule="atLeast"/>
        </w:trPr>
        <w:tc>
          <w:tcPr>
            <w:tcW w:w="647" w:type="dxa"/>
            <w:vMerge w:val="continue"/>
            <w:tcBorders>
              <w:left w:val="single" w:color="auto" w:sz="4" w:space="0"/>
              <w:bottom w:val="single" w:color="auto" w:sz="4" w:space="0"/>
              <w:right w:val="single" w:color="auto" w:sz="4" w:space="0"/>
            </w:tcBorders>
            <w:vAlign w:val="center"/>
          </w:tcPr>
          <w:p w14:paraId="78290AD6">
            <w:pPr>
              <w:widowControl/>
              <w:jc w:val="left"/>
              <w:rPr>
                <w:rFonts w:hint="eastAsia" w:ascii="仿宋" w:hAnsi="仿宋" w:eastAsia="仿宋"/>
                <w:color w:val="000000"/>
                <w:szCs w:val="21"/>
              </w:rPr>
            </w:pPr>
          </w:p>
        </w:tc>
        <w:tc>
          <w:tcPr>
            <w:tcW w:w="1050" w:type="dxa"/>
            <w:vMerge w:val="continue"/>
            <w:tcBorders>
              <w:top w:val="nil"/>
              <w:left w:val="single" w:color="auto" w:sz="4" w:space="0"/>
              <w:bottom w:val="single" w:color="auto" w:sz="4" w:space="0"/>
              <w:right w:val="single" w:color="auto" w:sz="4" w:space="0"/>
            </w:tcBorders>
            <w:vAlign w:val="center"/>
          </w:tcPr>
          <w:p w14:paraId="59919ED0">
            <w:pPr>
              <w:widowControl/>
              <w:jc w:val="left"/>
              <w:rPr>
                <w:rFonts w:hint="eastAsia" w:ascii="仿宋" w:hAnsi="仿宋" w:eastAsia="仿宋"/>
                <w:color w:val="000000"/>
                <w:szCs w:val="21"/>
              </w:rPr>
            </w:pPr>
          </w:p>
        </w:tc>
        <w:tc>
          <w:tcPr>
            <w:tcW w:w="1260" w:type="dxa"/>
            <w:tcBorders>
              <w:top w:val="nil"/>
              <w:left w:val="nil"/>
              <w:bottom w:val="single" w:color="auto" w:sz="4" w:space="0"/>
              <w:right w:val="single" w:color="auto" w:sz="4" w:space="0"/>
            </w:tcBorders>
            <w:vAlign w:val="center"/>
          </w:tcPr>
          <w:p w14:paraId="42868122">
            <w:pPr>
              <w:widowControl/>
              <w:jc w:val="center"/>
              <w:rPr>
                <w:rFonts w:hint="eastAsia" w:ascii="仿宋" w:hAnsi="仿宋" w:eastAsia="仿宋"/>
                <w:color w:val="000000"/>
                <w:szCs w:val="21"/>
              </w:rPr>
            </w:pPr>
            <w:r>
              <w:rPr>
                <w:rFonts w:hint="eastAsia" w:ascii="仿宋" w:hAnsi="仿宋" w:eastAsia="仿宋"/>
                <w:color w:val="000000"/>
                <w:szCs w:val="21"/>
              </w:rPr>
              <w:t>采购程序规范性（5）</w:t>
            </w:r>
          </w:p>
        </w:tc>
        <w:tc>
          <w:tcPr>
            <w:tcW w:w="5594" w:type="dxa"/>
            <w:tcBorders>
              <w:top w:val="nil"/>
              <w:left w:val="nil"/>
              <w:bottom w:val="single" w:color="auto" w:sz="4" w:space="0"/>
              <w:right w:val="single" w:color="auto" w:sz="4" w:space="0"/>
            </w:tcBorders>
            <w:vAlign w:val="center"/>
          </w:tcPr>
          <w:p w14:paraId="3D14BA96">
            <w:pPr>
              <w:widowControl/>
              <w:jc w:val="left"/>
              <w:rPr>
                <w:rFonts w:hint="eastAsia" w:ascii="仿宋" w:hAnsi="仿宋" w:eastAsia="仿宋"/>
                <w:color w:val="000000"/>
                <w:szCs w:val="21"/>
              </w:rPr>
            </w:pPr>
            <w:r>
              <w:rPr>
                <w:rFonts w:hint="eastAsia" w:ascii="仿宋" w:hAnsi="仿宋" w:eastAsia="仿宋"/>
                <w:color w:val="000000"/>
                <w:szCs w:val="21"/>
              </w:rPr>
              <w:t>①采购过程遵循相关法律法规。严格执行政府采购各项管理制度及相关规定，无违规违纪现象；</w:t>
            </w:r>
          </w:p>
          <w:p w14:paraId="5F46E009">
            <w:pPr>
              <w:widowControl/>
              <w:jc w:val="left"/>
              <w:rPr>
                <w:rFonts w:hint="eastAsia" w:ascii="仿宋" w:hAnsi="仿宋" w:eastAsia="仿宋"/>
                <w:color w:val="000000"/>
                <w:szCs w:val="21"/>
              </w:rPr>
            </w:pPr>
            <w:r>
              <w:rPr>
                <w:rFonts w:hint="eastAsia" w:ascii="仿宋" w:hAnsi="仿宋" w:eastAsia="仿宋"/>
                <w:color w:val="000000"/>
                <w:szCs w:val="21"/>
              </w:rPr>
              <w:t>②项目按照采购方式规定的时间、评审方法、专家组成等法定流程组织；</w:t>
            </w:r>
          </w:p>
          <w:p w14:paraId="3D0DA76A">
            <w:pPr>
              <w:widowControl/>
              <w:jc w:val="left"/>
              <w:rPr>
                <w:rFonts w:hint="eastAsia" w:ascii="仿宋" w:hAnsi="仿宋" w:eastAsia="仿宋"/>
                <w:color w:val="000000"/>
                <w:szCs w:val="21"/>
              </w:rPr>
            </w:pPr>
            <w:r>
              <w:rPr>
                <w:rFonts w:hint="eastAsia" w:ascii="仿宋" w:hAnsi="仿宋" w:eastAsia="仿宋"/>
                <w:color w:val="000000"/>
                <w:szCs w:val="21"/>
              </w:rPr>
              <w:t>③采购合同签订手续完整且符合相关规定：</w:t>
            </w:r>
          </w:p>
          <w:p w14:paraId="4FDC67CC">
            <w:pPr>
              <w:widowControl/>
              <w:jc w:val="left"/>
              <w:rPr>
                <w:rFonts w:hint="eastAsia" w:ascii="仿宋" w:hAnsi="仿宋" w:eastAsia="仿宋"/>
                <w:color w:val="000000"/>
                <w:szCs w:val="21"/>
              </w:rPr>
            </w:pPr>
            <w:r>
              <w:rPr>
                <w:rFonts w:hint="eastAsia" w:ascii="仿宋" w:hAnsi="仿宋" w:eastAsia="仿宋"/>
                <w:color w:val="000000"/>
                <w:szCs w:val="21"/>
              </w:rPr>
              <w:t>④采购公告和采购文件是否按相关规定发布；</w:t>
            </w:r>
          </w:p>
          <w:p w14:paraId="5586D23A">
            <w:pPr>
              <w:widowControl/>
              <w:jc w:val="left"/>
              <w:rPr>
                <w:rFonts w:hint="eastAsia" w:ascii="仿宋" w:hAnsi="仿宋" w:eastAsia="仿宋"/>
                <w:color w:val="000000"/>
                <w:szCs w:val="21"/>
              </w:rPr>
            </w:pPr>
            <w:r>
              <w:rPr>
                <w:rFonts w:hint="eastAsia" w:ascii="仿宋" w:hAnsi="仿宋" w:eastAsia="仿宋"/>
                <w:color w:val="000000"/>
                <w:szCs w:val="21"/>
              </w:rPr>
              <w:t>⑤采购意向公开内容是否包含项目名称、采购需求概况、预算金额、预计采购时间，公示期是否不少于30天。</w:t>
            </w:r>
          </w:p>
          <w:p w14:paraId="303BE219">
            <w:pPr>
              <w:widowControl/>
              <w:jc w:val="left"/>
              <w:rPr>
                <w:rFonts w:hint="eastAsia" w:ascii="仿宋" w:hAnsi="仿宋" w:eastAsia="仿宋"/>
                <w:color w:val="000000"/>
                <w:szCs w:val="21"/>
              </w:rPr>
            </w:pPr>
            <w:r>
              <w:rPr>
                <w:rFonts w:hint="eastAsia" w:ascii="仿宋" w:hAnsi="仿宋" w:eastAsia="仿宋"/>
                <w:color w:val="000000"/>
                <w:szCs w:val="21"/>
              </w:rPr>
              <w:t>满分5分，一项不符合扣1分。</w:t>
            </w:r>
          </w:p>
        </w:tc>
      </w:tr>
      <w:tr w14:paraId="1E9F361F">
        <w:tblPrEx>
          <w:tblCellMar>
            <w:top w:w="0" w:type="dxa"/>
            <w:left w:w="108" w:type="dxa"/>
            <w:bottom w:w="0" w:type="dxa"/>
            <w:right w:w="108" w:type="dxa"/>
          </w:tblCellMar>
        </w:tblPrEx>
        <w:trPr>
          <w:trHeight w:val="690" w:hRule="atLeast"/>
        </w:trPr>
        <w:tc>
          <w:tcPr>
            <w:tcW w:w="647" w:type="dxa"/>
            <w:vMerge w:val="restart"/>
            <w:tcBorders>
              <w:top w:val="single" w:color="auto" w:sz="4" w:space="0"/>
              <w:left w:val="single" w:color="auto" w:sz="4" w:space="0"/>
              <w:bottom w:val="single" w:color="000000" w:sz="4" w:space="0"/>
              <w:right w:val="single" w:color="auto" w:sz="4" w:space="0"/>
            </w:tcBorders>
            <w:vAlign w:val="center"/>
          </w:tcPr>
          <w:p w14:paraId="183E8993">
            <w:pPr>
              <w:widowControl/>
              <w:jc w:val="center"/>
              <w:rPr>
                <w:rFonts w:hint="eastAsia" w:ascii="仿宋" w:hAnsi="仿宋" w:eastAsia="仿宋"/>
                <w:color w:val="000000"/>
                <w:szCs w:val="21"/>
              </w:rPr>
            </w:pPr>
            <w:r>
              <w:rPr>
                <w:rFonts w:hint="eastAsia" w:ascii="仿宋" w:hAnsi="仿宋" w:eastAsia="仿宋"/>
                <w:color w:val="000000"/>
                <w:szCs w:val="21"/>
              </w:rPr>
              <w:t>产出</w:t>
            </w:r>
            <w:r>
              <w:rPr>
                <w:rFonts w:hint="eastAsia" w:ascii="仿宋" w:hAnsi="仿宋" w:eastAsia="仿宋"/>
                <w:color w:val="000000"/>
                <w:szCs w:val="21"/>
              </w:rPr>
              <w:br w:type="textWrapping"/>
            </w:r>
            <w:r>
              <w:rPr>
                <w:rFonts w:hint="eastAsia" w:ascii="仿宋" w:hAnsi="仿宋" w:eastAsia="仿宋"/>
                <w:color w:val="000000"/>
                <w:szCs w:val="21"/>
              </w:rPr>
              <w:t>（30分）</w:t>
            </w:r>
          </w:p>
        </w:tc>
        <w:tc>
          <w:tcPr>
            <w:tcW w:w="1050" w:type="dxa"/>
            <w:tcBorders>
              <w:top w:val="single" w:color="auto" w:sz="4" w:space="0"/>
              <w:left w:val="single" w:color="auto" w:sz="4" w:space="0"/>
              <w:bottom w:val="single" w:color="000000" w:sz="4" w:space="0"/>
              <w:right w:val="single" w:color="auto" w:sz="4" w:space="0"/>
            </w:tcBorders>
            <w:vAlign w:val="center"/>
          </w:tcPr>
          <w:p w14:paraId="32308FD7">
            <w:pPr>
              <w:widowControl/>
              <w:rPr>
                <w:rFonts w:hint="eastAsia" w:ascii="仿宋" w:hAnsi="仿宋" w:eastAsia="仿宋"/>
                <w:color w:val="000000"/>
                <w:szCs w:val="21"/>
              </w:rPr>
            </w:pPr>
            <w:r>
              <w:rPr>
                <w:rFonts w:hint="eastAsia" w:ascii="仿宋" w:hAnsi="仿宋" w:eastAsia="仿宋"/>
                <w:color w:val="000000"/>
                <w:szCs w:val="21"/>
              </w:rPr>
              <w:t>产出数量（6分）</w:t>
            </w:r>
          </w:p>
        </w:tc>
        <w:tc>
          <w:tcPr>
            <w:tcW w:w="1260" w:type="dxa"/>
            <w:tcBorders>
              <w:top w:val="single" w:color="auto" w:sz="4" w:space="0"/>
              <w:left w:val="nil"/>
              <w:bottom w:val="single" w:color="auto" w:sz="4" w:space="0"/>
              <w:right w:val="single" w:color="auto" w:sz="4" w:space="0"/>
            </w:tcBorders>
            <w:vAlign w:val="center"/>
          </w:tcPr>
          <w:p w14:paraId="0C0AF0DE">
            <w:pPr>
              <w:widowControl/>
              <w:jc w:val="center"/>
              <w:rPr>
                <w:rFonts w:hint="eastAsia" w:ascii="仿宋" w:hAnsi="仿宋" w:eastAsia="仿宋"/>
                <w:color w:val="000000"/>
                <w:szCs w:val="21"/>
              </w:rPr>
            </w:pPr>
            <w:r>
              <w:rPr>
                <w:rFonts w:hint="eastAsia" w:ascii="仿宋" w:hAnsi="仿宋" w:eastAsia="仿宋"/>
                <w:color w:val="000000"/>
                <w:szCs w:val="21"/>
              </w:rPr>
              <w:t>购置设备数量（6分）</w:t>
            </w:r>
          </w:p>
        </w:tc>
        <w:tc>
          <w:tcPr>
            <w:tcW w:w="5594" w:type="dxa"/>
            <w:tcBorders>
              <w:top w:val="nil"/>
              <w:left w:val="nil"/>
              <w:bottom w:val="single" w:color="auto" w:sz="4" w:space="0"/>
              <w:right w:val="single" w:color="auto" w:sz="4" w:space="0"/>
            </w:tcBorders>
            <w:vAlign w:val="center"/>
          </w:tcPr>
          <w:p w14:paraId="1AC72C3F">
            <w:pPr>
              <w:widowControl/>
              <w:jc w:val="left"/>
              <w:rPr>
                <w:rFonts w:hint="eastAsia" w:ascii="仿宋" w:hAnsi="仿宋" w:eastAsia="仿宋"/>
                <w:color w:val="000000"/>
                <w:szCs w:val="21"/>
              </w:rPr>
            </w:pPr>
            <w:r>
              <w:rPr>
                <w:rFonts w:hint="eastAsia" w:ascii="仿宋" w:hAnsi="仿宋" w:eastAsia="仿宋"/>
                <w:color w:val="000000"/>
                <w:szCs w:val="21"/>
              </w:rPr>
              <w:t>得分=实际完成任务数/计划完成任务数×100%。</w:t>
            </w:r>
            <w:r>
              <w:rPr>
                <w:rFonts w:hint="eastAsia" w:ascii="仿宋" w:hAnsi="仿宋" w:eastAsia="仿宋"/>
                <w:color w:val="000000"/>
                <w:szCs w:val="21"/>
              </w:rPr>
              <w:br w:type="textWrapping"/>
            </w:r>
            <w:r>
              <w:rPr>
                <w:rFonts w:hint="eastAsia" w:ascii="仿宋" w:hAnsi="仿宋" w:eastAsia="仿宋"/>
                <w:color w:val="000000"/>
                <w:szCs w:val="21"/>
              </w:rPr>
              <w:t>①按计划完成全部采购任务数的，得满分；</w:t>
            </w:r>
          </w:p>
          <w:p w14:paraId="65F93E2F">
            <w:pPr>
              <w:widowControl/>
              <w:jc w:val="left"/>
              <w:rPr>
                <w:rFonts w:hint="eastAsia" w:ascii="仿宋" w:hAnsi="仿宋" w:eastAsia="仿宋"/>
                <w:color w:val="000000"/>
                <w:szCs w:val="21"/>
              </w:rPr>
            </w:pPr>
            <w:r>
              <w:rPr>
                <w:rFonts w:hint="eastAsia" w:ascii="仿宋" w:hAnsi="仿宋" w:eastAsia="仿宋"/>
                <w:color w:val="000000"/>
                <w:szCs w:val="21"/>
              </w:rPr>
              <w:t>②80%≤购置计划数占比＜100%，得3分；</w:t>
            </w:r>
          </w:p>
          <w:p w14:paraId="25D36DFD">
            <w:pPr>
              <w:widowControl/>
              <w:jc w:val="left"/>
              <w:rPr>
                <w:rFonts w:hint="eastAsia" w:ascii="仿宋" w:hAnsi="仿宋" w:eastAsia="仿宋"/>
                <w:color w:val="000000"/>
                <w:szCs w:val="21"/>
              </w:rPr>
            </w:pPr>
            <w:r>
              <w:rPr>
                <w:rFonts w:hint="eastAsia" w:ascii="仿宋" w:hAnsi="仿宋" w:eastAsia="仿宋"/>
                <w:color w:val="000000"/>
                <w:szCs w:val="21"/>
              </w:rPr>
              <w:t>③60%≤计划数占比＜80%，得2分；</w:t>
            </w:r>
          </w:p>
          <w:p w14:paraId="3B2F3F61">
            <w:pPr>
              <w:widowControl/>
              <w:jc w:val="left"/>
              <w:rPr>
                <w:rFonts w:hint="eastAsia" w:ascii="仿宋" w:hAnsi="仿宋" w:eastAsia="仿宋"/>
                <w:color w:val="000000"/>
                <w:szCs w:val="21"/>
              </w:rPr>
            </w:pPr>
            <w:r>
              <w:rPr>
                <w:rFonts w:hint="eastAsia" w:ascii="仿宋" w:hAnsi="仿宋" w:eastAsia="仿宋"/>
                <w:color w:val="000000"/>
                <w:szCs w:val="21"/>
              </w:rPr>
              <w:t>④60＜购置计划数占比≤40%，得1分。否则，不得分。</w:t>
            </w:r>
          </w:p>
        </w:tc>
      </w:tr>
      <w:tr w14:paraId="02713F4E">
        <w:tblPrEx>
          <w:tblCellMar>
            <w:top w:w="0" w:type="dxa"/>
            <w:left w:w="108" w:type="dxa"/>
            <w:bottom w:w="0" w:type="dxa"/>
            <w:right w:w="108" w:type="dxa"/>
          </w:tblCellMar>
        </w:tblPrEx>
        <w:trPr>
          <w:trHeight w:val="668" w:hRule="atLeast"/>
        </w:trPr>
        <w:tc>
          <w:tcPr>
            <w:tcW w:w="647" w:type="dxa"/>
            <w:vMerge w:val="continue"/>
            <w:tcBorders>
              <w:top w:val="single" w:color="auto" w:sz="4" w:space="0"/>
              <w:left w:val="single" w:color="auto" w:sz="4" w:space="0"/>
              <w:bottom w:val="single" w:color="000000" w:sz="4" w:space="0"/>
              <w:right w:val="single" w:color="auto" w:sz="4" w:space="0"/>
            </w:tcBorders>
            <w:vAlign w:val="center"/>
          </w:tcPr>
          <w:p w14:paraId="5CEBFA7C">
            <w:pPr>
              <w:widowControl/>
              <w:jc w:val="left"/>
              <w:rPr>
                <w:rFonts w:hint="eastAsia" w:ascii="仿宋" w:hAnsi="仿宋" w:eastAsia="仿宋"/>
                <w:color w:val="000000"/>
                <w:szCs w:val="21"/>
              </w:rPr>
            </w:pPr>
          </w:p>
        </w:tc>
        <w:tc>
          <w:tcPr>
            <w:tcW w:w="1050" w:type="dxa"/>
            <w:tcBorders>
              <w:top w:val="single" w:color="auto" w:sz="4" w:space="0"/>
              <w:left w:val="single" w:color="auto" w:sz="4" w:space="0"/>
              <w:bottom w:val="single" w:color="000000" w:sz="4" w:space="0"/>
              <w:right w:val="single" w:color="auto" w:sz="4" w:space="0"/>
            </w:tcBorders>
            <w:vAlign w:val="center"/>
          </w:tcPr>
          <w:p w14:paraId="63F53BDD">
            <w:pPr>
              <w:widowControl/>
              <w:jc w:val="center"/>
              <w:rPr>
                <w:rFonts w:hint="eastAsia" w:ascii="仿宋" w:hAnsi="仿宋" w:eastAsia="仿宋"/>
                <w:color w:val="000000"/>
                <w:szCs w:val="21"/>
              </w:rPr>
            </w:pPr>
            <w:r>
              <w:rPr>
                <w:rFonts w:hint="eastAsia" w:ascii="仿宋" w:hAnsi="仿宋" w:eastAsia="仿宋"/>
                <w:color w:val="000000"/>
                <w:szCs w:val="21"/>
              </w:rPr>
              <w:t>产出质量</w:t>
            </w:r>
            <w:r>
              <w:rPr>
                <w:rFonts w:hint="eastAsia" w:ascii="仿宋" w:hAnsi="仿宋" w:eastAsia="仿宋"/>
                <w:color w:val="000000"/>
                <w:szCs w:val="21"/>
              </w:rPr>
              <w:br w:type="textWrapping"/>
            </w:r>
            <w:r>
              <w:rPr>
                <w:rFonts w:hint="eastAsia" w:ascii="仿宋" w:hAnsi="仿宋" w:eastAsia="仿宋"/>
                <w:color w:val="000000"/>
                <w:szCs w:val="21"/>
              </w:rPr>
              <w:t>（8分）</w:t>
            </w:r>
          </w:p>
        </w:tc>
        <w:tc>
          <w:tcPr>
            <w:tcW w:w="1260" w:type="dxa"/>
            <w:tcBorders>
              <w:top w:val="nil"/>
              <w:left w:val="nil"/>
              <w:bottom w:val="single" w:color="auto" w:sz="4" w:space="0"/>
              <w:right w:val="single" w:color="auto" w:sz="4" w:space="0"/>
            </w:tcBorders>
            <w:vAlign w:val="center"/>
          </w:tcPr>
          <w:p w14:paraId="52067ECD">
            <w:pPr>
              <w:widowControl/>
              <w:jc w:val="center"/>
              <w:rPr>
                <w:rFonts w:hint="eastAsia" w:ascii="仿宋" w:hAnsi="仿宋" w:eastAsia="仿宋"/>
                <w:color w:val="000000"/>
                <w:szCs w:val="21"/>
              </w:rPr>
            </w:pPr>
            <w:r>
              <w:rPr>
                <w:rFonts w:hint="eastAsia" w:ascii="仿宋" w:hAnsi="仿宋" w:eastAsia="仿宋"/>
                <w:color w:val="000000"/>
                <w:szCs w:val="21"/>
              </w:rPr>
              <w:t>设备检验合格率（8分）</w:t>
            </w:r>
          </w:p>
        </w:tc>
        <w:tc>
          <w:tcPr>
            <w:tcW w:w="5594" w:type="dxa"/>
            <w:tcBorders>
              <w:top w:val="nil"/>
              <w:left w:val="nil"/>
              <w:bottom w:val="single" w:color="auto" w:sz="4" w:space="0"/>
              <w:right w:val="single" w:color="auto" w:sz="4" w:space="0"/>
            </w:tcBorders>
            <w:vAlign w:val="center"/>
          </w:tcPr>
          <w:p w14:paraId="5E3B5F6E">
            <w:pPr>
              <w:widowControl/>
              <w:jc w:val="left"/>
              <w:rPr>
                <w:rFonts w:hint="eastAsia" w:ascii="仿宋" w:hAnsi="仿宋" w:eastAsia="仿宋"/>
                <w:color w:val="000000"/>
                <w:szCs w:val="21"/>
              </w:rPr>
            </w:pPr>
            <w:r>
              <w:rPr>
                <w:rFonts w:hint="eastAsia" w:ascii="仿宋" w:hAnsi="仿宋" w:eastAsia="仿宋"/>
                <w:color w:val="000000"/>
                <w:szCs w:val="21"/>
              </w:rPr>
              <w:t>设备验收合格率=（履约验收通过的设备品和服务/实际提供完成的设备和服务）×100%。</w:t>
            </w:r>
          </w:p>
          <w:p w14:paraId="26C8DA73">
            <w:pPr>
              <w:widowControl/>
              <w:jc w:val="left"/>
              <w:rPr>
                <w:rFonts w:hint="eastAsia" w:ascii="仿宋" w:hAnsi="仿宋" w:eastAsia="仿宋"/>
                <w:color w:val="000000"/>
                <w:szCs w:val="21"/>
              </w:rPr>
            </w:pPr>
            <w:r>
              <w:rPr>
                <w:rFonts w:hint="eastAsia" w:ascii="仿宋" w:hAnsi="仿宋" w:eastAsia="仿宋"/>
                <w:color w:val="000000"/>
                <w:szCs w:val="21"/>
              </w:rPr>
              <w:t>设备验收合格率达到100%得满分。否则，扣相应分值。</w:t>
            </w:r>
          </w:p>
        </w:tc>
      </w:tr>
      <w:tr w14:paraId="066B1B43">
        <w:tblPrEx>
          <w:tblCellMar>
            <w:top w:w="0" w:type="dxa"/>
            <w:left w:w="108" w:type="dxa"/>
            <w:bottom w:w="0" w:type="dxa"/>
            <w:right w:w="108" w:type="dxa"/>
          </w:tblCellMar>
        </w:tblPrEx>
        <w:trPr>
          <w:trHeight w:val="728" w:hRule="atLeast"/>
        </w:trPr>
        <w:tc>
          <w:tcPr>
            <w:tcW w:w="647" w:type="dxa"/>
            <w:vMerge w:val="continue"/>
            <w:tcBorders>
              <w:top w:val="single" w:color="auto" w:sz="4" w:space="0"/>
              <w:left w:val="single" w:color="auto" w:sz="4" w:space="0"/>
              <w:bottom w:val="single" w:color="000000" w:sz="4" w:space="0"/>
              <w:right w:val="single" w:color="auto" w:sz="4" w:space="0"/>
            </w:tcBorders>
            <w:vAlign w:val="center"/>
          </w:tcPr>
          <w:p w14:paraId="4D96386D">
            <w:pPr>
              <w:widowControl/>
              <w:jc w:val="left"/>
              <w:rPr>
                <w:rFonts w:hint="eastAsia" w:ascii="仿宋" w:hAnsi="仿宋" w:eastAsia="仿宋"/>
                <w:color w:val="000000"/>
                <w:szCs w:val="21"/>
              </w:rPr>
            </w:pPr>
          </w:p>
        </w:tc>
        <w:tc>
          <w:tcPr>
            <w:tcW w:w="1050" w:type="dxa"/>
            <w:tcBorders>
              <w:top w:val="single" w:color="auto" w:sz="4" w:space="0"/>
              <w:left w:val="single" w:color="auto" w:sz="4" w:space="0"/>
              <w:bottom w:val="single" w:color="000000" w:sz="4" w:space="0"/>
              <w:right w:val="single" w:color="auto" w:sz="4" w:space="0"/>
            </w:tcBorders>
            <w:vAlign w:val="center"/>
          </w:tcPr>
          <w:p w14:paraId="16FF8412">
            <w:pPr>
              <w:widowControl/>
              <w:jc w:val="center"/>
              <w:rPr>
                <w:rFonts w:hint="eastAsia" w:ascii="仿宋" w:hAnsi="仿宋" w:eastAsia="仿宋"/>
                <w:color w:val="000000"/>
                <w:szCs w:val="21"/>
              </w:rPr>
            </w:pPr>
            <w:r>
              <w:rPr>
                <w:rFonts w:hint="eastAsia" w:ascii="仿宋" w:hAnsi="仿宋" w:eastAsia="仿宋"/>
                <w:color w:val="000000"/>
                <w:szCs w:val="21"/>
              </w:rPr>
              <w:t>产出时效</w:t>
            </w:r>
            <w:r>
              <w:rPr>
                <w:rFonts w:hint="eastAsia" w:ascii="仿宋" w:hAnsi="仿宋" w:eastAsia="仿宋"/>
                <w:color w:val="000000"/>
                <w:szCs w:val="21"/>
              </w:rPr>
              <w:br w:type="textWrapping"/>
            </w:r>
            <w:r>
              <w:rPr>
                <w:rFonts w:hint="eastAsia" w:ascii="仿宋" w:hAnsi="仿宋" w:eastAsia="仿宋"/>
                <w:color w:val="000000"/>
                <w:szCs w:val="21"/>
              </w:rPr>
              <w:t>（8分）</w:t>
            </w:r>
          </w:p>
        </w:tc>
        <w:tc>
          <w:tcPr>
            <w:tcW w:w="1260" w:type="dxa"/>
            <w:tcBorders>
              <w:top w:val="nil"/>
              <w:left w:val="nil"/>
              <w:bottom w:val="single" w:color="auto" w:sz="4" w:space="0"/>
              <w:right w:val="single" w:color="auto" w:sz="4" w:space="0"/>
            </w:tcBorders>
            <w:vAlign w:val="center"/>
          </w:tcPr>
          <w:p w14:paraId="637A622E">
            <w:pPr>
              <w:widowControl/>
              <w:jc w:val="center"/>
              <w:rPr>
                <w:rFonts w:hint="eastAsia" w:ascii="仿宋" w:hAnsi="仿宋" w:eastAsia="仿宋"/>
                <w:color w:val="000000"/>
                <w:szCs w:val="21"/>
              </w:rPr>
            </w:pPr>
            <w:r>
              <w:rPr>
                <w:rFonts w:hint="eastAsia" w:ascii="仿宋" w:hAnsi="仿宋" w:eastAsia="仿宋"/>
                <w:color w:val="000000"/>
                <w:szCs w:val="21"/>
              </w:rPr>
              <w:t>分批次验收及时性（8分）</w:t>
            </w:r>
          </w:p>
        </w:tc>
        <w:tc>
          <w:tcPr>
            <w:tcW w:w="5594" w:type="dxa"/>
            <w:tcBorders>
              <w:top w:val="nil"/>
              <w:left w:val="nil"/>
              <w:bottom w:val="single" w:color="auto" w:sz="4" w:space="0"/>
              <w:right w:val="single" w:color="auto" w:sz="4" w:space="0"/>
            </w:tcBorders>
            <w:vAlign w:val="center"/>
          </w:tcPr>
          <w:p w14:paraId="69156F07">
            <w:pPr>
              <w:widowControl/>
              <w:jc w:val="left"/>
              <w:rPr>
                <w:rFonts w:hint="eastAsia" w:ascii="仿宋" w:hAnsi="仿宋" w:eastAsia="仿宋"/>
                <w:color w:val="000000"/>
                <w:szCs w:val="21"/>
              </w:rPr>
            </w:pPr>
            <w:r>
              <w:rPr>
                <w:rFonts w:hint="eastAsia" w:ascii="仿宋" w:hAnsi="仿宋" w:eastAsia="仿宋"/>
                <w:color w:val="000000"/>
                <w:szCs w:val="21"/>
              </w:rPr>
              <w:t>①238套设备需按安装进度分批次验收，合同约定2024年10月15日完成验收，其中68套需于2024年8月20日前完成验收。</w:t>
            </w:r>
          </w:p>
          <w:p w14:paraId="76514418">
            <w:pPr>
              <w:widowControl/>
              <w:jc w:val="left"/>
              <w:rPr>
                <w:rFonts w:hint="eastAsia" w:ascii="仿宋" w:hAnsi="仿宋" w:eastAsia="仿宋"/>
                <w:color w:val="000000"/>
                <w:szCs w:val="21"/>
              </w:rPr>
            </w:pPr>
            <w:r>
              <w:rPr>
                <w:rFonts w:hint="eastAsia" w:ascii="仿宋" w:hAnsi="仿宋" w:eastAsia="仿宋"/>
                <w:color w:val="000000"/>
                <w:szCs w:val="21"/>
              </w:rPr>
              <w:t>②必需提交设备验收单和结算材料。</w:t>
            </w:r>
          </w:p>
          <w:p w14:paraId="26AE43C8">
            <w:pPr>
              <w:widowControl/>
              <w:jc w:val="left"/>
              <w:rPr>
                <w:rFonts w:hint="eastAsia" w:ascii="仿宋" w:hAnsi="仿宋" w:eastAsia="仿宋"/>
                <w:color w:val="000000"/>
                <w:szCs w:val="21"/>
              </w:rPr>
            </w:pPr>
            <w:r>
              <w:rPr>
                <w:rFonts w:hint="eastAsia" w:ascii="仿宋" w:hAnsi="仿宋" w:eastAsia="仿宋"/>
                <w:color w:val="000000"/>
                <w:szCs w:val="21"/>
              </w:rPr>
              <w:t>满分8分，每批次未按时验收扣4分。</w:t>
            </w:r>
          </w:p>
        </w:tc>
      </w:tr>
      <w:tr w14:paraId="53666E6F">
        <w:tblPrEx>
          <w:tblCellMar>
            <w:top w:w="0" w:type="dxa"/>
            <w:left w:w="108" w:type="dxa"/>
            <w:bottom w:w="0" w:type="dxa"/>
            <w:right w:w="108" w:type="dxa"/>
          </w:tblCellMar>
        </w:tblPrEx>
        <w:trPr>
          <w:trHeight w:val="810" w:hRule="atLeast"/>
        </w:trPr>
        <w:tc>
          <w:tcPr>
            <w:tcW w:w="647" w:type="dxa"/>
            <w:vMerge w:val="continue"/>
            <w:tcBorders>
              <w:top w:val="single" w:color="auto" w:sz="4" w:space="0"/>
              <w:left w:val="single" w:color="auto" w:sz="4" w:space="0"/>
              <w:bottom w:val="single" w:color="000000" w:sz="4" w:space="0"/>
              <w:right w:val="single" w:color="auto" w:sz="4" w:space="0"/>
            </w:tcBorders>
            <w:vAlign w:val="center"/>
          </w:tcPr>
          <w:p w14:paraId="56019761">
            <w:pPr>
              <w:widowControl/>
              <w:jc w:val="left"/>
              <w:rPr>
                <w:rFonts w:hint="eastAsia" w:ascii="仿宋" w:hAnsi="仿宋" w:eastAsia="仿宋"/>
                <w:color w:val="000000"/>
                <w:szCs w:val="21"/>
              </w:rPr>
            </w:pPr>
          </w:p>
        </w:tc>
        <w:tc>
          <w:tcPr>
            <w:tcW w:w="1050" w:type="dxa"/>
            <w:tcBorders>
              <w:top w:val="nil"/>
              <w:left w:val="nil"/>
              <w:bottom w:val="single" w:color="auto" w:sz="4" w:space="0"/>
              <w:right w:val="single" w:color="auto" w:sz="4" w:space="0"/>
            </w:tcBorders>
            <w:vAlign w:val="center"/>
          </w:tcPr>
          <w:p w14:paraId="16194D5E">
            <w:pPr>
              <w:widowControl/>
              <w:jc w:val="center"/>
              <w:rPr>
                <w:rFonts w:hint="eastAsia" w:ascii="仿宋" w:hAnsi="仿宋" w:eastAsia="仿宋"/>
                <w:color w:val="000000"/>
                <w:szCs w:val="21"/>
              </w:rPr>
            </w:pPr>
            <w:r>
              <w:rPr>
                <w:rFonts w:hint="eastAsia" w:ascii="仿宋" w:hAnsi="仿宋" w:eastAsia="仿宋"/>
                <w:color w:val="000000"/>
                <w:szCs w:val="21"/>
              </w:rPr>
              <w:t>产出成本</w:t>
            </w:r>
            <w:r>
              <w:rPr>
                <w:rFonts w:hint="eastAsia" w:ascii="仿宋" w:hAnsi="仿宋" w:eastAsia="仿宋"/>
                <w:color w:val="000000"/>
                <w:szCs w:val="21"/>
              </w:rPr>
              <w:br w:type="textWrapping"/>
            </w:r>
            <w:r>
              <w:rPr>
                <w:rFonts w:hint="eastAsia" w:ascii="仿宋" w:hAnsi="仿宋" w:eastAsia="仿宋"/>
                <w:color w:val="000000"/>
                <w:szCs w:val="21"/>
              </w:rPr>
              <w:t>（8分）</w:t>
            </w:r>
          </w:p>
        </w:tc>
        <w:tc>
          <w:tcPr>
            <w:tcW w:w="1260" w:type="dxa"/>
            <w:tcBorders>
              <w:top w:val="nil"/>
              <w:left w:val="nil"/>
              <w:bottom w:val="single" w:color="auto" w:sz="4" w:space="0"/>
              <w:right w:val="single" w:color="auto" w:sz="4" w:space="0"/>
            </w:tcBorders>
            <w:vAlign w:val="center"/>
          </w:tcPr>
          <w:p w14:paraId="63B9BC8E">
            <w:pPr>
              <w:widowControl/>
              <w:jc w:val="center"/>
              <w:rPr>
                <w:rFonts w:hint="eastAsia" w:ascii="仿宋" w:hAnsi="仿宋" w:eastAsia="仿宋"/>
                <w:color w:val="000000"/>
                <w:szCs w:val="21"/>
              </w:rPr>
            </w:pPr>
            <w:r>
              <w:rPr>
                <w:rFonts w:hint="eastAsia" w:ascii="仿宋" w:hAnsi="仿宋" w:eastAsia="仿宋"/>
                <w:color w:val="000000"/>
                <w:szCs w:val="21"/>
              </w:rPr>
              <w:t>设备购置成本控制率（8分）</w:t>
            </w:r>
          </w:p>
        </w:tc>
        <w:tc>
          <w:tcPr>
            <w:tcW w:w="5594" w:type="dxa"/>
            <w:tcBorders>
              <w:top w:val="nil"/>
              <w:left w:val="nil"/>
              <w:bottom w:val="single" w:color="auto" w:sz="4" w:space="0"/>
              <w:right w:val="single" w:color="auto" w:sz="4" w:space="0"/>
            </w:tcBorders>
            <w:vAlign w:val="center"/>
          </w:tcPr>
          <w:p w14:paraId="67837045">
            <w:pPr>
              <w:widowControl/>
              <w:jc w:val="left"/>
              <w:rPr>
                <w:rFonts w:hint="eastAsia" w:ascii="仿宋" w:hAnsi="仿宋" w:eastAsia="仿宋"/>
                <w:color w:val="000000"/>
                <w:szCs w:val="21"/>
              </w:rPr>
            </w:pPr>
            <w:r>
              <w:rPr>
                <w:rFonts w:hint="eastAsia" w:ascii="仿宋" w:hAnsi="仿宋" w:eastAsia="仿宋"/>
                <w:color w:val="000000"/>
                <w:szCs w:val="21"/>
              </w:rPr>
              <w:t>成本控制率=[实际购置成本/计划购置成本]×100%。</w:t>
            </w:r>
          </w:p>
          <w:p w14:paraId="3876FB5B">
            <w:pPr>
              <w:widowControl/>
              <w:jc w:val="left"/>
              <w:rPr>
                <w:rFonts w:hint="eastAsia" w:ascii="仿宋" w:hAnsi="仿宋" w:eastAsia="仿宋"/>
                <w:color w:val="000000"/>
                <w:szCs w:val="21"/>
              </w:rPr>
            </w:pPr>
            <w:r>
              <w:rPr>
                <w:rFonts w:hint="eastAsia" w:ascii="仿宋" w:hAnsi="仿宋" w:eastAsia="仿宋"/>
                <w:color w:val="000000"/>
                <w:szCs w:val="21"/>
              </w:rPr>
              <w:t>①成本控制率≤100%，得满分；</w:t>
            </w:r>
          </w:p>
          <w:p w14:paraId="4795A84D">
            <w:pPr>
              <w:widowControl/>
              <w:jc w:val="left"/>
              <w:rPr>
                <w:rFonts w:hint="eastAsia" w:ascii="仿宋" w:hAnsi="仿宋" w:eastAsia="仿宋"/>
                <w:color w:val="000000"/>
                <w:szCs w:val="21"/>
              </w:rPr>
            </w:pPr>
            <w:r>
              <w:rPr>
                <w:rFonts w:hint="eastAsia" w:ascii="仿宋" w:hAnsi="仿宋" w:eastAsia="仿宋"/>
                <w:color w:val="000000"/>
                <w:szCs w:val="21"/>
              </w:rPr>
              <w:t>②成本控制率≥100%时，每高于一个百分点，扣权重分的10%，扣完为止。</w:t>
            </w:r>
          </w:p>
        </w:tc>
      </w:tr>
      <w:tr w14:paraId="47B5C149">
        <w:tblPrEx>
          <w:tblCellMar>
            <w:top w:w="0" w:type="dxa"/>
            <w:left w:w="108" w:type="dxa"/>
            <w:bottom w:w="0" w:type="dxa"/>
            <w:right w:w="108" w:type="dxa"/>
          </w:tblCellMar>
        </w:tblPrEx>
        <w:trPr>
          <w:trHeight w:val="540" w:hRule="atLeast"/>
        </w:trPr>
        <w:tc>
          <w:tcPr>
            <w:tcW w:w="647" w:type="dxa"/>
            <w:vMerge w:val="restart"/>
            <w:tcBorders>
              <w:top w:val="nil"/>
              <w:left w:val="single" w:color="auto" w:sz="4" w:space="0"/>
              <w:bottom w:val="single" w:color="000000" w:sz="4" w:space="0"/>
              <w:right w:val="single" w:color="auto" w:sz="4" w:space="0"/>
            </w:tcBorders>
            <w:vAlign w:val="center"/>
          </w:tcPr>
          <w:p w14:paraId="1BA777B6">
            <w:pPr>
              <w:widowControl/>
              <w:jc w:val="center"/>
              <w:rPr>
                <w:rFonts w:hint="eastAsia" w:ascii="仿宋" w:hAnsi="仿宋" w:eastAsia="仿宋"/>
                <w:color w:val="000000"/>
                <w:szCs w:val="21"/>
              </w:rPr>
            </w:pPr>
            <w:r>
              <w:rPr>
                <w:rFonts w:hint="eastAsia" w:ascii="仿宋" w:hAnsi="仿宋" w:eastAsia="仿宋"/>
                <w:color w:val="000000"/>
                <w:szCs w:val="21"/>
              </w:rPr>
              <w:t>效益</w:t>
            </w:r>
            <w:r>
              <w:rPr>
                <w:rFonts w:hint="eastAsia" w:ascii="仿宋" w:hAnsi="仿宋" w:eastAsia="仿宋"/>
                <w:color w:val="000000"/>
                <w:szCs w:val="21"/>
              </w:rPr>
              <w:br w:type="textWrapping"/>
            </w:r>
            <w:r>
              <w:rPr>
                <w:rFonts w:hint="eastAsia" w:ascii="仿宋" w:hAnsi="仿宋" w:eastAsia="仿宋"/>
                <w:color w:val="000000"/>
                <w:szCs w:val="21"/>
              </w:rPr>
              <w:t>（30分）</w:t>
            </w:r>
          </w:p>
        </w:tc>
        <w:tc>
          <w:tcPr>
            <w:tcW w:w="1050" w:type="dxa"/>
            <w:vMerge w:val="restart"/>
            <w:tcBorders>
              <w:top w:val="single" w:color="auto" w:sz="4" w:space="0"/>
              <w:left w:val="single" w:color="auto" w:sz="4" w:space="0"/>
              <w:bottom w:val="single" w:color="auto" w:sz="4" w:space="0"/>
              <w:right w:val="single" w:color="auto" w:sz="4" w:space="0"/>
            </w:tcBorders>
            <w:vAlign w:val="center"/>
          </w:tcPr>
          <w:p w14:paraId="02A83D5D">
            <w:pPr>
              <w:widowControl/>
              <w:jc w:val="center"/>
              <w:rPr>
                <w:rFonts w:hint="eastAsia" w:ascii="仿宋" w:hAnsi="仿宋" w:eastAsia="仿宋"/>
                <w:color w:val="000000"/>
                <w:szCs w:val="21"/>
              </w:rPr>
            </w:pPr>
            <w:r>
              <w:rPr>
                <w:rFonts w:hint="eastAsia" w:ascii="仿宋" w:hAnsi="仿宋" w:eastAsia="仿宋"/>
                <w:color w:val="000000"/>
                <w:szCs w:val="21"/>
              </w:rPr>
              <w:t>社会效益</w:t>
            </w:r>
            <w:r>
              <w:rPr>
                <w:rFonts w:hint="eastAsia" w:ascii="仿宋" w:hAnsi="仿宋" w:eastAsia="仿宋"/>
                <w:color w:val="000000"/>
                <w:szCs w:val="21"/>
              </w:rPr>
              <w:br w:type="textWrapping"/>
            </w:r>
            <w:r>
              <w:rPr>
                <w:rFonts w:hint="eastAsia" w:ascii="仿宋" w:hAnsi="仿宋" w:eastAsia="仿宋"/>
                <w:color w:val="000000"/>
                <w:szCs w:val="21"/>
              </w:rPr>
              <w:t>（15分）</w:t>
            </w:r>
          </w:p>
        </w:tc>
        <w:tc>
          <w:tcPr>
            <w:tcW w:w="1260" w:type="dxa"/>
            <w:tcBorders>
              <w:top w:val="nil"/>
              <w:left w:val="nil"/>
              <w:bottom w:val="single" w:color="auto" w:sz="4" w:space="0"/>
              <w:right w:val="single" w:color="auto" w:sz="4" w:space="0"/>
            </w:tcBorders>
            <w:vAlign w:val="center"/>
          </w:tcPr>
          <w:p w14:paraId="0B46CDC3">
            <w:pPr>
              <w:widowControl/>
              <w:jc w:val="center"/>
              <w:rPr>
                <w:rFonts w:hint="eastAsia" w:ascii="仿宋" w:hAnsi="仿宋" w:eastAsia="仿宋"/>
                <w:color w:val="000000"/>
                <w:szCs w:val="21"/>
              </w:rPr>
            </w:pPr>
            <w:r>
              <w:rPr>
                <w:rFonts w:hint="eastAsia" w:ascii="仿宋" w:hAnsi="仿宋" w:eastAsia="仿宋"/>
                <w:color w:val="000000"/>
                <w:szCs w:val="21"/>
              </w:rPr>
              <w:t>教学效果提升（5分）</w:t>
            </w:r>
          </w:p>
        </w:tc>
        <w:tc>
          <w:tcPr>
            <w:tcW w:w="5594" w:type="dxa"/>
            <w:tcBorders>
              <w:top w:val="nil"/>
              <w:left w:val="nil"/>
              <w:bottom w:val="single" w:color="auto" w:sz="4" w:space="0"/>
              <w:right w:val="single" w:color="auto" w:sz="4" w:space="0"/>
            </w:tcBorders>
            <w:vAlign w:val="center"/>
          </w:tcPr>
          <w:p w14:paraId="3650756E">
            <w:pPr>
              <w:widowControl/>
              <w:jc w:val="left"/>
              <w:rPr>
                <w:rFonts w:hint="eastAsia" w:ascii="仿宋" w:hAnsi="仿宋" w:eastAsia="仿宋"/>
                <w:color w:val="000000"/>
                <w:szCs w:val="21"/>
              </w:rPr>
            </w:pPr>
            <w:r>
              <w:rPr>
                <w:rFonts w:hint="eastAsia" w:ascii="仿宋" w:hAnsi="仿宋" w:eastAsia="仿宋"/>
                <w:color w:val="000000"/>
                <w:szCs w:val="21"/>
              </w:rPr>
              <w:t>用于衡量多媒体教学设备的更换对教学效果的提升，通过问卷调查对教学效果的提升程度进行评分；</w:t>
            </w:r>
            <w:r>
              <w:rPr>
                <w:rFonts w:ascii="仿宋" w:hAnsi="仿宋" w:eastAsia="仿宋"/>
                <w:color w:val="000000"/>
                <w:szCs w:val="21"/>
              </w:rPr>
              <w:t>显著提升</w:t>
            </w:r>
            <w:r>
              <w:rPr>
                <w:rFonts w:hint="eastAsia" w:ascii="仿宋" w:hAnsi="仿宋" w:eastAsia="仿宋"/>
                <w:color w:val="000000"/>
                <w:szCs w:val="21"/>
              </w:rPr>
              <w:t>权重系数为</w:t>
            </w:r>
            <w:r>
              <w:rPr>
                <w:rFonts w:ascii="仿宋" w:hAnsi="仿宋" w:eastAsia="仿宋"/>
                <w:color w:val="000000"/>
                <w:szCs w:val="21"/>
              </w:rPr>
              <w:t>1.0</w:t>
            </w:r>
            <w:r>
              <w:rPr>
                <w:rFonts w:hint="eastAsia" w:ascii="仿宋" w:hAnsi="仿宋" w:eastAsia="仿宋"/>
                <w:color w:val="000000"/>
                <w:szCs w:val="21"/>
              </w:rPr>
              <w:t>，</w:t>
            </w:r>
            <w:r>
              <w:rPr>
                <w:rFonts w:ascii="仿宋" w:hAnsi="仿宋" w:eastAsia="仿宋"/>
                <w:color w:val="000000"/>
                <w:szCs w:val="21"/>
              </w:rPr>
              <w:t>略有提升</w:t>
            </w:r>
            <w:r>
              <w:rPr>
                <w:rFonts w:hint="eastAsia" w:ascii="仿宋" w:hAnsi="仿宋" w:eastAsia="仿宋"/>
                <w:color w:val="000000"/>
                <w:szCs w:val="21"/>
              </w:rPr>
              <w:t>权重系数为</w:t>
            </w:r>
            <w:r>
              <w:rPr>
                <w:rFonts w:ascii="仿宋" w:hAnsi="仿宋" w:eastAsia="仿宋"/>
                <w:color w:val="000000"/>
                <w:szCs w:val="21"/>
              </w:rPr>
              <w:t>0.5，无变化</w:t>
            </w:r>
            <w:r>
              <w:rPr>
                <w:rFonts w:hint="eastAsia" w:ascii="仿宋" w:hAnsi="仿宋" w:eastAsia="仿宋"/>
                <w:color w:val="000000"/>
                <w:szCs w:val="21"/>
              </w:rPr>
              <w:t>权重系数</w:t>
            </w:r>
            <w:r>
              <w:rPr>
                <w:rFonts w:ascii="仿宋" w:hAnsi="仿宋" w:eastAsia="仿宋"/>
                <w:color w:val="000000"/>
                <w:szCs w:val="21"/>
              </w:rPr>
              <w:t>0，效果下降</w:t>
            </w:r>
            <w:r>
              <w:rPr>
                <w:rFonts w:hint="eastAsia" w:ascii="仿宋" w:hAnsi="仿宋" w:eastAsia="仿宋"/>
                <w:color w:val="000000"/>
                <w:szCs w:val="21"/>
              </w:rPr>
              <w:t>权重系数为-0.5（负向扣分）。得分=教学效果提升程度评分平均分×100%×5分</w:t>
            </w:r>
          </w:p>
        </w:tc>
      </w:tr>
      <w:tr w14:paraId="609D2162">
        <w:tblPrEx>
          <w:tblCellMar>
            <w:top w:w="0" w:type="dxa"/>
            <w:left w:w="108" w:type="dxa"/>
            <w:bottom w:w="0" w:type="dxa"/>
            <w:right w:w="108" w:type="dxa"/>
          </w:tblCellMar>
        </w:tblPrEx>
        <w:trPr>
          <w:trHeight w:val="540" w:hRule="atLeast"/>
        </w:trPr>
        <w:tc>
          <w:tcPr>
            <w:tcW w:w="647" w:type="dxa"/>
            <w:vMerge w:val="continue"/>
            <w:tcBorders>
              <w:top w:val="nil"/>
              <w:left w:val="single" w:color="auto" w:sz="4" w:space="0"/>
              <w:bottom w:val="single" w:color="000000" w:sz="4" w:space="0"/>
              <w:right w:val="single" w:color="auto" w:sz="4" w:space="0"/>
            </w:tcBorders>
            <w:vAlign w:val="center"/>
          </w:tcPr>
          <w:p w14:paraId="22C4F140">
            <w:pPr>
              <w:widowControl/>
              <w:jc w:val="left"/>
              <w:rPr>
                <w:rFonts w:hint="eastAsia" w:ascii="仿宋" w:hAnsi="仿宋" w:eastAsia="仿宋"/>
                <w:color w:val="000000"/>
                <w:szCs w:val="21"/>
              </w:rPr>
            </w:pPr>
          </w:p>
        </w:tc>
        <w:tc>
          <w:tcPr>
            <w:tcW w:w="1050" w:type="dxa"/>
            <w:vMerge w:val="continue"/>
            <w:tcBorders>
              <w:top w:val="single" w:color="auto" w:sz="4" w:space="0"/>
              <w:left w:val="single" w:color="auto" w:sz="4" w:space="0"/>
              <w:bottom w:val="single" w:color="auto" w:sz="4" w:space="0"/>
              <w:right w:val="single" w:color="auto" w:sz="4" w:space="0"/>
            </w:tcBorders>
            <w:vAlign w:val="center"/>
          </w:tcPr>
          <w:p w14:paraId="7867F505">
            <w:pPr>
              <w:widowControl/>
              <w:jc w:val="left"/>
              <w:rPr>
                <w:rFonts w:hint="eastAsia" w:ascii="仿宋" w:hAnsi="仿宋" w:eastAsia="仿宋"/>
                <w:color w:val="000000"/>
                <w:szCs w:val="21"/>
              </w:rPr>
            </w:pPr>
          </w:p>
        </w:tc>
        <w:tc>
          <w:tcPr>
            <w:tcW w:w="1260" w:type="dxa"/>
            <w:tcBorders>
              <w:top w:val="nil"/>
              <w:left w:val="nil"/>
              <w:bottom w:val="single" w:color="auto" w:sz="4" w:space="0"/>
              <w:right w:val="single" w:color="auto" w:sz="4" w:space="0"/>
            </w:tcBorders>
            <w:vAlign w:val="center"/>
          </w:tcPr>
          <w:p w14:paraId="472FB9AD">
            <w:pPr>
              <w:widowControl/>
              <w:jc w:val="center"/>
              <w:rPr>
                <w:rFonts w:hint="eastAsia" w:ascii="仿宋" w:hAnsi="仿宋" w:eastAsia="仿宋"/>
                <w:color w:val="000000"/>
                <w:szCs w:val="21"/>
              </w:rPr>
            </w:pPr>
            <w:r>
              <w:rPr>
                <w:rFonts w:hint="eastAsia" w:ascii="仿宋" w:hAnsi="仿宋" w:eastAsia="仿宋"/>
                <w:color w:val="000000"/>
                <w:szCs w:val="21"/>
              </w:rPr>
              <w:t>多媒体教学设备全覆盖（5分）</w:t>
            </w:r>
          </w:p>
        </w:tc>
        <w:tc>
          <w:tcPr>
            <w:tcW w:w="5594" w:type="dxa"/>
            <w:tcBorders>
              <w:top w:val="nil"/>
              <w:left w:val="nil"/>
              <w:bottom w:val="single" w:color="auto" w:sz="4" w:space="0"/>
              <w:right w:val="single" w:color="auto" w:sz="4" w:space="0"/>
            </w:tcBorders>
            <w:vAlign w:val="center"/>
          </w:tcPr>
          <w:p w14:paraId="0CF2FB3E">
            <w:pPr>
              <w:widowControl/>
              <w:jc w:val="left"/>
              <w:rPr>
                <w:rFonts w:hint="eastAsia" w:ascii="仿宋" w:hAnsi="仿宋" w:eastAsia="仿宋"/>
                <w:color w:val="000000"/>
                <w:szCs w:val="21"/>
              </w:rPr>
            </w:pPr>
            <w:r>
              <w:rPr>
                <w:rFonts w:hint="eastAsia" w:ascii="仿宋" w:hAnsi="仿宋" w:eastAsia="仿宋"/>
                <w:color w:val="000000"/>
                <w:szCs w:val="21"/>
              </w:rPr>
              <w:t>用于衡量全市中小班级多媒教学设备的覆盖程度，以评估教育信息化基础设施的均衡性和普及性。通过问卷调查反馈的数据计算覆盖率。得分=（已配备多媒体设备的班级数 ÷ 总班级数）×5分。</w:t>
            </w:r>
          </w:p>
        </w:tc>
      </w:tr>
      <w:tr w14:paraId="33A2AE81">
        <w:tblPrEx>
          <w:tblCellMar>
            <w:top w:w="0" w:type="dxa"/>
            <w:left w:w="108" w:type="dxa"/>
            <w:bottom w:w="0" w:type="dxa"/>
            <w:right w:w="108" w:type="dxa"/>
          </w:tblCellMar>
        </w:tblPrEx>
        <w:trPr>
          <w:trHeight w:val="540" w:hRule="atLeast"/>
        </w:trPr>
        <w:tc>
          <w:tcPr>
            <w:tcW w:w="647" w:type="dxa"/>
            <w:vMerge w:val="continue"/>
            <w:tcBorders>
              <w:top w:val="nil"/>
              <w:left w:val="single" w:color="auto" w:sz="4" w:space="0"/>
              <w:bottom w:val="single" w:color="000000" w:sz="4" w:space="0"/>
              <w:right w:val="single" w:color="auto" w:sz="4" w:space="0"/>
            </w:tcBorders>
            <w:vAlign w:val="center"/>
          </w:tcPr>
          <w:p w14:paraId="07169EB9">
            <w:pPr>
              <w:widowControl/>
              <w:jc w:val="left"/>
              <w:rPr>
                <w:rFonts w:hint="eastAsia" w:ascii="仿宋" w:hAnsi="仿宋" w:eastAsia="仿宋"/>
                <w:color w:val="000000"/>
                <w:szCs w:val="21"/>
              </w:rPr>
            </w:pPr>
          </w:p>
        </w:tc>
        <w:tc>
          <w:tcPr>
            <w:tcW w:w="1050" w:type="dxa"/>
            <w:vMerge w:val="continue"/>
            <w:tcBorders>
              <w:top w:val="single" w:color="auto" w:sz="4" w:space="0"/>
              <w:left w:val="single" w:color="auto" w:sz="4" w:space="0"/>
              <w:bottom w:val="single" w:color="auto" w:sz="4" w:space="0"/>
              <w:right w:val="single" w:color="auto" w:sz="4" w:space="0"/>
            </w:tcBorders>
            <w:vAlign w:val="center"/>
          </w:tcPr>
          <w:p w14:paraId="09D3C4D3">
            <w:pPr>
              <w:widowControl/>
              <w:jc w:val="left"/>
              <w:rPr>
                <w:rFonts w:hint="eastAsia" w:ascii="仿宋" w:hAnsi="仿宋" w:eastAsia="仿宋"/>
                <w:color w:val="000000"/>
                <w:szCs w:val="21"/>
              </w:rPr>
            </w:pPr>
          </w:p>
        </w:tc>
        <w:tc>
          <w:tcPr>
            <w:tcW w:w="1260" w:type="dxa"/>
            <w:tcBorders>
              <w:top w:val="nil"/>
              <w:left w:val="nil"/>
              <w:bottom w:val="single" w:color="auto" w:sz="4" w:space="0"/>
              <w:right w:val="single" w:color="auto" w:sz="4" w:space="0"/>
            </w:tcBorders>
            <w:vAlign w:val="center"/>
          </w:tcPr>
          <w:p w14:paraId="1C328D2D">
            <w:pPr>
              <w:widowControl/>
              <w:jc w:val="center"/>
              <w:rPr>
                <w:rFonts w:hint="eastAsia" w:ascii="仿宋" w:hAnsi="仿宋" w:eastAsia="仿宋"/>
                <w:color w:val="000000"/>
                <w:szCs w:val="21"/>
              </w:rPr>
            </w:pPr>
            <w:r>
              <w:rPr>
                <w:rFonts w:ascii="仿宋" w:hAnsi="仿宋" w:eastAsia="仿宋"/>
                <w:color w:val="000000"/>
                <w:szCs w:val="21"/>
              </w:rPr>
              <w:t>多媒体教学设备与教学需求的匹配度</w:t>
            </w:r>
            <w:r>
              <w:rPr>
                <w:rFonts w:hint="eastAsia" w:ascii="仿宋" w:hAnsi="仿宋" w:eastAsia="仿宋"/>
                <w:color w:val="000000"/>
                <w:szCs w:val="21"/>
              </w:rPr>
              <w:t>（5分）</w:t>
            </w:r>
          </w:p>
        </w:tc>
        <w:tc>
          <w:tcPr>
            <w:tcW w:w="5594" w:type="dxa"/>
            <w:tcBorders>
              <w:top w:val="nil"/>
              <w:left w:val="nil"/>
              <w:bottom w:val="single" w:color="auto" w:sz="4" w:space="0"/>
              <w:right w:val="single" w:color="auto" w:sz="4" w:space="0"/>
            </w:tcBorders>
            <w:vAlign w:val="center"/>
          </w:tcPr>
          <w:p w14:paraId="5A5EA581">
            <w:pPr>
              <w:widowControl/>
              <w:jc w:val="left"/>
              <w:rPr>
                <w:rFonts w:hint="eastAsia" w:ascii="仿宋" w:hAnsi="仿宋" w:eastAsia="仿宋"/>
                <w:color w:val="000000"/>
                <w:szCs w:val="21"/>
              </w:rPr>
            </w:pPr>
            <w:r>
              <w:rPr>
                <w:rFonts w:hint="eastAsia" w:ascii="仿宋" w:hAnsi="仿宋" w:eastAsia="仿宋"/>
                <w:color w:val="000000"/>
                <w:szCs w:val="21"/>
              </w:rPr>
              <w:t>①以教室排课表为依据，核查设备使用与课程安排的匹配度；</w:t>
            </w:r>
          </w:p>
          <w:p w14:paraId="7C001B81">
            <w:pPr>
              <w:widowControl/>
              <w:jc w:val="left"/>
              <w:rPr>
                <w:rFonts w:hint="eastAsia" w:ascii="仿宋" w:hAnsi="仿宋" w:eastAsia="仿宋"/>
                <w:color w:val="000000"/>
                <w:szCs w:val="21"/>
              </w:rPr>
            </w:pPr>
            <w:r>
              <w:rPr>
                <w:rFonts w:hint="eastAsia" w:ascii="仿宋" w:hAnsi="仿宋" w:eastAsia="仿宋"/>
                <w:color w:val="000000"/>
                <w:szCs w:val="21"/>
              </w:rPr>
              <w:t>②通过调查问卷对设备使用是否满足教学需求进行评分；</w:t>
            </w:r>
          </w:p>
          <w:p w14:paraId="2B2C154E">
            <w:pPr>
              <w:widowControl/>
              <w:jc w:val="left"/>
              <w:rPr>
                <w:rFonts w:hint="eastAsia" w:ascii="仿宋" w:hAnsi="仿宋" w:eastAsia="仿宋"/>
                <w:color w:val="000000"/>
                <w:szCs w:val="21"/>
              </w:rPr>
            </w:pPr>
            <w:r>
              <w:rPr>
                <w:rFonts w:hint="eastAsia" w:ascii="仿宋" w:hAnsi="仿宋" w:eastAsia="仿宋"/>
                <w:color w:val="000000"/>
                <w:szCs w:val="21"/>
              </w:rPr>
              <w:t>③完全满足权重系数为1.0；基本满足权重系数为0.75；不能满足权重系数为0。</w:t>
            </w:r>
          </w:p>
          <w:p w14:paraId="553A2B79">
            <w:pPr>
              <w:widowControl/>
              <w:jc w:val="left"/>
              <w:rPr>
                <w:rFonts w:hint="eastAsia" w:ascii="仿宋" w:hAnsi="仿宋" w:eastAsia="仿宋"/>
                <w:color w:val="000000"/>
                <w:szCs w:val="21"/>
              </w:rPr>
            </w:pPr>
            <w:r>
              <w:rPr>
                <w:rFonts w:hint="eastAsia" w:ascii="仿宋" w:hAnsi="仿宋" w:eastAsia="仿宋"/>
                <w:color w:val="000000"/>
                <w:szCs w:val="21"/>
              </w:rPr>
              <w:t>得分=整体满足率×5分。</w:t>
            </w:r>
          </w:p>
        </w:tc>
      </w:tr>
      <w:tr w14:paraId="013B2B19">
        <w:tblPrEx>
          <w:tblCellMar>
            <w:top w:w="0" w:type="dxa"/>
            <w:left w:w="108" w:type="dxa"/>
            <w:bottom w:w="0" w:type="dxa"/>
            <w:right w:w="108" w:type="dxa"/>
          </w:tblCellMar>
        </w:tblPrEx>
        <w:trPr>
          <w:trHeight w:val="810" w:hRule="atLeast"/>
        </w:trPr>
        <w:tc>
          <w:tcPr>
            <w:tcW w:w="647" w:type="dxa"/>
            <w:vMerge w:val="continue"/>
            <w:tcBorders>
              <w:top w:val="nil"/>
              <w:left w:val="single" w:color="auto" w:sz="4" w:space="0"/>
              <w:bottom w:val="single" w:color="000000" w:sz="4" w:space="0"/>
              <w:right w:val="single" w:color="auto" w:sz="4" w:space="0"/>
            </w:tcBorders>
            <w:vAlign w:val="center"/>
          </w:tcPr>
          <w:p w14:paraId="030D53C6">
            <w:pPr>
              <w:widowControl/>
              <w:jc w:val="left"/>
              <w:rPr>
                <w:rFonts w:hint="eastAsia" w:ascii="仿宋" w:hAnsi="仿宋" w:eastAsia="仿宋"/>
                <w:color w:val="000000"/>
                <w:szCs w:val="21"/>
              </w:rPr>
            </w:pPr>
          </w:p>
        </w:tc>
        <w:tc>
          <w:tcPr>
            <w:tcW w:w="1050" w:type="dxa"/>
            <w:tcBorders>
              <w:top w:val="single" w:color="auto" w:sz="4" w:space="0"/>
              <w:left w:val="single" w:color="auto" w:sz="4" w:space="0"/>
              <w:bottom w:val="single" w:color="000000" w:sz="4" w:space="0"/>
              <w:right w:val="single" w:color="auto" w:sz="4" w:space="0"/>
            </w:tcBorders>
            <w:vAlign w:val="center"/>
          </w:tcPr>
          <w:p w14:paraId="31537C4B">
            <w:pPr>
              <w:widowControl/>
              <w:jc w:val="center"/>
              <w:rPr>
                <w:rFonts w:hint="eastAsia" w:ascii="仿宋" w:hAnsi="仿宋" w:eastAsia="仿宋"/>
                <w:color w:val="000000"/>
                <w:szCs w:val="21"/>
              </w:rPr>
            </w:pPr>
            <w:r>
              <w:rPr>
                <w:rFonts w:hint="eastAsia" w:ascii="仿宋" w:hAnsi="仿宋" w:eastAsia="仿宋"/>
                <w:color w:val="000000"/>
                <w:szCs w:val="21"/>
              </w:rPr>
              <w:t>可持续影响</w:t>
            </w:r>
            <w:r>
              <w:rPr>
                <w:rFonts w:hint="eastAsia" w:ascii="仿宋" w:hAnsi="仿宋" w:eastAsia="仿宋"/>
                <w:color w:val="000000"/>
                <w:szCs w:val="21"/>
              </w:rPr>
              <w:br w:type="textWrapping"/>
            </w:r>
            <w:r>
              <w:rPr>
                <w:rFonts w:hint="eastAsia" w:ascii="仿宋" w:hAnsi="仿宋" w:eastAsia="仿宋"/>
                <w:color w:val="000000"/>
                <w:szCs w:val="21"/>
              </w:rPr>
              <w:t>（5分）</w:t>
            </w:r>
          </w:p>
        </w:tc>
        <w:tc>
          <w:tcPr>
            <w:tcW w:w="1260" w:type="dxa"/>
            <w:tcBorders>
              <w:top w:val="nil"/>
              <w:left w:val="nil"/>
              <w:bottom w:val="single" w:color="auto" w:sz="4" w:space="0"/>
              <w:right w:val="single" w:color="auto" w:sz="4" w:space="0"/>
            </w:tcBorders>
            <w:vAlign w:val="center"/>
          </w:tcPr>
          <w:p w14:paraId="6AD406EA">
            <w:pPr>
              <w:widowControl/>
              <w:jc w:val="center"/>
              <w:rPr>
                <w:rFonts w:hint="eastAsia" w:ascii="仿宋" w:hAnsi="仿宋" w:eastAsia="仿宋"/>
                <w:color w:val="000000"/>
                <w:szCs w:val="21"/>
              </w:rPr>
            </w:pPr>
            <w:r>
              <w:rPr>
                <w:rFonts w:hint="eastAsia" w:ascii="仿宋" w:hAnsi="仿宋" w:eastAsia="仿宋"/>
                <w:color w:val="000000"/>
                <w:szCs w:val="21"/>
              </w:rPr>
              <w:t>日常维护便捷性（5分）</w:t>
            </w:r>
          </w:p>
        </w:tc>
        <w:tc>
          <w:tcPr>
            <w:tcW w:w="5594" w:type="dxa"/>
            <w:tcBorders>
              <w:top w:val="nil"/>
              <w:left w:val="nil"/>
              <w:bottom w:val="single" w:color="auto" w:sz="4" w:space="0"/>
              <w:right w:val="single" w:color="auto" w:sz="4" w:space="0"/>
            </w:tcBorders>
            <w:vAlign w:val="center"/>
          </w:tcPr>
          <w:p w14:paraId="631A1C4B">
            <w:pPr>
              <w:widowControl/>
              <w:jc w:val="left"/>
              <w:rPr>
                <w:rFonts w:hint="eastAsia" w:ascii="仿宋" w:hAnsi="仿宋" w:eastAsia="仿宋"/>
                <w:color w:val="000000"/>
                <w:szCs w:val="21"/>
              </w:rPr>
            </w:pPr>
            <w:r>
              <w:rPr>
                <w:rFonts w:hint="eastAsia" w:ascii="仿宋" w:hAnsi="仿宋" w:eastAsia="仿宋"/>
                <w:color w:val="000000"/>
                <w:szCs w:val="21"/>
              </w:rPr>
              <w:t>评估多媒体教学设备的日常维护便利程度，反映设备的易用性、故障可自主处理率及技术支持响应效率。通过问卷调查对问题自主解决率进行评分。</w:t>
            </w:r>
          </w:p>
          <w:p w14:paraId="7BBC48A0">
            <w:pPr>
              <w:widowControl/>
              <w:jc w:val="left"/>
              <w:rPr>
                <w:rFonts w:hint="eastAsia" w:ascii="仿宋" w:hAnsi="仿宋" w:eastAsia="仿宋"/>
                <w:color w:val="000000"/>
                <w:szCs w:val="21"/>
              </w:rPr>
            </w:pPr>
            <w:r>
              <w:rPr>
                <w:rFonts w:hint="eastAsia" w:ascii="仿宋" w:hAnsi="仿宋" w:eastAsia="仿宋"/>
                <w:color w:val="000000"/>
                <w:szCs w:val="21"/>
              </w:rPr>
              <w:t>得分=（</w:t>
            </w:r>
            <w:r>
              <w:rPr>
                <w:rFonts w:ascii="仿宋" w:hAnsi="仿宋" w:eastAsia="仿宋"/>
                <w:color w:val="000000"/>
                <w:szCs w:val="21"/>
              </w:rPr>
              <w:t>可自行解决比例×1.0+需技术人员支持比例×0.5</w:t>
            </w:r>
            <w:r>
              <w:rPr>
                <w:rFonts w:hint="eastAsia" w:ascii="仿宋" w:hAnsi="仿宋" w:eastAsia="仿宋"/>
                <w:color w:val="000000"/>
                <w:szCs w:val="21"/>
              </w:rPr>
              <w:t>）</w:t>
            </w:r>
            <w:r>
              <w:rPr>
                <w:rFonts w:ascii="仿宋" w:hAnsi="仿宋" w:eastAsia="仿宋"/>
                <w:color w:val="000000"/>
                <w:szCs w:val="21"/>
              </w:rPr>
              <w:t>×</w:t>
            </w:r>
            <w:r>
              <w:rPr>
                <w:rFonts w:hint="eastAsia" w:ascii="仿宋" w:hAnsi="仿宋" w:eastAsia="仿宋"/>
                <w:color w:val="000000"/>
                <w:szCs w:val="21"/>
              </w:rPr>
              <w:t>5分。</w:t>
            </w:r>
          </w:p>
        </w:tc>
      </w:tr>
      <w:tr w14:paraId="5539638B">
        <w:tblPrEx>
          <w:tblCellMar>
            <w:top w:w="0" w:type="dxa"/>
            <w:left w:w="108" w:type="dxa"/>
            <w:bottom w:w="0" w:type="dxa"/>
            <w:right w:w="108" w:type="dxa"/>
          </w:tblCellMar>
        </w:tblPrEx>
        <w:trPr>
          <w:trHeight w:val="810" w:hRule="atLeast"/>
        </w:trPr>
        <w:tc>
          <w:tcPr>
            <w:tcW w:w="647" w:type="dxa"/>
            <w:vMerge w:val="continue"/>
            <w:tcBorders>
              <w:top w:val="nil"/>
              <w:left w:val="single" w:color="auto" w:sz="4" w:space="0"/>
              <w:bottom w:val="single" w:color="000000" w:sz="4" w:space="0"/>
              <w:right w:val="single" w:color="auto" w:sz="4" w:space="0"/>
            </w:tcBorders>
            <w:vAlign w:val="center"/>
          </w:tcPr>
          <w:p w14:paraId="55F1130E">
            <w:pPr>
              <w:widowControl/>
              <w:jc w:val="left"/>
              <w:rPr>
                <w:rFonts w:hint="eastAsia" w:ascii="仿宋" w:hAnsi="仿宋" w:eastAsia="仿宋"/>
                <w:color w:val="000000"/>
                <w:szCs w:val="21"/>
              </w:rPr>
            </w:pPr>
          </w:p>
        </w:tc>
        <w:tc>
          <w:tcPr>
            <w:tcW w:w="1050" w:type="dxa"/>
            <w:tcBorders>
              <w:top w:val="nil"/>
              <w:left w:val="single" w:color="auto" w:sz="4" w:space="0"/>
              <w:bottom w:val="single" w:color="000000" w:sz="4" w:space="0"/>
              <w:right w:val="single" w:color="auto" w:sz="4" w:space="0"/>
            </w:tcBorders>
            <w:vAlign w:val="center"/>
          </w:tcPr>
          <w:p w14:paraId="1C74EA0A">
            <w:pPr>
              <w:widowControl/>
              <w:jc w:val="center"/>
              <w:rPr>
                <w:rFonts w:hint="eastAsia" w:ascii="仿宋" w:hAnsi="仿宋" w:eastAsia="仿宋"/>
                <w:color w:val="000000"/>
                <w:szCs w:val="21"/>
              </w:rPr>
            </w:pPr>
            <w:r>
              <w:rPr>
                <w:rFonts w:hint="eastAsia" w:ascii="仿宋" w:hAnsi="仿宋" w:eastAsia="仿宋"/>
                <w:color w:val="000000"/>
                <w:szCs w:val="21"/>
              </w:rPr>
              <w:t>满意度</w:t>
            </w:r>
            <w:r>
              <w:rPr>
                <w:rFonts w:hint="eastAsia" w:ascii="仿宋" w:hAnsi="仿宋" w:eastAsia="仿宋"/>
                <w:color w:val="000000"/>
                <w:szCs w:val="21"/>
              </w:rPr>
              <w:br w:type="textWrapping"/>
            </w:r>
            <w:r>
              <w:rPr>
                <w:rFonts w:hint="eastAsia" w:ascii="仿宋" w:hAnsi="仿宋" w:eastAsia="仿宋"/>
                <w:color w:val="000000"/>
                <w:szCs w:val="21"/>
              </w:rPr>
              <w:t>（10分）</w:t>
            </w:r>
          </w:p>
        </w:tc>
        <w:tc>
          <w:tcPr>
            <w:tcW w:w="1260" w:type="dxa"/>
            <w:tcBorders>
              <w:top w:val="nil"/>
              <w:left w:val="nil"/>
              <w:bottom w:val="single" w:color="auto" w:sz="4" w:space="0"/>
              <w:right w:val="single" w:color="auto" w:sz="4" w:space="0"/>
            </w:tcBorders>
            <w:vAlign w:val="center"/>
          </w:tcPr>
          <w:p w14:paraId="4C433A6E">
            <w:pPr>
              <w:widowControl/>
              <w:jc w:val="center"/>
              <w:rPr>
                <w:rFonts w:hint="eastAsia" w:ascii="仿宋" w:hAnsi="仿宋" w:eastAsia="仿宋"/>
                <w:color w:val="000000"/>
                <w:szCs w:val="21"/>
              </w:rPr>
            </w:pPr>
            <w:r>
              <w:rPr>
                <w:rFonts w:hint="eastAsia" w:ascii="仿宋" w:hAnsi="仿宋" w:eastAsia="仿宋"/>
                <w:color w:val="000000"/>
                <w:szCs w:val="21"/>
              </w:rPr>
              <w:t>设备使用人员满意度（10分）</w:t>
            </w:r>
          </w:p>
        </w:tc>
        <w:tc>
          <w:tcPr>
            <w:tcW w:w="5594" w:type="dxa"/>
            <w:tcBorders>
              <w:top w:val="nil"/>
              <w:left w:val="nil"/>
              <w:bottom w:val="single" w:color="auto" w:sz="4" w:space="0"/>
              <w:right w:val="single" w:color="auto" w:sz="4" w:space="0"/>
            </w:tcBorders>
            <w:vAlign w:val="center"/>
          </w:tcPr>
          <w:p w14:paraId="4A255BA9">
            <w:pPr>
              <w:widowControl/>
              <w:jc w:val="left"/>
              <w:rPr>
                <w:rFonts w:hint="eastAsia" w:ascii="仿宋" w:hAnsi="仿宋" w:eastAsia="仿宋"/>
                <w:color w:val="000000"/>
                <w:szCs w:val="21"/>
              </w:rPr>
            </w:pPr>
            <w:r>
              <w:rPr>
                <w:rFonts w:hint="eastAsia" w:ascii="仿宋" w:hAnsi="仿宋" w:eastAsia="仿宋"/>
                <w:color w:val="000000"/>
                <w:szCs w:val="21"/>
              </w:rPr>
              <w:t>通过调查问卷对全市公立中小学满意度进行采集。根据采集的学校满意度，根据问卷答卷结果统计；</w:t>
            </w:r>
          </w:p>
          <w:p w14:paraId="163A4A19">
            <w:pPr>
              <w:widowControl/>
              <w:jc w:val="left"/>
              <w:rPr>
                <w:rFonts w:hint="eastAsia" w:ascii="仿宋" w:hAnsi="仿宋" w:eastAsia="仿宋"/>
                <w:color w:val="000000"/>
                <w:szCs w:val="21"/>
              </w:rPr>
            </w:pPr>
            <w:r>
              <w:rPr>
                <w:rFonts w:hint="eastAsia" w:ascii="仿宋" w:hAnsi="仿宋" w:eastAsia="仿宋"/>
                <w:color w:val="000000"/>
                <w:szCs w:val="21"/>
              </w:rPr>
              <w:t>得分=（满意人数/有效调查人数×100%）</w:t>
            </w:r>
            <w:r>
              <w:rPr>
                <w:rFonts w:ascii="仿宋" w:hAnsi="仿宋" w:eastAsia="仿宋"/>
                <w:color w:val="000000"/>
                <w:szCs w:val="21"/>
              </w:rPr>
              <w:t>×</w:t>
            </w:r>
            <w:r>
              <w:rPr>
                <w:rFonts w:hint="eastAsia" w:ascii="仿宋" w:hAnsi="仿宋" w:eastAsia="仿宋"/>
                <w:color w:val="000000"/>
                <w:szCs w:val="21"/>
              </w:rPr>
              <w:t>10分。</w:t>
            </w:r>
          </w:p>
        </w:tc>
      </w:tr>
    </w:tbl>
    <w:p w14:paraId="15ACA9C2">
      <w:pPr>
        <w:pStyle w:val="6"/>
        <w:numPr>
          <w:ilvl w:val="0"/>
          <w:numId w:val="0"/>
        </w:numPr>
        <w:tabs>
          <w:tab w:val="clear" w:pos="2040"/>
        </w:tabs>
      </w:pPr>
    </w:p>
    <w:p w14:paraId="1BF93E49">
      <w:pPr>
        <w:widowControl/>
        <w:jc w:val="left"/>
      </w:pPr>
      <w:r>
        <w:br w:type="page"/>
      </w:r>
    </w:p>
    <w:p w14:paraId="43D742F2">
      <w:pPr>
        <w:spacing w:line="360" w:lineRule="auto"/>
        <w:outlineLvl w:val="0"/>
        <w:rPr>
          <w:color w:val="000000"/>
          <w:szCs w:val="21"/>
        </w:rPr>
      </w:pPr>
      <w:bookmarkStart w:id="98" w:name="_Toc1021"/>
      <w:bookmarkStart w:id="99" w:name="_Toc184981083"/>
      <w:bookmarkStart w:id="100" w:name="_Toc184981321"/>
      <w:bookmarkStart w:id="101" w:name="_Toc205940251"/>
      <w:r>
        <w:rPr>
          <w:rFonts w:hint="eastAsia" w:ascii="仿宋" w:hAnsi="仿宋" w:eastAsia="仿宋" w:cs="仿宋"/>
          <w:b/>
          <w:bCs/>
          <w:sz w:val="28"/>
          <w:szCs w:val="28"/>
          <w:lang w:val="zh-CN"/>
        </w:rPr>
        <w:t>附录</w:t>
      </w:r>
      <w:r>
        <w:rPr>
          <w:rFonts w:hint="eastAsia" w:ascii="仿宋" w:hAnsi="仿宋" w:eastAsia="仿宋" w:cs="仿宋"/>
          <w:b/>
          <w:bCs/>
          <w:sz w:val="28"/>
          <w:szCs w:val="28"/>
        </w:rPr>
        <w:t xml:space="preserve">  </w:t>
      </w:r>
      <w:bookmarkEnd w:id="98"/>
      <w:bookmarkEnd w:id="99"/>
      <w:bookmarkEnd w:id="100"/>
      <w:r>
        <w:rPr>
          <w:rFonts w:hint="eastAsia" w:ascii="仿宋" w:hAnsi="仿宋" w:eastAsia="仿宋" w:cs="仿宋"/>
          <w:b/>
          <w:bCs/>
          <w:sz w:val="28"/>
          <w:szCs w:val="28"/>
          <w:lang w:val="zh-CN"/>
        </w:rPr>
        <w:t>2024年石狮市中小学班级多媒体教学设备全覆盖工程项目调查问卷</w:t>
      </w:r>
      <w:bookmarkEnd w:id="101"/>
    </w:p>
    <w:p w14:paraId="3430223E">
      <w:pPr>
        <w:rPr>
          <w:rFonts w:hint="eastAsia" w:ascii="宋体" w:hAnsi="宋体" w:eastAsia="宋体"/>
          <w:color w:val="0066FF"/>
          <w:szCs w:val="21"/>
        </w:rPr>
      </w:pPr>
      <w:r>
        <w:rPr>
          <w:rFonts w:ascii="宋体" w:hAnsi="宋体" w:eastAsia="宋体"/>
          <w:color w:val="000000"/>
          <w:szCs w:val="21"/>
        </w:rPr>
        <w:t>1</w:t>
      </w:r>
      <w:r>
        <w:rPr>
          <w:rFonts w:hint="eastAsia" w:ascii="宋体" w:hAnsi="宋体" w:eastAsia="宋体"/>
          <w:color w:val="000000"/>
          <w:szCs w:val="21"/>
        </w:rPr>
        <w:t>.</w:t>
      </w:r>
      <w:r>
        <w:rPr>
          <w:rFonts w:ascii="宋体" w:hAnsi="宋体" w:eastAsia="宋体"/>
          <w:color w:val="000000"/>
          <w:szCs w:val="21"/>
        </w:rPr>
        <w:t>学校名称:</w:t>
      </w:r>
      <w:r>
        <w:rPr>
          <w:color w:val="0066FF"/>
          <w:szCs w:val="21"/>
        </w:rPr>
        <w:t>[填空题]</w:t>
      </w:r>
    </w:p>
    <w:p w14:paraId="359E86AE">
      <w:pPr>
        <w:rPr>
          <w:szCs w:val="21"/>
        </w:rPr>
      </w:pPr>
    </w:p>
    <w:p w14:paraId="1DA1991B">
      <w:pPr>
        <w:rPr>
          <w:color w:val="0066FF"/>
          <w:szCs w:val="21"/>
        </w:rPr>
      </w:pPr>
      <w:r>
        <w:rPr>
          <w:color w:val="000000"/>
          <w:szCs w:val="21"/>
        </w:rPr>
        <w:t>2.办学类型:</w:t>
      </w:r>
      <w:r>
        <w:rPr>
          <w:color w:val="0066FF"/>
          <w:szCs w:val="21"/>
        </w:rPr>
        <w:t>[</w:t>
      </w:r>
      <w:r>
        <w:rPr>
          <w:rFonts w:hint="eastAsia"/>
          <w:color w:val="0066FF"/>
          <w:szCs w:val="21"/>
        </w:rPr>
        <w:t>单选题</w:t>
      </w:r>
      <w:r>
        <w:rPr>
          <w:color w:val="0066FF"/>
          <w:szCs w:val="21"/>
        </w:rPr>
        <w:t>]</w:t>
      </w:r>
    </w:p>
    <w:p w14:paraId="5B7B56C1">
      <w:pPr>
        <w:rPr>
          <w:color w:val="0066FF"/>
          <w:szCs w:val="21"/>
        </w:rPr>
      </w:pPr>
    </w:p>
    <w:tbl>
      <w:tblPr>
        <w:tblStyle w:val="13"/>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613"/>
        <w:gridCol w:w="756"/>
        <w:gridCol w:w="4521"/>
      </w:tblGrid>
      <w:tr w14:paraId="4F494079">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6000" w:type="dxa"/>
            <w:shd w:val="clear" w:color="auto" w:fill="F5F5F5"/>
            <w:vAlign w:val="center"/>
          </w:tcPr>
          <w:p w14:paraId="25BC21ED">
            <w:r>
              <w:t>选项</w:t>
            </w:r>
          </w:p>
        </w:tc>
        <w:tc>
          <w:tcPr>
            <w:tcW w:w="1000" w:type="dxa"/>
            <w:shd w:val="clear" w:color="auto" w:fill="F5F5F5"/>
            <w:vAlign w:val="center"/>
          </w:tcPr>
          <w:p w14:paraId="3D6E4595">
            <w:pPr>
              <w:jc w:val="center"/>
            </w:pPr>
            <w:r>
              <w:t>小计</w:t>
            </w:r>
          </w:p>
        </w:tc>
        <w:tc>
          <w:tcPr>
            <w:tcW w:w="6238" w:type="dxa"/>
            <w:shd w:val="clear" w:color="auto" w:fill="F5F5F5"/>
            <w:vAlign w:val="center"/>
          </w:tcPr>
          <w:p w14:paraId="4A703FB8">
            <w:r>
              <w:t>比例</w:t>
            </w:r>
          </w:p>
        </w:tc>
      </w:tr>
      <w:tr w14:paraId="4E12FDAA">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6000" w:type="dxa"/>
            <w:shd w:val="clear" w:color="auto" w:fill="FFFFFF"/>
            <w:vAlign w:val="center"/>
          </w:tcPr>
          <w:p w14:paraId="483B3880">
            <w:r>
              <w:t>小学</w:t>
            </w:r>
          </w:p>
        </w:tc>
        <w:tc>
          <w:tcPr>
            <w:tcW w:w="1000" w:type="dxa"/>
            <w:shd w:val="clear" w:color="auto" w:fill="FFFFFF"/>
            <w:vAlign w:val="center"/>
          </w:tcPr>
          <w:p w14:paraId="22F35879">
            <w:pPr>
              <w:jc w:val="center"/>
            </w:pPr>
            <w:r>
              <w:t>51</w:t>
            </w:r>
          </w:p>
        </w:tc>
        <w:tc>
          <w:tcPr>
            <w:tcW w:w="6238" w:type="dxa"/>
            <w:shd w:val="clear" w:color="auto" w:fill="FFFFFF"/>
            <w:vAlign w:val="center"/>
          </w:tcPr>
          <w:p w14:paraId="6C95E8DB">
            <w:r>
              <w:drawing>
                <wp:inline distT="0" distB="0" distL="0" distR="0">
                  <wp:extent cx="1057275" cy="114300"/>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9"/>
                          <a:stretch>
                            <a:fillRect/>
                          </a:stretch>
                        </pic:blipFill>
                        <pic:spPr>
                          <a:xfrm>
                            <a:off x="0" y="0"/>
                            <a:ext cx="1057423" cy="114316"/>
                          </a:xfrm>
                          <a:prstGeom prst="rect">
                            <a:avLst/>
                          </a:prstGeom>
                        </pic:spPr>
                      </pic:pic>
                    </a:graphicData>
                  </a:graphic>
                </wp:inline>
              </w:drawing>
            </w:r>
            <w:r>
              <w:drawing>
                <wp:inline distT="0" distB="0" distL="0" distR="0">
                  <wp:extent cx="295275" cy="114300"/>
                  <wp:effectExtent l="0" t="0" r="0" b="0"/>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10"/>
                          <a:stretch>
                            <a:fillRect/>
                          </a:stretch>
                        </pic:blipFill>
                        <pic:spPr>
                          <a:xfrm>
                            <a:off x="0" y="0"/>
                            <a:ext cx="295316" cy="114316"/>
                          </a:xfrm>
                          <a:prstGeom prst="rect">
                            <a:avLst/>
                          </a:prstGeom>
                        </pic:spPr>
                      </pic:pic>
                    </a:graphicData>
                  </a:graphic>
                </wp:inline>
              </w:drawing>
            </w:r>
            <w:r>
              <w:t>78.46%</w:t>
            </w:r>
          </w:p>
        </w:tc>
      </w:tr>
      <w:tr w14:paraId="398E5086">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6000" w:type="dxa"/>
            <w:shd w:val="clear" w:color="auto" w:fill="FAFAFA"/>
            <w:vAlign w:val="center"/>
          </w:tcPr>
          <w:p w14:paraId="499A3002">
            <w:r>
              <w:t>初中</w:t>
            </w:r>
          </w:p>
        </w:tc>
        <w:tc>
          <w:tcPr>
            <w:tcW w:w="1000" w:type="dxa"/>
            <w:shd w:val="clear" w:color="auto" w:fill="FAFAFA"/>
            <w:vAlign w:val="center"/>
          </w:tcPr>
          <w:p w14:paraId="3B30A0FB">
            <w:pPr>
              <w:jc w:val="center"/>
            </w:pPr>
            <w:r>
              <w:t>10</w:t>
            </w:r>
          </w:p>
        </w:tc>
        <w:tc>
          <w:tcPr>
            <w:tcW w:w="6238" w:type="dxa"/>
            <w:shd w:val="clear" w:color="auto" w:fill="FAFAFA"/>
            <w:vAlign w:val="center"/>
          </w:tcPr>
          <w:p w14:paraId="539C985F">
            <w:r>
              <w:drawing>
                <wp:inline distT="0" distB="0" distL="0" distR="0">
                  <wp:extent cx="200025" cy="1143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200053" cy="114316"/>
                          </a:xfrm>
                          <a:prstGeom prst="rect">
                            <a:avLst/>
                          </a:prstGeom>
                        </pic:spPr>
                      </pic:pic>
                    </a:graphicData>
                  </a:graphic>
                </wp:inline>
              </w:drawing>
            </w:r>
            <w:r>
              <w:drawing>
                <wp:inline distT="0" distB="0" distL="0" distR="0">
                  <wp:extent cx="1152525" cy="1143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2"/>
                          <a:stretch>
                            <a:fillRect/>
                          </a:stretch>
                        </pic:blipFill>
                        <pic:spPr>
                          <a:xfrm>
                            <a:off x="0" y="0"/>
                            <a:ext cx="1152686" cy="114316"/>
                          </a:xfrm>
                          <a:prstGeom prst="rect">
                            <a:avLst/>
                          </a:prstGeom>
                        </pic:spPr>
                      </pic:pic>
                    </a:graphicData>
                  </a:graphic>
                </wp:inline>
              </w:drawing>
            </w:r>
            <w:r>
              <w:t>15.38%</w:t>
            </w:r>
          </w:p>
        </w:tc>
      </w:tr>
      <w:tr w14:paraId="0780E1E1">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6000" w:type="dxa"/>
            <w:shd w:val="clear" w:color="auto" w:fill="FFFFFF"/>
            <w:vAlign w:val="center"/>
          </w:tcPr>
          <w:p w14:paraId="23B4009E">
            <w:r>
              <w:t>九年一贯制</w:t>
            </w:r>
          </w:p>
        </w:tc>
        <w:tc>
          <w:tcPr>
            <w:tcW w:w="1000" w:type="dxa"/>
            <w:shd w:val="clear" w:color="auto" w:fill="FFFFFF"/>
            <w:vAlign w:val="center"/>
          </w:tcPr>
          <w:p w14:paraId="4B88825E">
            <w:pPr>
              <w:jc w:val="center"/>
            </w:pPr>
            <w:r>
              <w:t>4</w:t>
            </w:r>
          </w:p>
        </w:tc>
        <w:tc>
          <w:tcPr>
            <w:tcW w:w="6238" w:type="dxa"/>
            <w:shd w:val="clear" w:color="auto" w:fill="FFFFFF"/>
            <w:vAlign w:val="center"/>
          </w:tcPr>
          <w:p w14:paraId="4EFE293D">
            <w:r>
              <w:drawing>
                <wp:inline distT="0" distB="0" distL="0" distR="0">
                  <wp:extent cx="76200" cy="1143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3"/>
                          <a:stretch>
                            <a:fillRect/>
                          </a:stretch>
                        </pic:blipFill>
                        <pic:spPr>
                          <a:xfrm>
                            <a:off x="0" y="0"/>
                            <a:ext cx="76211" cy="114316"/>
                          </a:xfrm>
                          <a:prstGeom prst="rect">
                            <a:avLst/>
                          </a:prstGeom>
                        </pic:spPr>
                      </pic:pic>
                    </a:graphicData>
                  </a:graphic>
                </wp:inline>
              </w:drawing>
            </w:r>
            <w:r>
              <w:drawing>
                <wp:inline distT="0" distB="0" distL="0" distR="0">
                  <wp:extent cx="1276350" cy="1143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4"/>
                          <a:stretch>
                            <a:fillRect/>
                          </a:stretch>
                        </pic:blipFill>
                        <pic:spPr>
                          <a:xfrm>
                            <a:off x="0" y="0"/>
                            <a:ext cx="1276528" cy="114316"/>
                          </a:xfrm>
                          <a:prstGeom prst="rect">
                            <a:avLst/>
                          </a:prstGeom>
                        </pic:spPr>
                      </pic:pic>
                    </a:graphicData>
                  </a:graphic>
                </wp:inline>
              </w:drawing>
            </w:r>
            <w:r>
              <w:t>6.15%</w:t>
            </w:r>
          </w:p>
        </w:tc>
      </w:tr>
      <w:tr w14:paraId="187BC2E8">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6000" w:type="dxa"/>
            <w:shd w:val="clear" w:color="auto" w:fill="F5F5F5"/>
            <w:vAlign w:val="center"/>
          </w:tcPr>
          <w:p w14:paraId="76662A9C">
            <w:r>
              <w:t>本题有效填写人次</w:t>
            </w:r>
          </w:p>
        </w:tc>
        <w:tc>
          <w:tcPr>
            <w:tcW w:w="1000" w:type="dxa"/>
            <w:shd w:val="clear" w:color="auto" w:fill="F5F5F5"/>
            <w:vAlign w:val="center"/>
          </w:tcPr>
          <w:p w14:paraId="487D9384">
            <w:pPr>
              <w:jc w:val="center"/>
            </w:pPr>
            <w:r>
              <w:t>65</w:t>
            </w:r>
          </w:p>
        </w:tc>
        <w:tc>
          <w:tcPr>
            <w:tcW w:w="6238" w:type="dxa"/>
            <w:shd w:val="clear" w:color="auto" w:fill="F5F5F5"/>
            <w:vAlign w:val="center"/>
          </w:tcPr>
          <w:p w14:paraId="1490F7B6"/>
        </w:tc>
      </w:tr>
    </w:tbl>
    <w:p w14:paraId="5EF10430">
      <w:pPr>
        <w:rPr>
          <w:szCs w:val="21"/>
        </w:rPr>
      </w:pPr>
    </w:p>
    <w:p w14:paraId="5F3A9155">
      <w:pPr>
        <w:rPr>
          <w:szCs w:val="21"/>
        </w:rPr>
      </w:pPr>
    </w:p>
    <w:p w14:paraId="64E6594C">
      <w:pPr>
        <w:rPr>
          <w:szCs w:val="21"/>
        </w:rPr>
      </w:pPr>
      <w:r>
        <w:rPr>
          <w:szCs w:val="21"/>
        </w:rPr>
        <w:t>3.</w:t>
      </w:r>
      <w:r>
        <w:rPr>
          <w:rFonts w:hint="eastAsia"/>
          <w:szCs w:val="21"/>
        </w:rPr>
        <w:t xml:space="preserve"> 班级总数</w:t>
      </w:r>
      <w:r>
        <w:rPr>
          <w:szCs w:val="21"/>
        </w:rPr>
        <w:t>:</w:t>
      </w:r>
      <w:r>
        <w:rPr>
          <w:szCs w:val="21"/>
          <w:u w:val="single"/>
        </w:rPr>
        <w:t>__</w:t>
      </w:r>
      <w:r>
        <w:rPr>
          <w:rFonts w:hint="eastAsia"/>
          <w:szCs w:val="21"/>
          <w:u w:val="single"/>
        </w:rPr>
        <w:t xml:space="preserve">/ </w:t>
      </w:r>
      <w:r>
        <w:rPr>
          <w:rFonts w:hint="eastAsia"/>
          <w:szCs w:val="21"/>
        </w:rPr>
        <w:t>个</w:t>
      </w:r>
      <w:r>
        <w:rPr>
          <w:color w:val="0066FF"/>
          <w:szCs w:val="21"/>
        </w:rPr>
        <w:t>[</w:t>
      </w:r>
      <w:r>
        <w:rPr>
          <w:rFonts w:hint="eastAsia"/>
          <w:color w:val="0066FF"/>
          <w:szCs w:val="21"/>
        </w:rPr>
        <w:t>填空题</w:t>
      </w:r>
      <w:r>
        <w:rPr>
          <w:color w:val="0066FF"/>
          <w:szCs w:val="21"/>
        </w:rPr>
        <w:t>]</w:t>
      </w:r>
    </w:p>
    <w:p w14:paraId="73FC9644">
      <w:pPr>
        <w:rPr>
          <w:szCs w:val="21"/>
        </w:rPr>
      </w:pPr>
    </w:p>
    <w:p w14:paraId="3C1DB0DB">
      <w:pPr>
        <w:rPr>
          <w:szCs w:val="21"/>
        </w:rPr>
      </w:pPr>
      <w:r>
        <w:rPr>
          <w:szCs w:val="21"/>
        </w:rPr>
        <w:t>4.</w:t>
      </w:r>
      <w:r>
        <w:rPr>
          <w:rFonts w:hint="eastAsia"/>
          <w:szCs w:val="21"/>
        </w:rPr>
        <w:t xml:space="preserve"> 学生总数</w:t>
      </w:r>
      <w:r>
        <w:rPr>
          <w:szCs w:val="21"/>
        </w:rPr>
        <w:t>:</w:t>
      </w:r>
      <w:r>
        <w:rPr>
          <w:szCs w:val="21"/>
          <w:u w:val="single"/>
        </w:rPr>
        <w:t>__</w:t>
      </w:r>
      <w:r>
        <w:rPr>
          <w:rFonts w:hint="eastAsia"/>
          <w:szCs w:val="21"/>
          <w:u w:val="single"/>
        </w:rPr>
        <w:t>/</w:t>
      </w:r>
      <w:r>
        <w:rPr>
          <w:szCs w:val="21"/>
          <w:u w:val="single"/>
        </w:rPr>
        <w:t>__</w:t>
      </w:r>
      <w:r>
        <w:rPr>
          <w:rFonts w:hint="eastAsia"/>
          <w:szCs w:val="21"/>
        </w:rPr>
        <w:t xml:space="preserve">人 </w:t>
      </w:r>
      <w:r>
        <w:rPr>
          <w:color w:val="0066FF"/>
          <w:szCs w:val="21"/>
        </w:rPr>
        <w:t>[</w:t>
      </w:r>
      <w:r>
        <w:rPr>
          <w:rFonts w:hint="eastAsia"/>
          <w:color w:val="0066FF"/>
          <w:szCs w:val="21"/>
        </w:rPr>
        <w:t>填空题</w:t>
      </w:r>
      <w:r>
        <w:rPr>
          <w:color w:val="0066FF"/>
          <w:szCs w:val="21"/>
        </w:rPr>
        <w:t>]</w:t>
      </w:r>
    </w:p>
    <w:p w14:paraId="5A1688AA">
      <w:pPr>
        <w:rPr>
          <w:szCs w:val="21"/>
        </w:rPr>
      </w:pPr>
    </w:p>
    <w:p w14:paraId="2D85CA0F">
      <w:pPr>
        <w:rPr>
          <w:szCs w:val="21"/>
        </w:rPr>
      </w:pPr>
      <w:r>
        <w:rPr>
          <w:szCs w:val="21"/>
        </w:rPr>
        <w:t>5.</w:t>
      </w:r>
      <w:r>
        <w:rPr>
          <w:rFonts w:hint="eastAsia"/>
          <w:szCs w:val="21"/>
        </w:rPr>
        <w:t>全校班级多媒体教学设备覆盖情况：已配备多媒体设备班级数：</w:t>
      </w:r>
      <w:r>
        <w:rPr>
          <w:szCs w:val="21"/>
          <w:u w:val="single"/>
        </w:rPr>
        <w:t>__</w:t>
      </w:r>
      <w:r>
        <w:rPr>
          <w:rFonts w:hint="eastAsia"/>
          <w:szCs w:val="21"/>
          <w:u w:val="single"/>
        </w:rPr>
        <w:t>/</w:t>
      </w:r>
      <w:r>
        <w:rPr>
          <w:szCs w:val="21"/>
          <w:u w:val="single"/>
        </w:rPr>
        <w:t>___</w:t>
      </w:r>
      <w:r>
        <w:rPr>
          <w:rFonts w:hint="eastAsia"/>
          <w:szCs w:val="21"/>
        </w:rPr>
        <w:t>个，未覆盖班级数：</w:t>
      </w:r>
      <w:r>
        <w:rPr>
          <w:szCs w:val="21"/>
        </w:rPr>
        <w:t>__</w:t>
      </w:r>
      <w:r>
        <w:rPr>
          <w:szCs w:val="21"/>
          <w:u w:val="single"/>
        </w:rPr>
        <w:t>_</w:t>
      </w:r>
      <w:r>
        <w:rPr>
          <w:rFonts w:hint="eastAsia"/>
          <w:szCs w:val="21"/>
          <w:u w:val="single"/>
        </w:rPr>
        <w:t>/</w:t>
      </w:r>
      <w:r>
        <w:rPr>
          <w:szCs w:val="21"/>
          <w:u w:val="single"/>
        </w:rPr>
        <w:t>__</w:t>
      </w:r>
      <w:r>
        <w:rPr>
          <w:rFonts w:hint="eastAsia"/>
          <w:szCs w:val="21"/>
        </w:rPr>
        <w:t>个，未覆盖原因（如未覆盖班级数为</w:t>
      </w:r>
      <w:r>
        <w:rPr>
          <w:szCs w:val="21"/>
        </w:rPr>
        <w:t>0</w:t>
      </w:r>
      <w:r>
        <w:rPr>
          <w:rFonts w:hint="eastAsia"/>
          <w:szCs w:val="21"/>
        </w:rPr>
        <w:t>请填</w:t>
      </w:r>
      <w:r>
        <w:rPr>
          <w:szCs w:val="21"/>
        </w:rPr>
        <w:t>“</w:t>
      </w:r>
      <w:r>
        <w:rPr>
          <w:rFonts w:hint="eastAsia"/>
          <w:szCs w:val="21"/>
        </w:rPr>
        <w:t>无</w:t>
      </w:r>
      <w:r>
        <w:rPr>
          <w:szCs w:val="21"/>
        </w:rPr>
        <w:t>”</w:t>
      </w:r>
      <w:r>
        <w:rPr>
          <w:rFonts w:hint="eastAsia"/>
          <w:szCs w:val="21"/>
        </w:rPr>
        <w:t>）：</w:t>
      </w:r>
      <w:r>
        <w:rPr>
          <w:szCs w:val="21"/>
        </w:rPr>
        <w:t>_</w:t>
      </w:r>
      <w:r>
        <w:rPr>
          <w:szCs w:val="21"/>
          <w:u w:val="single"/>
        </w:rPr>
        <w:t>___</w:t>
      </w:r>
      <w:r>
        <w:rPr>
          <w:rFonts w:hint="eastAsia"/>
          <w:szCs w:val="21"/>
          <w:u w:val="single"/>
        </w:rPr>
        <w:t>/</w:t>
      </w:r>
      <w:r>
        <w:rPr>
          <w:szCs w:val="21"/>
          <w:u w:val="single"/>
        </w:rPr>
        <w:t>__</w:t>
      </w:r>
      <w:r>
        <w:rPr>
          <w:rFonts w:hint="eastAsia"/>
          <w:szCs w:val="21"/>
        </w:rPr>
        <w:t>。</w:t>
      </w:r>
      <w:r>
        <w:rPr>
          <w:color w:val="0066FF"/>
          <w:szCs w:val="21"/>
        </w:rPr>
        <w:t>[</w:t>
      </w:r>
      <w:r>
        <w:rPr>
          <w:rFonts w:hint="eastAsia"/>
          <w:color w:val="0066FF"/>
          <w:szCs w:val="21"/>
        </w:rPr>
        <w:t>填空题</w:t>
      </w:r>
      <w:r>
        <w:rPr>
          <w:color w:val="0066FF"/>
          <w:szCs w:val="21"/>
        </w:rPr>
        <w:t>]</w:t>
      </w:r>
    </w:p>
    <w:p w14:paraId="00A5754C">
      <w:pPr>
        <w:rPr>
          <w:szCs w:val="21"/>
        </w:rPr>
      </w:pPr>
    </w:p>
    <w:p w14:paraId="6691A1E6">
      <w:pPr>
        <w:rPr>
          <w:szCs w:val="21"/>
        </w:rPr>
      </w:pPr>
    </w:p>
    <w:p w14:paraId="7BFCE4B8">
      <w:pPr>
        <w:rPr>
          <w:szCs w:val="21"/>
        </w:rPr>
      </w:pPr>
      <w:r>
        <w:rPr>
          <w:szCs w:val="21"/>
        </w:rPr>
        <w:t>6.</w:t>
      </w:r>
      <w:r>
        <w:rPr>
          <w:rFonts w:hint="eastAsia"/>
          <w:szCs w:val="21"/>
        </w:rPr>
        <w:t>贵校在</w:t>
      </w:r>
      <w:r>
        <w:rPr>
          <w:szCs w:val="21"/>
        </w:rPr>
        <w:t>2024</w:t>
      </w:r>
      <w:r>
        <w:rPr>
          <w:rFonts w:hint="eastAsia"/>
          <w:szCs w:val="21"/>
        </w:rPr>
        <w:t>年是否通过财政补助安装更换希沃多媒体教学设备</w:t>
      </w:r>
      <w:r>
        <w:rPr>
          <w:szCs w:val="21"/>
        </w:rPr>
        <w:t>?</w:t>
      </w:r>
      <w:r>
        <w:rPr>
          <w:color w:val="0066FF"/>
          <w:szCs w:val="21"/>
        </w:rPr>
        <w:t>[</w:t>
      </w:r>
      <w:r>
        <w:rPr>
          <w:rFonts w:hint="eastAsia"/>
          <w:color w:val="0066FF"/>
          <w:szCs w:val="21"/>
        </w:rPr>
        <w:t>单选题</w:t>
      </w:r>
      <w:r>
        <w:rPr>
          <w:color w:val="0066FF"/>
          <w:szCs w:val="21"/>
        </w:rPr>
        <w:t>]</w:t>
      </w:r>
    </w:p>
    <w:p w14:paraId="2FDF6F4A">
      <w:pPr>
        <w:rPr>
          <w:szCs w:val="21"/>
        </w:rPr>
      </w:pPr>
    </w:p>
    <w:tbl>
      <w:tblPr>
        <w:tblStyle w:val="13"/>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772"/>
        <w:gridCol w:w="772"/>
        <w:gridCol w:w="4346"/>
      </w:tblGrid>
      <w:tr w14:paraId="7C161E49">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6000" w:type="dxa"/>
            <w:shd w:val="clear" w:color="auto" w:fill="F5F5F5"/>
            <w:vAlign w:val="center"/>
          </w:tcPr>
          <w:p w14:paraId="29BD3AE2">
            <w:r>
              <w:t>选项</w:t>
            </w:r>
          </w:p>
        </w:tc>
        <w:tc>
          <w:tcPr>
            <w:tcW w:w="1000" w:type="dxa"/>
            <w:shd w:val="clear" w:color="auto" w:fill="F5F5F5"/>
            <w:vAlign w:val="center"/>
          </w:tcPr>
          <w:p w14:paraId="5B88B123">
            <w:pPr>
              <w:jc w:val="center"/>
            </w:pPr>
            <w:r>
              <w:t>小计</w:t>
            </w:r>
          </w:p>
        </w:tc>
        <w:tc>
          <w:tcPr>
            <w:tcW w:w="6238" w:type="dxa"/>
            <w:shd w:val="clear" w:color="auto" w:fill="F5F5F5"/>
            <w:vAlign w:val="center"/>
          </w:tcPr>
          <w:p w14:paraId="26007F08">
            <w:r>
              <w:t>比例</w:t>
            </w:r>
          </w:p>
        </w:tc>
      </w:tr>
      <w:tr w14:paraId="00EC676C">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6000" w:type="dxa"/>
            <w:shd w:val="clear" w:color="auto" w:fill="FFFFFF"/>
            <w:vAlign w:val="center"/>
          </w:tcPr>
          <w:p w14:paraId="7794C230">
            <w:r>
              <w:t>是</w:t>
            </w:r>
          </w:p>
        </w:tc>
        <w:tc>
          <w:tcPr>
            <w:tcW w:w="1000" w:type="dxa"/>
            <w:shd w:val="clear" w:color="auto" w:fill="FFFFFF"/>
            <w:vAlign w:val="center"/>
          </w:tcPr>
          <w:p w14:paraId="20EAAC64">
            <w:pPr>
              <w:jc w:val="center"/>
            </w:pPr>
            <w:r>
              <w:t>39</w:t>
            </w:r>
          </w:p>
        </w:tc>
        <w:tc>
          <w:tcPr>
            <w:tcW w:w="6238" w:type="dxa"/>
            <w:shd w:val="clear" w:color="auto" w:fill="FFFFFF"/>
            <w:vAlign w:val="center"/>
          </w:tcPr>
          <w:p w14:paraId="65E44308">
            <w:r>
              <w:drawing>
                <wp:inline distT="0" distB="0" distL="0" distR="0">
                  <wp:extent cx="809625" cy="1143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5"/>
                          <a:stretch>
                            <a:fillRect/>
                          </a:stretch>
                        </pic:blipFill>
                        <pic:spPr>
                          <a:xfrm>
                            <a:off x="0" y="0"/>
                            <a:ext cx="809738" cy="114316"/>
                          </a:xfrm>
                          <a:prstGeom prst="rect">
                            <a:avLst/>
                          </a:prstGeom>
                        </pic:spPr>
                      </pic:pic>
                    </a:graphicData>
                  </a:graphic>
                </wp:inline>
              </w:drawing>
            </w:r>
            <w:r>
              <w:drawing>
                <wp:inline distT="0" distB="0" distL="0" distR="0">
                  <wp:extent cx="542925" cy="1143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6"/>
                          <a:stretch>
                            <a:fillRect/>
                          </a:stretch>
                        </pic:blipFill>
                        <pic:spPr>
                          <a:xfrm>
                            <a:off x="0" y="0"/>
                            <a:ext cx="543001" cy="114316"/>
                          </a:xfrm>
                          <a:prstGeom prst="rect">
                            <a:avLst/>
                          </a:prstGeom>
                        </pic:spPr>
                      </pic:pic>
                    </a:graphicData>
                  </a:graphic>
                </wp:inline>
              </w:drawing>
            </w:r>
            <w:r>
              <w:t>60%</w:t>
            </w:r>
          </w:p>
        </w:tc>
      </w:tr>
      <w:tr w14:paraId="03560BE7">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6000" w:type="dxa"/>
            <w:shd w:val="clear" w:color="auto" w:fill="FAFAFA"/>
            <w:vAlign w:val="center"/>
          </w:tcPr>
          <w:p w14:paraId="084841BA">
            <w:r>
              <w:t>否</w:t>
            </w:r>
          </w:p>
        </w:tc>
        <w:tc>
          <w:tcPr>
            <w:tcW w:w="1000" w:type="dxa"/>
            <w:shd w:val="clear" w:color="auto" w:fill="FAFAFA"/>
            <w:vAlign w:val="center"/>
          </w:tcPr>
          <w:p w14:paraId="570E257B">
            <w:pPr>
              <w:jc w:val="center"/>
            </w:pPr>
            <w:r>
              <w:t>26</w:t>
            </w:r>
          </w:p>
        </w:tc>
        <w:tc>
          <w:tcPr>
            <w:tcW w:w="6238" w:type="dxa"/>
            <w:shd w:val="clear" w:color="auto" w:fill="FAFAFA"/>
            <w:vAlign w:val="center"/>
          </w:tcPr>
          <w:p w14:paraId="54C0CBC4">
            <w:r>
              <w:drawing>
                <wp:inline distT="0" distB="0" distL="0" distR="0">
                  <wp:extent cx="533400" cy="1143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7"/>
                          <a:stretch>
                            <a:fillRect/>
                          </a:stretch>
                        </pic:blipFill>
                        <pic:spPr>
                          <a:xfrm>
                            <a:off x="0" y="0"/>
                            <a:ext cx="533474" cy="114316"/>
                          </a:xfrm>
                          <a:prstGeom prst="rect">
                            <a:avLst/>
                          </a:prstGeom>
                        </pic:spPr>
                      </pic:pic>
                    </a:graphicData>
                  </a:graphic>
                </wp:inline>
              </w:drawing>
            </w:r>
            <w:r>
              <w:drawing>
                <wp:inline distT="0" distB="0" distL="0" distR="0">
                  <wp:extent cx="819150" cy="1143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8"/>
                          <a:stretch>
                            <a:fillRect/>
                          </a:stretch>
                        </pic:blipFill>
                        <pic:spPr>
                          <a:xfrm>
                            <a:off x="0" y="0"/>
                            <a:ext cx="819264" cy="114316"/>
                          </a:xfrm>
                          <a:prstGeom prst="rect">
                            <a:avLst/>
                          </a:prstGeom>
                        </pic:spPr>
                      </pic:pic>
                    </a:graphicData>
                  </a:graphic>
                </wp:inline>
              </w:drawing>
            </w:r>
            <w:r>
              <w:t>40%</w:t>
            </w:r>
          </w:p>
        </w:tc>
      </w:tr>
      <w:tr w14:paraId="5BAF2D76">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6000" w:type="dxa"/>
            <w:shd w:val="clear" w:color="auto" w:fill="F5F5F5"/>
            <w:vAlign w:val="center"/>
          </w:tcPr>
          <w:p w14:paraId="17134D66">
            <w:r>
              <w:t>本题有效填写人次</w:t>
            </w:r>
          </w:p>
        </w:tc>
        <w:tc>
          <w:tcPr>
            <w:tcW w:w="1000" w:type="dxa"/>
            <w:shd w:val="clear" w:color="auto" w:fill="F5F5F5"/>
            <w:vAlign w:val="center"/>
          </w:tcPr>
          <w:p w14:paraId="5A8D0989">
            <w:pPr>
              <w:jc w:val="center"/>
            </w:pPr>
            <w:r>
              <w:t>65</w:t>
            </w:r>
          </w:p>
        </w:tc>
        <w:tc>
          <w:tcPr>
            <w:tcW w:w="6238" w:type="dxa"/>
            <w:shd w:val="clear" w:color="auto" w:fill="F5F5F5"/>
            <w:vAlign w:val="center"/>
          </w:tcPr>
          <w:p w14:paraId="6FB3B18C"/>
        </w:tc>
      </w:tr>
    </w:tbl>
    <w:p w14:paraId="6A6FED65">
      <w:pPr>
        <w:rPr>
          <w:szCs w:val="21"/>
        </w:rPr>
      </w:pPr>
    </w:p>
    <w:p w14:paraId="62F31A40">
      <w:pPr>
        <w:rPr>
          <w:szCs w:val="21"/>
        </w:rPr>
      </w:pPr>
    </w:p>
    <w:p w14:paraId="2342EBEF">
      <w:pPr>
        <w:rPr>
          <w:szCs w:val="21"/>
        </w:rPr>
      </w:pPr>
    </w:p>
    <w:p w14:paraId="5961EBC4">
      <w:pPr>
        <w:rPr>
          <w:color w:val="000000"/>
          <w:szCs w:val="21"/>
        </w:rPr>
      </w:pPr>
      <w:r>
        <w:rPr>
          <w:color w:val="000000"/>
          <w:szCs w:val="21"/>
        </w:rPr>
        <w:t>7.2024</w:t>
      </w:r>
      <w:r>
        <w:rPr>
          <w:rFonts w:hint="eastAsia"/>
          <w:color w:val="000000"/>
          <w:szCs w:val="21"/>
        </w:rPr>
        <w:t>年财政补助安装更换的新设备使用过程中是否遇到问题</w:t>
      </w:r>
      <w:r>
        <w:rPr>
          <w:color w:val="000000"/>
          <w:szCs w:val="21"/>
        </w:rPr>
        <w:t>?</w:t>
      </w:r>
      <w:r>
        <w:rPr>
          <w:color w:val="0066FF"/>
          <w:szCs w:val="21"/>
        </w:rPr>
        <w:t>[</w:t>
      </w:r>
      <w:r>
        <w:rPr>
          <w:rFonts w:hint="eastAsia"/>
          <w:color w:val="0066FF"/>
          <w:szCs w:val="21"/>
        </w:rPr>
        <w:t>多选题</w:t>
      </w:r>
      <w:r>
        <w:rPr>
          <w:color w:val="0066FF"/>
          <w:szCs w:val="21"/>
        </w:rPr>
        <w:t>]</w:t>
      </w:r>
    </w:p>
    <w:p w14:paraId="1C9EA408">
      <w:pPr>
        <w:rPr>
          <w:color w:val="000000"/>
          <w:szCs w:val="21"/>
        </w:rPr>
      </w:pPr>
    </w:p>
    <w:tbl>
      <w:tblPr>
        <w:tblStyle w:val="13"/>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596"/>
        <w:gridCol w:w="754"/>
        <w:gridCol w:w="4540"/>
      </w:tblGrid>
      <w:tr w14:paraId="006177B9">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6000" w:type="dxa"/>
            <w:shd w:val="clear" w:color="auto" w:fill="F5F5F5"/>
            <w:vAlign w:val="center"/>
          </w:tcPr>
          <w:p w14:paraId="0D079AFB">
            <w:r>
              <w:t>选项</w:t>
            </w:r>
          </w:p>
        </w:tc>
        <w:tc>
          <w:tcPr>
            <w:tcW w:w="1000" w:type="dxa"/>
            <w:shd w:val="clear" w:color="auto" w:fill="F5F5F5"/>
            <w:vAlign w:val="center"/>
          </w:tcPr>
          <w:p w14:paraId="77D13B03">
            <w:pPr>
              <w:jc w:val="center"/>
            </w:pPr>
            <w:r>
              <w:t>小计</w:t>
            </w:r>
          </w:p>
        </w:tc>
        <w:tc>
          <w:tcPr>
            <w:tcW w:w="6238" w:type="dxa"/>
            <w:shd w:val="clear" w:color="auto" w:fill="F5F5F5"/>
            <w:vAlign w:val="center"/>
          </w:tcPr>
          <w:p w14:paraId="30D1EC42">
            <w:r>
              <w:t>比例</w:t>
            </w:r>
          </w:p>
        </w:tc>
      </w:tr>
      <w:tr w14:paraId="2B1C322B">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6000" w:type="dxa"/>
            <w:shd w:val="clear" w:color="auto" w:fill="FFFFFF"/>
            <w:vAlign w:val="center"/>
          </w:tcPr>
          <w:p w14:paraId="363A9C38">
            <w:r>
              <w:t>无问题</w:t>
            </w:r>
          </w:p>
        </w:tc>
        <w:tc>
          <w:tcPr>
            <w:tcW w:w="1000" w:type="dxa"/>
            <w:shd w:val="clear" w:color="auto" w:fill="FFFFFF"/>
            <w:vAlign w:val="center"/>
          </w:tcPr>
          <w:p w14:paraId="0187EA0A">
            <w:pPr>
              <w:jc w:val="center"/>
            </w:pPr>
            <w:r>
              <w:t>22</w:t>
            </w:r>
          </w:p>
        </w:tc>
        <w:tc>
          <w:tcPr>
            <w:tcW w:w="6238" w:type="dxa"/>
            <w:shd w:val="clear" w:color="auto" w:fill="FFFFFF"/>
            <w:vAlign w:val="center"/>
          </w:tcPr>
          <w:p w14:paraId="562A2D64">
            <w:r>
              <w:drawing>
                <wp:inline distT="0" distB="0" distL="0" distR="0">
                  <wp:extent cx="762000" cy="1143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9"/>
                          <a:stretch>
                            <a:fillRect/>
                          </a:stretch>
                        </pic:blipFill>
                        <pic:spPr>
                          <a:xfrm>
                            <a:off x="0" y="0"/>
                            <a:ext cx="762106" cy="114316"/>
                          </a:xfrm>
                          <a:prstGeom prst="rect">
                            <a:avLst/>
                          </a:prstGeom>
                        </pic:spPr>
                      </pic:pic>
                    </a:graphicData>
                  </a:graphic>
                </wp:inline>
              </w:drawing>
            </w:r>
            <w:r>
              <w:drawing>
                <wp:inline distT="0" distB="0" distL="0" distR="0">
                  <wp:extent cx="590550" cy="114300"/>
                  <wp:effectExtent l="0" t="0" r="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20"/>
                          <a:stretch>
                            <a:fillRect/>
                          </a:stretch>
                        </pic:blipFill>
                        <pic:spPr>
                          <a:xfrm>
                            <a:off x="0" y="0"/>
                            <a:ext cx="590632" cy="114316"/>
                          </a:xfrm>
                          <a:prstGeom prst="rect">
                            <a:avLst/>
                          </a:prstGeom>
                        </pic:spPr>
                      </pic:pic>
                    </a:graphicData>
                  </a:graphic>
                </wp:inline>
              </w:drawing>
            </w:r>
            <w:r>
              <w:t>56.41%</w:t>
            </w:r>
          </w:p>
        </w:tc>
      </w:tr>
      <w:tr w14:paraId="2DF47354">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6000" w:type="dxa"/>
            <w:shd w:val="clear" w:color="auto" w:fill="FAFAFA"/>
            <w:vAlign w:val="center"/>
          </w:tcPr>
          <w:p w14:paraId="73BD5C95">
            <w:r>
              <w:t>硬件故障</w:t>
            </w:r>
          </w:p>
        </w:tc>
        <w:tc>
          <w:tcPr>
            <w:tcW w:w="1000" w:type="dxa"/>
            <w:shd w:val="clear" w:color="auto" w:fill="FAFAFA"/>
            <w:vAlign w:val="center"/>
          </w:tcPr>
          <w:p w14:paraId="4295AC7A">
            <w:pPr>
              <w:jc w:val="center"/>
            </w:pPr>
            <w:r>
              <w:t>1</w:t>
            </w:r>
          </w:p>
        </w:tc>
        <w:tc>
          <w:tcPr>
            <w:tcW w:w="6238" w:type="dxa"/>
            <w:shd w:val="clear" w:color="auto" w:fill="FAFAFA"/>
            <w:vAlign w:val="center"/>
          </w:tcPr>
          <w:p w14:paraId="030690FA">
            <w:r>
              <w:drawing>
                <wp:inline distT="0" distB="0" distL="0" distR="0">
                  <wp:extent cx="28575" cy="1143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21"/>
                          <a:stretch>
                            <a:fillRect/>
                          </a:stretch>
                        </pic:blipFill>
                        <pic:spPr>
                          <a:xfrm>
                            <a:off x="0" y="0"/>
                            <a:ext cx="28579" cy="114316"/>
                          </a:xfrm>
                          <a:prstGeom prst="rect">
                            <a:avLst/>
                          </a:prstGeom>
                        </pic:spPr>
                      </pic:pic>
                    </a:graphicData>
                  </a:graphic>
                </wp:inline>
              </w:drawing>
            </w:r>
            <w:r>
              <w:drawing>
                <wp:inline distT="0" distB="0" distL="0" distR="0">
                  <wp:extent cx="1323975" cy="114300"/>
                  <wp:effectExtent l="0" t="0" r="0"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22"/>
                          <a:stretch>
                            <a:fillRect/>
                          </a:stretch>
                        </pic:blipFill>
                        <pic:spPr>
                          <a:xfrm>
                            <a:off x="0" y="0"/>
                            <a:ext cx="1324160" cy="114316"/>
                          </a:xfrm>
                          <a:prstGeom prst="rect">
                            <a:avLst/>
                          </a:prstGeom>
                        </pic:spPr>
                      </pic:pic>
                    </a:graphicData>
                  </a:graphic>
                </wp:inline>
              </w:drawing>
            </w:r>
            <w:r>
              <w:t>2.56%</w:t>
            </w:r>
          </w:p>
        </w:tc>
      </w:tr>
      <w:tr w14:paraId="67A379DC">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6000" w:type="dxa"/>
            <w:shd w:val="clear" w:color="auto" w:fill="FFFFFF"/>
            <w:vAlign w:val="center"/>
          </w:tcPr>
          <w:p w14:paraId="15F93350">
            <w:r>
              <w:t>软件故障</w:t>
            </w:r>
          </w:p>
        </w:tc>
        <w:tc>
          <w:tcPr>
            <w:tcW w:w="1000" w:type="dxa"/>
            <w:shd w:val="clear" w:color="auto" w:fill="FFFFFF"/>
            <w:vAlign w:val="center"/>
          </w:tcPr>
          <w:p w14:paraId="14324DB8">
            <w:pPr>
              <w:jc w:val="center"/>
            </w:pPr>
            <w:r>
              <w:t>12</w:t>
            </w:r>
          </w:p>
        </w:tc>
        <w:tc>
          <w:tcPr>
            <w:tcW w:w="6238" w:type="dxa"/>
            <w:shd w:val="clear" w:color="auto" w:fill="FFFFFF"/>
            <w:vAlign w:val="center"/>
          </w:tcPr>
          <w:p w14:paraId="68DC5486">
            <w:r>
              <w:drawing>
                <wp:inline distT="0" distB="0" distL="0" distR="0">
                  <wp:extent cx="409575" cy="1143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23"/>
                          <a:stretch>
                            <a:fillRect/>
                          </a:stretch>
                        </pic:blipFill>
                        <pic:spPr>
                          <a:xfrm>
                            <a:off x="0" y="0"/>
                            <a:ext cx="409632" cy="114316"/>
                          </a:xfrm>
                          <a:prstGeom prst="rect">
                            <a:avLst/>
                          </a:prstGeom>
                        </pic:spPr>
                      </pic:pic>
                    </a:graphicData>
                  </a:graphic>
                </wp:inline>
              </w:drawing>
            </w:r>
            <w:r>
              <w:drawing>
                <wp:inline distT="0" distB="0" distL="0" distR="0">
                  <wp:extent cx="942975" cy="114300"/>
                  <wp:effectExtent l="0" t="0" r="0"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24"/>
                          <a:stretch>
                            <a:fillRect/>
                          </a:stretch>
                        </pic:blipFill>
                        <pic:spPr>
                          <a:xfrm>
                            <a:off x="0" y="0"/>
                            <a:ext cx="943107" cy="114316"/>
                          </a:xfrm>
                          <a:prstGeom prst="rect">
                            <a:avLst/>
                          </a:prstGeom>
                        </pic:spPr>
                      </pic:pic>
                    </a:graphicData>
                  </a:graphic>
                </wp:inline>
              </w:drawing>
            </w:r>
            <w:r>
              <w:t>30.77%</w:t>
            </w:r>
          </w:p>
        </w:tc>
      </w:tr>
      <w:tr w14:paraId="148AC272">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6000" w:type="dxa"/>
            <w:shd w:val="clear" w:color="auto" w:fill="FAFAFA"/>
            <w:vAlign w:val="center"/>
          </w:tcPr>
          <w:p w14:paraId="0586DD51">
            <w:r>
              <w:t>操作复杂</w:t>
            </w:r>
          </w:p>
        </w:tc>
        <w:tc>
          <w:tcPr>
            <w:tcW w:w="1000" w:type="dxa"/>
            <w:shd w:val="clear" w:color="auto" w:fill="FAFAFA"/>
            <w:vAlign w:val="center"/>
          </w:tcPr>
          <w:p w14:paraId="21E53196">
            <w:pPr>
              <w:jc w:val="center"/>
            </w:pPr>
            <w:r>
              <w:t>5</w:t>
            </w:r>
          </w:p>
        </w:tc>
        <w:tc>
          <w:tcPr>
            <w:tcW w:w="6238" w:type="dxa"/>
            <w:shd w:val="clear" w:color="auto" w:fill="FAFAFA"/>
            <w:vAlign w:val="center"/>
          </w:tcPr>
          <w:p w14:paraId="70AC1411">
            <w:r>
              <w:drawing>
                <wp:inline distT="0" distB="0" distL="0" distR="0">
                  <wp:extent cx="171450" cy="1143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25"/>
                          <a:stretch>
                            <a:fillRect/>
                          </a:stretch>
                        </pic:blipFill>
                        <pic:spPr>
                          <a:xfrm>
                            <a:off x="0" y="0"/>
                            <a:ext cx="171474" cy="114316"/>
                          </a:xfrm>
                          <a:prstGeom prst="rect">
                            <a:avLst/>
                          </a:prstGeom>
                        </pic:spPr>
                      </pic:pic>
                    </a:graphicData>
                  </a:graphic>
                </wp:inline>
              </w:drawing>
            </w:r>
            <w:r>
              <w:drawing>
                <wp:inline distT="0" distB="0" distL="0" distR="0">
                  <wp:extent cx="1181100" cy="114300"/>
                  <wp:effectExtent l="0" t="0" r="0" b="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26"/>
                          <a:stretch>
                            <a:fillRect/>
                          </a:stretch>
                        </pic:blipFill>
                        <pic:spPr>
                          <a:xfrm>
                            <a:off x="0" y="0"/>
                            <a:ext cx="1181265" cy="114316"/>
                          </a:xfrm>
                          <a:prstGeom prst="rect">
                            <a:avLst/>
                          </a:prstGeom>
                        </pic:spPr>
                      </pic:pic>
                    </a:graphicData>
                  </a:graphic>
                </wp:inline>
              </w:drawing>
            </w:r>
            <w:r>
              <w:t>12.82%</w:t>
            </w:r>
          </w:p>
        </w:tc>
      </w:tr>
      <w:tr w14:paraId="468F4A75">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6000" w:type="dxa"/>
            <w:shd w:val="clear" w:color="auto" w:fill="FFFFFF"/>
            <w:vAlign w:val="center"/>
          </w:tcPr>
          <w:p w14:paraId="2A52430B">
            <w:r>
              <w:t>网络连接不稳定</w:t>
            </w:r>
          </w:p>
        </w:tc>
        <w:tc>
          <w:tcPr>
            <w:tcW w:w="1000" w:type="dxa"/>
            <w:shd w:val="clear" w:color="auto" w:fill="FFFFFF"/>
            <w:vAlign w:val="center"/>
          </w:tcPr>
          <w:p w14:paraId="30E2B63E">
            <w:pPr>
              <w:jc w:val="center"/>
            </w:pPr>
            <w:r>
              <w:t>6</w:t>
            </w:r>
          </w:p>
        </w:tc>
        <w:tc>
          <w:tcPr>
            <w:tcW w:w="6238" w:type="dxa"/>
            <w:shd w:val="clear" w:color="auto" w:fill="FFFFFF"/>
            <w:vAlign w:val="center"/>
          </w:tcPr>
          <w:p w14:paraId="047639AD">
            <w:r>
              <w:drawing>
                <wp:inline distT="0" distB="0" distL="0" distR="0">
                  <wp:extent cx="200025" cy="1143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200053" cy="114316"/>
                          </a:xfrm>
                          <a:prstGeom prst="rect">
                            <a:avLst/>
                          </a:prstGeom>
                        </pic:spPr>
                      </pic:pic>
                    </a:graphicData>
                  </a:graphic>
                </wp:inline>
              </w:drawing>
            </w:r>
            <w:r>
              <w:drawing>
                <wp:inline distT="0" distB="0" distL="0" distR="0">
                  <wp:extent cx="1152525" cy="114300"/>
                  <wp:effectExtent l="0" t="0" r="0" b="0"/>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2"/>
                          <a:stretch>
                            <a:fillRect/>
                          </a:stretch>
                        </pic:blipFill>
                        <pic:spPr>
                          <a:xfrm>
                            <a:off x="0" y="0"/>
                            <a:ext cx="1152686" cy="114316"/>
                          </a:xfrm>
                          <a:prstGeom prst="rect">
                            <a:avLst/>
                          </a:prstGeom>
                        </pic:spPr>
                      </pic:pic>
                    </a:graphicData>
                  </a:graphic>
                </wp:inline>
              </w:drawing>
            </w:r>
            <w:r>
              <w:t>15.38%</w:t>
            </w:r>
          </w:p>
        </w:tc>
      </w:tr>
      <w:tr w14:paraId="417376F5">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6000" w:type="dxa"/>
            <w:shd w:val="clear" w:color="auto" w:fill="FAFAFA"/>
            <w:vAlign w:val="center"/>
          </w:tcPr>
          <w:p w14:paraId="02285595">
            <w:r>
              <w:t>其他</w:t>
            </w:r>
          </w:p>
        </w:tc>
        <w:tc>
          <w:tcPr>
            <w:tcW w:w="1000" w:type="dxa"/>
            <w:shd w:val="clear" w:color="auto" w:fill="FAFAFA"/>
            <w:vAlign w:val="center"/>
          </w:tcPr>
          <w:p w14:paraId="6067D7E5">
            <w:pPr>
              <w:jc w:val="center"/>
            </w:pPr>
            <w:r>
              <w:t>1</w:t>
            </w:r>
          </w:p>
        </w:tc>
        <w:tc>
          <w:tcPr>
            <w:tcW w:w="6238" w:type="dxa"/>
            <w:shd w:val="clear" w:color="auto" w:fill="FAFAFA"/>
            <w:vAlign w:val="center"/>
          </w:tcPr>
          <w:p w14:paraId="0AD250D3">
            <w:r>
              <w:drawing>
                <wp:inline distT="0" distB="0" distL="0" distR="0">
                  <wp:extent cx="28575" cy="1143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21"/>
                          <a:stretch>
                            <a:fillRect/>
                          </a:stretch>
                        </pic:blipFill>
                        <pic:spPr>
                          <a:xfrm>
                            <a:off x="0" y="0"/>
                            <a:ext cx="28579" cy="114316"/>
                          </a:xfrm>
                          <a:prstGeom prst="rect">
                            <a:avLst/>
                          </a:prstGeom>
                        </pic:spPr>
                      </pic:pic>
                    </a:graphicData>
                  </a:graphic>
                </wp:inline>
              </w:drawing>
            </w:r>
            <w:r>
              <w:drawing>
                <wp:inline distT="0" distB="0" distL="0" distR="0">
                  <wp:extent cx="1323975" cy="114300"/>
                  <wp:effectExtent l="0" t="0" r="0" b="0"/>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22"/>
                          <a:stretch>
                            <a:fillRect/>
                          </a:stretch>
                        </pic:blipFill>
                        <pic:spPr>
                          <a:xfrm>
                            <a:off x="0" y="0"/>
                            <a:ext cx="1324160" cy="114316"/>
                          </a:xfrm>
                          <a:prstGeom prst="rect">
                            <a:avLst/>
                          </a:prstGeom>
                        </pic:spPr>
                      </pic:pic>
                    </a:graphicData>
                  </a:graphic>
                </wp:inline>
              </w:drawing>
            </w:r>
            <w:r>
              <w:t>2.56%</w:t>
            </w:r>
          </w:p>
        </w:tc>
      </w:tr>
      <w:tr w14:paraId="1B4C9339">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6000" w:type="dxa"/>
            <w:shd w:val="clear" w:color="auto" w:fill="F5F5F5"/>
            <w:vAlign w:val="center"/>
          </w:tcPr>
          <w:p w14:paraId="05A779B6">
            <w:r>
              <w:t>本题有效填写人次</w:t>
            </w:r>
          </w:p>
        </w:tc>
        <w:tc>
          <w:tcPr>
            <w:tcW w:w="1000" w:type="dxa"/>
            <w:shd w:val="clear" w:color="auto" w:fill="F5F5F5"/>
            <w:vAlign w:val="center"/>
          </w:tcPr>
          <w:p w14:paraId="04F4F364">
            <w:pPr>
              <w:jc w:val="center"/>
            </w:pPr>
            <w:r>
              <w:t>39</w:t>
            </w:r>
          </w:p>
        </w:tc>
        <w:tc>
          <w:tcPr>
            <w:tcW w:w="6238" w:type="dxa"/>
            <w:shd w:val="clear" w:color="auto" w:fill="F5F5F5"/>
            <w:vAlign w:val="center"/>
          </w:tcPr>
          <w:p w14:paraId="442A069D"/>
        </w:tc>
      </w:tr>
    </w:tbl>
    <w:p w14:paraId="63B8B18B">
      <w:pPr>
        <w:rPr>
          <w:szCs w:val="21"/>
        </w:rPr>
      </w:pPr>
    </w:p>
    <w:p w14:paraId="3F801868">
      <w:pPr>
        <w:rPr>
          <w:color w:val="000000"/>
          <w:szCs w:val="21"/>
        </w:rPr>
      </w:pPr>
      <w:r>
        <w:rPr>
          <w:color w:val="000000"/>
          <w:szCs w:val="21"/>
        </w:rPr>
        <w:t>8.</w:t>
      </w:r>
      <w:r>
        <w:rPr>
          <w:rFonts w:hint="eastAsia"/>
          <w:color w:val="000000"/>
          <w:szCs w:val="21"/>
        </w:rPr>
        <w:t>上述问题能否由校内教师自行解决</w:t>
      </w:r>
      <w:r>
        <w:rPr>
          <w:color w:val="000000"/>
          <w:szCs w:val="21"/>
        </w:rPr>
        <w:t>?</w:t>
      </w:r>
      <w:r>
        <w:rPr>
          <w:color w:val="0066FF"/>
          <w:szCs w:val="21"/>
        </w:rPr>
        <w:t>[</w:t>
      </w:r>
      <w:r>
        <w:rPr>
          <w:rFonts w:hint="eastAsia"/>
          <w:color w:val="0066FF"/>
          <w:szCs w:val="21"/>
        </w:rPr>
        <w:t>单选题</w:t>
      </w:r>
      <w:r>
        <w:rPr>
          <w:color w:val="0066FF"/>
          <w:szCs w:val="21"/>
        </w:rPr>
        <w:t>]</w:t>
      </w:r>
    </w:p>
    <w:p w14:paraId="303531BD">
      <w:pPr>
        <w:rPr>
          <w:color w:val="000000"/>
          <w:szCs w:val="21"/>
        </w:rPr>
      </w:pPr>
    </w:p>
    <w:tbl>
      <w:tblPr>
        <w:tblStyle w:val="13"/>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613"/>
        <w:gridCol w:w="756"/>
        <w:gridCol w:w="4521"/>
      </w:tblGrid>
      <w:tr w14:paraId="08DC3353">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6000" w:type="dxa"/>
            <w:shd w:val="clear" w:color="auto" w:fill="F5F5F5"/>
            <w:vAlign w:val="center"/>
          </w:tcPr>
          <w:p w14:paraId="03C1DEFB">
            <w:r>
              <w:t>选项</w:t>
            </w:r>
          </w:p>
        </w:tc>
        <w:tc>
          <w:tcPr>
            <w:tcW w:w="1000" w:type="dxa"/>
            <w:shd w:val="clear" w:color="auto" w:fill="F5F5F5"/>
            <w:vAlign w:val="center"/>
          </w:tcPr>
          <w:p w14:paraId="3F93E2F4">
            <w:pPr>
              <w:jc w:val="center"/>
            </w:pPr>
            <w:r>
              <w:t>小计</w:t>
            </w:r>
          </w:p>
        </w:tc>
        <w:tc>
          <w:tcPr>
            <w:tcW w:w="6238" w:type="dxa"/>
            <w:shd w:val="clear" w:color="auto" w:fill="F5F5F5"/>
            <w:vAlign w:val="center"/>
          </w:tcPr>
          <w:p w14:paraId="27768515">
            <w:r>
              <w:t>比例</w:t>
            </w:r>
          </w:p>
        </w:tc>
      </w:tr>
      <w:tr w14:paraId="792B1D21">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6000" w:type="dxa"/>
            <w:shd w:val="clear" w:color="auto" w:fill="FFFFFF"/>
            <w:vAlign w:val="center"/>
          </w:tcPr>
          <w:p w14:paraId="02A9AF94">
            <w:r>
              <w:t>大部分可解决</w:t>
            </w:r>
          </w:p>
        </w:tc>
        <w:tc>
          <w:tcPr>
            <w:tcW w:w="1000" w:type="dxa"/>
            <w:shd w:val="clear" w:color="auto" w:fill="FFFFFF"/>
            <w:vAlign w:val="center"/>
          </w:tcPr>
          <w:p w14:paraId="42C16BA0">
            <w:pPr>
              <w:jc w:val="center"/>
            </w:pPr>
            <w:r>
              <w:t>7</w:t>
            </w:r>
          </w:p>
        </w:tc>
        <w:tc>
          <w:tcPr>
            <w:tcW w:w="6238" w:type="dxa"/>
            <w:shd w:val="clear" w:color="auto" w:fill="FFFFFF"/>
            <w:vAlign w:val="center"/>
          </w:tcPr>
          <w:p w14:paraId="114AAF13">
            <w:r>
              <w:drawing>
                <wp:inline distT="0" distB="0" distL="0" distR="0">
                  <wp:extent cx="552450" cy="1143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27"/>
                          <a:stretch>
                            <a:fillRect/>
                          </a:stretch>
                        </pic:blipFill>
                        <pic:spPr>
                          <a:xfrm>
                            <a:off x="0" y="0"/>
                            <a:ext cx="552527" cy="114316"/>
                          </a:xfrm>
                          <a:prstGeom prst="rect">
                            <a:avLst/>
                          </a:prstGeom>
                        </pic:spPr>
                      </pic:pic>
                    </a:graphicData>
                  </a:graphic>
                </wp:inline>
              </w:drawing>
            </w:r>
            <w:r>
              <w:drawing>
                <wp:inline distT="0" distB="0" distL="0" distR="0">
                  <wp:extent cx="800100" cy="114300"/>
                  <wp:effectExtent l="0" t="0" r="0" b="0"/>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28"/>
                          <a:stretch>
                            <a:fillRect/>
                          </a:stretch>
                        </pic:blipFill>
                        <pic:spPr>
                          <a:xfrm>
                            <a:off x="0" y="0"/>
                            <a:ext cx="800212" cy="114316"/>
                          </a:xfrm>
                          <a:prstGeom prst="rect">
                            <a:avLst/>
                          </a:prstGeom>
                        </pic:spPr>
                      </pic:pic>
                    </a:graphicData>
                  </a:graphic>
                </wp:inline>
              </w:drawing>
            </w:r>
            <w:r>
              <w:t>41.18%</w:t>
            </w:r>
          </w:p>
        </w:tc>
      </w:tr>
      <w:tr w14:paraId="53EFB6D2">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6000" w:type="dxa"/>
            <w:shd w:val="clear" w:color="auto" w:fill="FAFAFA"/>
            <w:vAlign w:val="center"/>
          </w:tcPr>
          <w:p w14:paraId="060961CB">
            <w:r>
              <w:t>需技术人员上门</w:t>
            </w:r>
          </w:p>
        </w:tc>
        <w:tc>
          <w:tcPr>
            <w:tcW w:w="1000" w:type="dxa"/>
            <w:shd w:val="clear" w:color="auto" w:fill="FAFAFA"/>
            <w:vAlign w:val="center"/>
          </w:tcPr>
          <w:p w14:paraId="30F96451">
            <w:pPr>
              <w:jc w:val="center"/>
            </w:pPr>
            <w:r>
              <w:t>9</w:t>
            </w:r>
          </w:p>
        </w:tc>
        <w:tc>
          <w:tcPr>
            <w:tcW w:w="6238" w:type="dxa"/>
            <w:shd w:val="clear" w:color="auto" w:fill="FAFAFA"/>
            <w:vAlign w:val="center"/>
          </w:tcPr>
          <w:p w14:paraId="6A8A3A69">
            <w:r>
              <w:drawing>
                <wp:inline distT="0" distB="0" distL="0" distR="0">
                  <wp:extent cx="714375" cy="1143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29"/>
                          <a:stretch>
                            <a:fillRect/>
                          </a:stretch>
                        </pic:blipFill>
                        <pic:spPr>
                          <a:xfrm>
                            <a:off x="0" y="0"/>
                            <a:ext cx="714475" cy="114316"/>
                          </a:xfrm>
                          <a:prstGeom prst="rect">
                            <a:avLst/>
                          </a:prstGeom>
                        </pic:spPr>
                      </pic:pic>
                    </a:graphicData>
                  </a:graphic>
                </wp:inline>
              </w:drawing>
            </w:r>
            <w:r>
              <w:drawing>
                <wp:inline distT="0" distB="0" distL="0" distR="0">
                  <wp:extent cx="638175" cy="114300"/>
                  <wp:effectExtent l="0" t="0" r="0" b="0"/>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30"/>
                          <a:stretch>
                            <a:fillRect/>
                          </a:stretch>
                        </pic:blipFill>
                        <pic:spPr>
                          <a:xfrm>
                            <a:off x="0" y="0"/>
                            <a:ext cx="638264" cy="114316"/>
                          </a:xfrm>
                          <a:prstGeom prst="rect">
                            <a:avLst/>
                          </a:prstGeom>
                        </pic:spPr>
                      </pic:pic>
                    </a:graphicData>
                  </a:graphic>
                </wp:inline>
              </w:drawing>
            </w:r>
            <w:r>
              <w:t>52.94%</w:t>
            </w:r>
          </w:p>
        </w:tc>
      </w:tr>
      <w:tr w14:paraId="51796A7E">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6000" w:type="dxa"/>
            <w:shd w:val="clear" w:color="auto" w:fill="FFFFFF"/>
            <w:vAlign w:val="center"/>
          </w:tcPr>
          <w:p w14:paraId="2E45669D">
            <w:r>
              <w:t>需厂商远程/上门支持</w:t>
            </w:r>
          </w:p>
        </w:tc>
        <w:tc>
          <w:tcPr>
            <w:tcW w:w="1000" w:type="dxa"/>
            <w:shd w:val="clear" w:color="auto" w:fill="FFFFFF"/>
            <w:vAlign w:val="center"/>
          </w:tcPr>
          <w:p w14:paraId="377E6416">
            <w:pPr>
              <w:jc w:val="center"/>
            </w:pPr>
            <w:r>
              <w:t>1</w:t>
            </w:r>
          </w:p>
        </w:tc>
        <w:tc>
          <w:tcPr>
            <w:tcW w:w="6238" w:type="dxa"/>
            <w:shd w:val="clear" w:color="auto" w:fill="FFFFFF"/>
            <w:vAlign w:val="center"/>
          </w:tcPr>
          <w:p w14:paraId="06D26BAC">
            <w:r>
              <w:drawing>
                <wp:inline distT="0" distB="0" distL="0" distR="0">
                  <wp:extent cx="76200" cy="1143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3"/>
                          <a:stretch>
                            <a:fillRect/>
                          </a:stretch>
                        </pic:blipFill>
                        <pic:spPr>
                          <a:xfrm>
                            <a:off x="0" y="0"/>
                            <a:ext cx="76211" cy="114316"/>
                          </a:xfrm>
                          <a:prstGeom prst="rect">
                            <a:avLst/>
                          </a:prstGeom>
                        </pic:spPr>
                      </pic:pic>
                    </a:graphicData>
                  </a:graphic>
                </wp:inline>
              </w:drawing>
            </w:r>
            <w:r>
              <w:drawing>
                <wp:inline distT="0" distB="0" distL="0" distR="0">
                  <wp:extent cx="1276350" cy="114300"/>
                  <wp:effectExtent l="0" t="0" r="0" b="0"/>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14"/>
                          <a:stretch>
                            <a:fillRect/>
                          </a:stretch>
                        </pic:blipFill>
                        <pic:spPr>
                          <a:xfrm>
                            <a:off x="0" y="0"/>
                            <a:ext cx="1276528" cy="114316"/>
                          </a:xfrm>
                          <a:prstGeom prst="rect">
                            <a:avLst/>
                          </a:prstGeom>
                        </pic:spPr>
                      </pic:pic>
                    </a:graphicData>
                  </a:graphic>
                </wp:inline>
              </w:drawing>
            </w:r>
            <w:r>
              <w:t>5.88%</w:t>
            </w:r>
          </w:p>
        </w:tc>
      </w:tr>
      <w:tr w14:paraId="2FF5C5E1">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6000" w:type="dxa"/>
            <w:shd w:val="clear" w:color="auto" w:fill="F5F5F5"/>
            <w:vAlign w:val="center"/>
          </w:tcPr>
          <w:p w14:paraId="39F748C7">
            <w:r>
              <w:t>本题有效填写人次</w:t>
            </w:r>
          </w:p>
        </w:tc>
        <w:tc>
          <w:tcPr>
            <w:tcW w:w="1000" w:type="dxa"/>
            <w:shd w:val="clear" w:color="auto" w:fill="F5F5F5"/>
            <w:vAlign w:val="center"/>
          </w:tcPr>
          <w:p w14:paraId="5EAFCE70">
            <w:pPr>
              <w:jc w:val="center"/>
            </w:pPr>
            <w:r>
              <w:t>17</w:t>
            </w:r>
          </w:p>
        </w:tc>
        <w:tc>
          <w:tcPr>
            <w:tcW w:w="6238" w:type="dxa"/>
            <w:shd w:val="clear" w:color="auto" w:fill="F5F5F5"/>
            <w:vAlign w:val="center"/>
          </w:tcPr>
          <w:p w14:paraId="198F77DB"/>
        </w:tc>
      </w:tr>
    </w:tbl>
    <w:p w14:paraId="02B520DC">
      <w:pPr>
        <w:rPr>
          <w:szCs w:val="21"/>
        </w:rPr>
      </w:pPr>
    </w:p>
    <w:p w14:paraId="79BA3C69">
      <w:pPr>
        <w:rPr>
          <w:color w:val="000000"/>
          <w:szCs w:val="21"/>
        </w:rPr>
      </w:pPr>
      <w:r>
        <w:rPr>
          <w:color w:val="000000"/>
          <w:szCs w:val="21"/>
        </w:rPr>
        <w:t>9.</w:t>
      </w:r>
      <w:r>
        <w:rPr>
          <w:rFonts w:hint="eastAsia"/>
          <w:color w:val="000000"/>
          <w:szCs w:val="21"/>
        </w:rPr>
        <w:t>当前使用的多媒体教学设备能否满足日常教学需求</w:t>
      </w:r>
      <w:r>
        <w:rPr>
          <w:color w:val="000000"/>
          <w:szCs w:val="21"/>
        </w:rPr>
        <w:t>?</w:t>
      </w:r>
      <w:r>
        <w:rPr>
          <w:color w:val="0066FF"/>
          <w:szCs w:val="21"/>
        </w:rPr>
        <w:t>[</w:t>
      </w:r>
      <w:r>
        <w:rPr>
          <w:rFonts w:hint="eastAsia"/>
          <w:color w:val="0066FF"/>
          <w:szCs w:val="21"/>
        </w:rPr>
        <w:t>单选题</w:t>
      </w:r>
      <w:r>
        <w:rPr>
          <w:color w:val="0066FF"/>
          <w:szCs w:val="21"/>
        </w:rPr>
        <w:t>]</w:t>
      </w:r>
    </w:p>
    <w:p w14:paraId="78AC7397">
      <w:pPr>
        <w:rPr>
          <w:color w:val="000000"/>
          <w:szCs w:val="21"/>
        </w:rPr>
      </w:pPr>
    </w:p>
    <w:tbl>
      <w:tblPr>
        <w:tblStyle w:val="13"/>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600"/>
        <w:gridCol w:w="754"/>
        <w:gridCol w:w="4536"/>
      </w:tblGrid>
      <w:tr w14:paraId="59B94D7D">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6000" w:type="dxa"/>
            <w:shd w:val="clear" w:color="auto" w:fill="F5F5F5"/>
            <w:vAlign w:val="center"/>
          </w:tcPr>
          <w:p w14:paraId="0ADB6AE9">
            <w:r>
              <w:t>选项</w:t>
            </w:r>
          </w:p>
        </w:tc>
        <w:tc>
          <w:tcPr>
            <w:tcW w:w="1000" w:type="dxa"/>
            <w:shd w:val="clear" w:color="auto" w:fill="F5F5F5"/>
            <w:vAlign w:val="center"/>
          </w:tcPr>
          <w:p w14:paraId="1EA11449">
            <w:pPr>
              <w:jc w:val="center"/>
            </w:pPr>
            <w:r>
              <w:t>小计</w:t>
            </w:r>
          </w:p>
        </w:tc>
        <w:tc>
          <w:tcPr>
            <w:tcW w:w="6238" w:type="dxa"/>
            <w:shd w:val="clear" w:color="auto" w:fill="F5F5F5"/>
            <w:vAlign w:val="center"/>
          </w:tcPr>
          <w:p w14:paraId="2493EB5E">
            <w:r>
              <w:t>比例</w:t>
            </w:r>
          </w:p>
        </w:tc>
      </w:tr>
      <w:tr w14:paraId="00F4C2DF">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6000" w:type="dxa"/>
            <w:shd w:val="clear" w:color="auto" w:fill="FFFFFF"/>
            <w:vAlign w:val="center"/>
          </w:tcPr>
          <w:p w14:paraId="34DE942B">
            <w:r>
              <w:t>完全满足</w:t>
            </w:r>
          </w:p>
        </w:tc>
        <w:tc>
          <w:tcPr>
            <w:tcW w:w="1000" w:type="dxa"/>
            <w:shd w:val="clear" w:color="auto" w:fill="FFFFFF"/>
            <w:vAlign w:val="center"/>
          </w:tcPr>
          <w:p w14:paraId="59E714B4">
            <w:pPr>
              <w:jc w:val="center"/>
            </w:pPr>
            <w:r>
              <w:t>28</w:t>
            </w:r>
          </w:p>
        </w:tc>
        <w:tc>
          <w:tcPr>
            <w:tcW w:w="6238" w:type="dxa"/>
            <w:shd w:val="clear" w:color="auto" w:fill="FFFFFF"/>
            <w:vAlign w:val="center"/>
          </w:tcPr>
          <w:p w14:paraId="11122A7D">
            <w:r>
              <w:drawing>
                <wp:inline distT="0" distB="0" distL="0" distR="0">
                  <wp:extent cx="581025" cy="1143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31"/>
                          <a:stretch>
                            <a:fillRect/>
                          </a:stretch>
                        </pic:blipFill>
                        <pic:spPr>
                          <a:xfrm>
                            <a:off x="0" y="0"/>
                            <a:ext cx="581106" cy="114316"/>
                          </a:xfrm>
                          <a:prstGeom prst="rect">
                            <a:avLst/>
                          </a:prstGeom>
                        </pic:spPr>
                      </pic:pic>
                    </a:graphicData>
                  </a:graphic>
                </wp:inline>
              </w:drawing>
            </w:r>
            <w:r>
              <w:drawing>
                <wp:inline distT="0" distB="0" distL="0" distR="0">
                  <wp:extent cx="771525" cy="114300"/>
                  <wp:effectExtent l="0" t="0" r="0" b="0"/>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32"/>
                          <a:stretch>
                            <a:fillRect/>
                          </a:stretch>
                        </pic:blipFill>
                        <pic:spPr>
                          <a:xfrm>
                            <a:off x="0" y="0"/>
                            <a:ext cx="771633" cy="114316"/>
                          </a:xfrm>
                          <a:prstGeom prst="rect">
                            <a:avLst/>
                          </a:prstGeom>
                        </pic:spPr>
                      </pic:pic>
                    </a:graphicData>
                  </a:graphic>
                </wp:inline>
              </w:drawing>
            </w:r>
            <w:r>
              <w:t>43.08%</w:t>
            </w:r>
          </w:p>
        </w:tc>
      </w:tr>
      <w:tr w14:paraId="69A5C1CB">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6000" w:type="dxa"/>
            <w:shd w:val="clear" w:color="auto" w:fill="FAFAFA"/>
            <w:vAlign w:val="center"/>
          </w:tcPr>
          <w:p w14:paraId="48E4A719">
            <w:r>
              <w:t>基本满足</w:t>
            </w:r>
          </w:p>
        </w:tc>
        <w:tc>
          <w:tcPr>
            <w:tcW w:w="1000" w:type="dxa"/>
            <w:shd w:val="clear" w:color="auto" w:fill="FAFAFA"/>
            <w:vAlign w:val="center"/>
          </w:tcPr>
          <w:p w14:paraId="06EB4BDE">
            <w:pPr>
              <w:jc w:val="center"/>
            </w:pPr>
            <w:r>
              <w:t>35</w:t>
            </w:r>
          </w:p>
        </w:tc>
        <w:tc>
          <w:tcPr>
            <w:tcW w:w="6238" w:type="dxa"/>
            <w:shd w:val="clear" w:color="auto" w:fill="FAFAFA"/>
            <w:vAlign w:val="center"/>
          </w:tcPr>
          <w:p w14:paraId="0BCA442A">
            <w:r>
              <w:drawing>
                <wp:inline distT="0" distB="0" distL="0" distR="0">
                  <wp:extent cx="723900" cy="1143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33"/>
                          <a:stretch>
                            <a:fillRect/>
                          </a:stretch>
                        </pic:blipFill>
                        <pic:spPr>
                          <a:xfrm>
                            <a:off x="0" y="0"/>
                            <a:ext cx="724001" cy="114316"/>
                          </a:xfrm>
                          <a:prstGeom prst="rect">
                            <a:avLst/>
                          </a:prstGeom>
                        </pic:spPr>
                      </pic:pic>
                    </a:graphicData>
                  </a:graphic>
                </wp:inline>
              </w:drawing>
            </w:r>
            <w:r>
              <w:drawing>
                <wp:inline distT="0" distB="0" distL="0" distR="0">
                  <wp:extent cx="628650" cy="114300"/>
                  <wp:effectExtent l="0" t="0" r="0" b="0"/>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pic:cNvPicPr>
                            <a:picLocks noChangeAspect="1"/>
                          </pic:cNvPicPr>
                        </pic:nvPicPr>
                        <pic:blipFill>
                          <a:blip r:embed="rId34"/>
                          <a:stretch>
                            <a:fillRect/>
                          </a:stretch>
                        </pic:blipFill>
                        <pic:spPr>
                          <a:xfrm>
                            <a:off x="0" y="0"/>
                            <a:ext cx="628738" cy="114316"/>
                          </a:xfrm>
                          <a:prstGeom prst="rect">
                            <a:avLst/>
                          </a:prstGeom>
                        </pic:spPr>
                      </pic:pic>
                    </a:graphicData>
                  </a:graphic>
                </wp:inline>
              </w:drawing>
            </w:r>
            <w:r>
              <w:t>53.85%</w:t>
            </w:r>
          </w:p>
        </w:tc>
      </w:tr>
      <w:tr w14:paraId="154DF75A">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6000" w:type="dxa"/>
            <w:shd w:val="clear" w:color="auto" w:fill="FFFFFF"/>
            <w:vAlign w:val="center"/>
          </w:tcPr>
          <w:p w14:paraId="17086DFA">
            <w:r>
              <w:t>不能满足</w:t>
            </w:r>
          </w:p>
        </w:tc>
        <w:tc>
          <w:tcPr>
            <w:tcW w:w="1000" w:type="dxa"/>
            <w:shd w:val="clear" w:color="auto" w:fill="FFFFFF"/>
            <w:vAlign w:val="center"/>
          </w:tcPr>
          <w:p w14:paraId="396FD282">
            <w:pPr>
              <w:jc w:val="center"/>
            </w:pPr>
            <w:r>
              <w:t>2</w:t>
            </w:r>
          </w:p>
        </w:tc>
        <w:tc>
          <w:tcPr>
            <w:tcW w:w="6238" w:type="dxa"/>
            <w:shd w:val="clear" w:color="auto" w:fill="FFFFFF"/>
            <w:vAlign w:val="center"/>
          </w:tcPr>
          <w:p w14:paraId="11EB9208">
            <w:r>
              <w:drawing>
                <wp:inline distT="0" distB="0" distL="0" distR="0">
                  <wp:extent cx="38100" cy="1143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35"/>
                          <a:stretch>
                            <a:fillRect/>
                          </a:stretch>
                        </pic:blipFill>
                        <pic:spPr>
                          <a:xfrm>
                            <a:off x="0" y="0"/>
                            <a:ext cx="38105" cy="114316"/>
                          </a:xfrm>
                          <a:prstGeom prst="rect">
                            <a:avLst/>
                          </a:prstGeom>
                        </pic:spPr>
                      </pic:pic>
                    </a:graphicData>
                  </a:graphic>
                </wp:inline>
              </w:drawing>
            </w:r>
            <w:r>
              <w:drawing>
                <wp:inline distT="0" distB="0" distL="0" distR="0">
                  <wp:extent cx="1314450" cy="114300"/>
                  <wp:effectExtent l="0" t="0" r="0" b="0"/>
                  <wp:docPr id="100034" name="图片 1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图片 100034"/>
                          <pic:cNvPicPr>
                            <a:picLocks noChangeAspect="1"/>
                          </pic:cNvPicPr>
                        </pic:nvPicPr>
                        <pic:blipFill>
                          <a:blip r:embed="rId36"/>
                          <a:stretch>
                            <a:fillRect/>
                          </a:stretch>
                        </pic:blipFill>
                        <pic:spPr>
                          <a:xfrm>
                            <a:off x="0" y="0"/>
                            <a:ext cx="1314634" cy="114316"/>
                          </a:xfrm>
                          <a:prstGeom prst="rect">
                            <a:avLst/>
                          </a:prstGeom>
                        </pic:spPr>
                      </pic:pic>
                    </a:graphicData>
                  </a:graphic>
                </wp:inline>
              </w:drawing>
            </w:r>
            <w:r>
              <w:t>3.08%</w:t>
            </w:r>
          </w:p>
        </w:tc>
      </w:tr>
      <w:tr w14:paraId="3660F9D7">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6000" w:type="dxa"/>
            <w:shd w:val="clear" w:color="auto" w:fill="F5F5F5"/>
            <w:vAlign w:val="center"/>
          </w:tcPr>
          <w:p w14:paraId="6B17053E">
            <w:r>
              <w:t>本题有效填写人次</w:t>
            </w:r>
          </w:p>
        </w:tc>
        <w:tc>
          <w:tcPr>
            <w:tcW w:w="1000" w:type="dxa"/>
            <w:shd w:val="clear" w:color="auto" w:fill="F5F5F5"/>
            <w:vAlign w:val="center"/>
          </w:tcPr>
          <w:p w14:paraId="6D311BA6">
            <w:pPr>
              <w:jc w:val="center"/>
            </w:pPr>
            <w:r>
              <w:t>65</w:t>
            </w:r>
          </w:p>
        </w:tc>
        <w:tc>
          <w:tcPr>
            <w:tcW w:w="6238" w:type="dxa"/>
            <w:shd w:val="clear" w:color="auto" w:fill="F5F5F5"/>
            <w:vAlign w:val="center"/>
          </w:tcPr>
          <w:p w14:paraId="0FFEA086"/>
        </w:tc>
      </w:tr>
    </w:tbl>
    <w:p w14:paraId="415D79AF">
      <w:pPr>
        <w:rPr>
          <w:color w:val="000000"/>
          <w:szCs w:val="21"/>
        </w:rPr>
      </w:pPr>
    </w:p>
    <w:p w14:paraId="3A11FA7A">
      <w:pPr>
        <w:rPr>
          <w:color w:val="000000"/>
          <w:szCs w:val="21"/>
        </w:rPr>
      </w:pPr>
    </w:p>
    <w:p w14:paraId="5EC2F43C">
      <w:pPr>
        <w:rPr>
          <w:color w:val="000000"/>
          <w:szCs w:val="21"/>
        </w:rPr>
      </w:pPr>
    </w:p>
    <w:p w14:paraId="78207A6F">
      <w:pPr>
        <w:spacing w:line="360" w:lineRule="auto"/>
        <w:rPr>
          <w:color w:val="000000"/>
          <w:szCs w:val="21"/>
        </w:rPr>
      </w:pPr>
      <w:bookmarkStart w:id="102" w:name="_Toc184981084"/>
      <w:bookmarkStart w:id="103" w:name="_Toc1297"/>
      <w:bookmarkStart w:id="104" w:name="_Toc184981322"/>
      <w:bookmarkStart w:id="105" w:name="_Toc32496"/>
      <w:r>
        <w:rPr>
          <w:color w:val="000000"/>
          <w:szCs w:val="21"/>
        </w:rPr>
        <w:t>10.</w:t>
      </w:r>
      <w:r>
        <w:rPr>
          <w:rFonts w:hint="eastAsia"/>
          <w:color w:val="000000"/>
          <w:szCs w:val="21"/>
        </w:rPr>
        <w:t>若贵校已更换为</w:t>
      </w:r>
      <w:r>
        <w:rPr>
          <w:color w:val="000000"/>
          <w:szCs w:val="21"/>
        </w:rPr>
        <w:t>2024</w:t>
      </w:r>
      <w:r>
        <w:rPr>
          <w:rFonts w:hint="eastAsia"/>
          <w:color w:val="000000"/>
          <w:szCs w:val="21"/>
        </w:rPr>
        <w:t>年财政补助安装的希沃多媒体教学设备，请评价其对教学效果的提升；若未更换，请选择“未更换无法评价”</w:t>
      </w:r>
      <w:r>
        <w:rPr>
          <w:color w:val="0066FF"/>
          <w:szCs w:val="21"/>
        </w:rPr>
        <w:t>[</w:t>
      </w:r>
      <w:r>
        <w:rPr>
          <w:rFonts w:hint="eastAsia"/>
          <w:color w:val="0066FF"/>
          <w:szCs w:val="21"/>
        </w:rPr>
        <w:t>单选题</w:t>
      </w:r>
      <w:r>
        <w:rPr>
          <w:color w:val="0066FF"/>
          <w:szCs w:val="21"/>
        </w:rPr>
        <w:t>]</w:t>
      </w:r>
    </w:p>
    <w:p w14:paraId="1105EFF6">
      <w:pPr>
        <w:spacing w:line="360" w:lineRule="auto"/>
        <w:rPr>
          <w:color w:val="000000"/>
          <w:szCs w:val="21"/>
        </w:rPr>
      </w:pPr>
    </w:p>
    <w:tbl>
      <w:tblPr>
        <w:tblStyle w:val="13"/>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585"/>
        <w:gridCol w:w="753"/>
        <w:gridCol w:w="4552"/>
      </w:tblGrid>
      <w:tr w14:paraId="5A3890CF">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6000" w:type="dxa"/>
            <w:shd w:val="clear" w:color="auto" w:fill="F5F5F5"/>
            <w:vAlign w:val="center"/>
          </w:tcPr>
          <w:p w14:paraId="2BD358C1">
            <w:r>
              <w:t>选项</w:t>
            </w:r>
          </w:p>
        </w:tc>
        <w:tc>
          <w:tcPr>
            <w:tcW w:w="1000" w:type="dxa"/>
            <w:shd w:val="clear" w:color="auto" w:fill="F5F5F5"/>
            <w:vAlign w:val="center"/>
          </w:tcPr>
          <w:p w14:paraId="6600BA47">
            <w:pPr>
              <w:jc w:val="center"/>
            </w:pPr>
            <w:r>
              <w:t>小计</w:t>
            </w:r>
          </w:p>
        </w:tc>
        <w:tc>
          <w:tcPr>
            <w:tcW w:w="6238" w:type="dxa"/>
            <w:shd w:val="clear" w:color="auto" w:fill="F5F5F5"/>
            <w:vAlign w:val="center"/>
          </w:tcPr>
          <w:p w14:paraId="44F731A6">
            <w:r>
              <w:t>比例</w:t>
            </w:r>
          </w:p>
        </w:tc>
      </w:tr>
      <w:tr w14:paraId="4D070D81">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6000" w:type="dxa"/>
            <w:shd w:val="clear" w:color="auto" w:fill="FFFFFF"/>
            <w:vAlign w:val="center"/>
          </w:tcPr>
          <w:p w14:paraId="4718376E">
            <w:r>
              <w:t>显著提升</w:t>
            </w:r>
          </w:p>
        </w:tc>
        <w:tc>
          <w:tcPr>
            <w:tcW w:w="1000" w:type="dxa"/>
            <w:shd w:val="clear" w:color="auto" w:fill="FFFFFF"/>
            <w:vAlign w:val="center"/>
          </w:tcPr>
          <w:p w14:paraId="071355D3">
            <w:pPr>
              <w:jc w:val="center"/>
            </w:pPr>
            <w:r>
              <w:t>34</w:t>
            </w:r>
          </w:p>
        </w:tc>
        <w:tc>
          <w:tcPr>
            <w:tcW w:w="6238" w:type="dxa"/>
            <w:shd w:val="clear" w:color="auto" w:fill="FFFFFF"/>
            <w:vAlign w:val="center"/>
          </w:tcPr>
          <w:p w14:paraId="0BD0317C">
            <w:r>
              <w:drawing>
                <wp:inline distT="0" distB="0" distL="0" distR="0">
                  <wp:extent cx="704850" cy="1143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37"/>
                          <a:stretch>
                            <a:fillRect/>
                          </a:stretch>
                        </pic:blipFill>
                        <pic:spPr>
                          <a:xfrm>
                            <a:off x="0" y="0"/>
                            <a:ext cx="704948" cy="114316"/>
                          </a:xfrm>
                          <a:prstGeom prst="rect">
                            <a:avLst/>
                          </a:prstGeom>
                        </pic:spPr>
                      </pic:pic>
                    </a:graphicData>
                  </a:graphic>
                </wp:inline>
              </w:drawing>
            </w:r>
            <w:r>
              <w:drawing>
                <wp:inline distT="0" distB="0" distL="0" distR="0">
                  <wp:extent cx="647700" cy="114300"/>
                  <wp:effectExtent l="0" t="0" r="0" b="0"/>
                  <wp:docPr id="100036" name="图片 100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6" name="图片 100036"/>
                          <pic:cNvPicPr>
                            <a:picLocks noChangeAspect="1"/>
                          </pic:cNvPicPr>
                        </pic:nvPicPr>
                        <pic:blipFill>
                          <a:blip r:embed="rId38"/>
                          <a:stretch>
                            <a:fillRect/>
                          </a:stretch>
                        </pic:blipFill>
                        <pic:spPr>
                          <a:xfrm>
                            <a:off x="0" y="0"/>
                            <a:ext cx="647790" cy="114316"/>
                          </a:xfrm>
                          <a:prstGeom prst="rect">
                            <a:avLst/>
                          </a:prstGeom>
                        </pic:spPr>
                      </pic:pic>
                    </a:graphicData>
                  </a:graphic>
                </wp:inline>
              </w:drawing>
            </w:r>
            <w:r>
              <w:t>52.31%</w:t>
            </w:r>
          </w:p>
        </w:tc>
      </w:tr>
      <w:tr w14:paraId="1B4BC69E">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6000" w:type="dxa"/>
            <w:shd w:val="clear" w:color="auto" w:fill="FAFAFA"/>
            <w:vAlign w:val="center"/>
          </w:tcPr>
          <w:p w14:paraId="229DF531">
            <w:r>
              <w:t>略有提升</w:t>
            </w:r>
          </w:p>
        </w:tc>
        <w:tc>
          <w:tcPr>
            <w:tcW w:w="1000" w:type="dxa"/>
            <w:shd w:val="clear" w:color="auto" w:fill="FAFAFA"/>
            <w:vAlign w:val="center"/>
          </w:tcPr>
          <w:p w14:paraId="20D41EC9">
            <w:pPr>
              <w:jc w:val="center"/>
            </w:pPr>
            <w:r>
              <w:t>11</w:t>
            </w:r>
          </w:p>
        </w:tc>
        <w:tc>
          <w:tcPr>
            <w:tcW w:w="6238" w:type="dxa"/>
            <w:shd w:val="clear" w:color="auto" w:fill="FAFAFA"/>
            <w:vAlign w:val="center"/>
          </w:tcPr>
          <w:p w14:paraId="04ADD186">
            <w:r>
              <w:drawing>
                <wp:inline distT="0" distB="0" distL="0" distR="0">
                  <wp:extent cx="228600" cy="1143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39"/>
                          <a:stretch>
                            <a:fillRect/>
                          </a:stretch>
                        </pic:blipFill>
                        <pic:spPr>
                          <a:xfrm>
                            <a:off x="0" y="0"/>
                            <a:ext cx="228632" cy="114316"/>
                          </a:xfrm>
                          <a:prstGeom prst="rect">
                            <a:avLst/>
                          </a:prstGeom>
                        </pic:spPr>
                      </pic:pic>
                    </a:graphicData>
                  </a:graphic>
                </wp:inline>
              </w:drawing>
            </w:r>
            <w:r>
              <w:drawing>
                <wp:inline distT="0" distB="0" distL="0" distR="0">
                  <wp:extent cx="1123950" cy="114300"/>
                  <wp:effectExtent l="0" t="0" r="0" b="0"/>
                  <wp:docPr id="100038" name="图片 100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8" name="图片 100038"/>
                          <pic:cNvPicPr>
                            <a:picLocks noChangeAspect="1"/>
                          </pic:cNvPicPr>
                        </pic:nvPicPr>
                        <pic:blipFill>
                          <a:blip r:embed="rId40"/>
                          <a:stretch>
                            <a:fillRect/>
                          </a:stretch>
                        </pic:blipFill>
                        <pic:spPr>
                          <a:xfrm>
                            <a:off x="0" y="0"/>
                            <a:ext cx="1124107" cy="114316"/>
                          </a:xfrm>
                          <a:prstGeom prst="rect">
                            <a:avLst/>
                          </a:prstGeom>
                        </pic:spPr>
                      </pic:pic>
                    </a:graphicData>
                  </a:graphic>
                </wp:inline>
              </w:drawing>
            </w:r>
            <w:r>
              <w:t>16.92%</w:t>
            </w:r>
          </w:p>
        </w:tc>
      </w:tr>
      <w:tr w14:paraId="606A5167">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6000" w:type="dxa"/>
            <w:shd w:val="clear" w:color="auto" w:fill="FFFFFF"/>
            <w:vAlign w:val="center"/>
          </w:tcPr>
          <w:p w14:paraId="450F5312">
            <w:r>
              <w:t>无变化</w:t>
            </w:r>
          </w:p>
        </w:tc>
        <w:tc>
          <w:tcPr>
            <w:tcW w:w="1000" w:type="dxa"/>
            <w:shd w:val="clear" w:color="auto" w:fill="FFFFFF"/>
            <w:vAlign w:val="center"/>
          </w:tcPr>
          <w:p w14:paraId="77F2B1CD">
            <w:pPr>
              <w:jc w:val="center"/>
            </w:pPr>
            <w:r>
              <w:t>0</w:t>
            </w:r>
          </w:p>
        </w:tc>
        <w:tc>
          <w:tcPr>
            <w:tcW w:w="6238" w:type="dxa"/>
            <w:shd w:val="clear" w:color="auto" w:fill="FFFFFF"/>
            <w:vAlign w:val="center"/>
          </w:tcPr>
          <w:p w14:paraId="349C04A1">
            <w:r>
              <w:drawing>
                <wp:inline distT="0" distB="0" distL="0" distR="0">
                  <wp:extent cx="1352550" cy="114300"/>
                  <wp:effectExtent l="0" t="0" r="0" b="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41"/>
                          <a:stretch>
                            <a:fillRect/>
                          </a:stretch>
                        </pic:blipFill>
                        <pic:spPr>
                          <a:xfrm>
                            <a:off x="0" y="0"/>
                            <a:ext cx="1352739" cy="114316"/>
                          </a:xfrm>
                          <a:prstGeom prst="rect">
                            <a:avLst/>
                          </a:prstGeom>
                        </pic:spPr>
                      </pic:pic>
                    </a:graphicData>
                  </a:graphic>
                </wp:inline>
              </w:drawing>
            </w:r>
            <w:r>
              <w:t>0%</w:t>
            </w:r>
          </w:p>
        </w:tc>
      </w:tr>
      <w:tr w14:paraId="7F9770D7">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6000" w:type="dxa"/>
            <w:shd w:val="clear" w:color="auto" w:fill="FAFAFA"/>
            <w:vAlign w:val="center"/>
          </w:tcPr>
          <w:p w14:paraId="69C1D01B">
            <w:r>
              <w:t>效果下降</w:t>
            </w:r>
          </w:p>
        </w:tc>
        <w:tc>
          <w:tcPr>
            <w:tcW w:w="1000" w:type="dxa"/>
            <w:shd w:val="clear" w:color="auto" w:fill="FAFAFA"/>
            <w:vAlign w:val="center"/>
          </w:tcPr>
          <w:p w14:paraId="4B598708">
            <w:pPr>
              <w:jc w:val="center"/>
            </w:pPr>
            <w:r>
              <w:t>1</w:t>
            </w:r>
          </w:p>
        </w:tc>
        <w:tc>
          <w:tcPr>
            <w:tcW w:w="6238" w:type="dxa"/>
            <w:shd w:val="clear" w:color="auto" w:fill="FAFAFA"/>
            <w:vAlign w:val="center"/>
          </w:tcPr>
          <w:p w14:paraId="449E14F9">
            <w:r>
              <w:drawing>
                <wp:inline distT="0" distB="0" distL="0" distR="0">
                  <wp:extent cx="19050" cy="114300"/>
                  <wp:effectExtent l="0" t="0" r="0" b="0"/>
                  <wp:docPr id="100040" name="图片 100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0" name="图片 100040"/>
                          <pic:cNvPicPr>
                            <a:picLocks noChangeAspect="1"/>
                          </pic:cNvPicPr>
                        </pic:nvPicPr>
                        <pic:blipFill>
                          <a:blip r:embed="rId42"/>
                          <a:stretch>
                            <a:fillRect/>
                          </a:stretch>
                        </pic:blipFill>
                        <pic:spPr>
                          <a:xfrm>
                            <a:off x="0" y="0"/>
                            <a:ext cx="19053" cy="114316"/>
                          </a:xfrm>
                          <a:prstGeom prst="rect">
                            <a:avLst/>
                          </a:prstGeom>
                        </pic:spPr>
                      </pic:pic>
                    </a:graphicData>
                  </a:graphic>
                </wp:inline>
              </w:drawing>
            </w:r>
            <w:r>
              <w:drawing>
                <wp:inline distT="0" distB="0" distL="0" distR="0">
                  <wp:extent cx="1333500" cy="114300"/>
                  <wp:effectExtent l="0" t="0" r="0" b="0"/>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43"/>
                          <a:stretch>
                            <a:fillRect/>
                          </a:stretch>
                        </pic:blipFill>
                        <pic:spPr>
                          <a:xfrm>
                            <a:off x="0" y="0"/>
                            <a:ext cx="1333686" cy="114316"/>
                          </a:xfrm>
                          <a:prstGeom prst="rect">
                            <a:avLst/>
                          </a:prstGeom>
                        </pic:spPr>
                      </pic:pic>
                    </a:graphicData>
                  </a:graphic>
                </wp:inline>
              </w:drawing>
            </w:r>
            <w:r>
              <w:t>1.54%</w:t>
            </w:r>
          </w:p>
        </w:tc>
      </w:tr>
      <w:tr w14:paraId="2935692A">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6000" w:type="dxa"/>
            <w:shd w:val="clear" w:color="auto" w:fill="FFFFFF"/>
            <w:vAlign w:val="center"/>
          </w:tcPr>
          <w:p w14:paraId="6FD0E6E2">
            <w:r>
              <w:t>未更换无法评价</w:t>
            </w:r>
          </w:p>
        </w:tc>
        <w:tc>
          <w:tcPr>
            <w:tcW w:w="1000" w:type="dxa"/>
            <w:shd w:val="clear" w:color="auto" w:fill="FFFFFF"/>
            <w:vAlign w:val="center"/>
          </w:tcPr>
          <w:p w14:paraId="3C3652D4">
            <w:pPr>
              <w:jc w:val="center"/>
            </w:pPr>
            <w:r>
              <w:t>19</w:t>
            </w:r>
          </w:p>
        </w:tc>
        <w:tc>
          <w:tcPr>
            <w:tcW w:w="6238" w:type="dxa"/>
            <w:shd w:val="clear" w:color="auto" w:fill="FFFFFF"/>
            <w:vAlign w:val="center"/>
          </w:tcPr>
          <w:p w14:paraId="0B146A0F">
            <w:r>
              <w:drawing>
                <wp:inline distT="0" distB="0" distL="0" distR="0">
                  <wp:extent cx="390525" cy="114300"/>
                  <wp:effectExtent l="0" t="0" r="0" b="0"/>
                  <wp:docPr id="100042" name="图片 100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2" name="图片 100042"/>
                          <pic:cNvPicPr>
                            <a:picLocks noChangeAspect="1"/>
                          </pic:cNvPicPr>
                        </pic:nvPicPr>
                        <pic:blipFill>
                          <a:blip r:embed="rId44"/>
                          <a:stretch>
                            <a:fillRect/>
                          </a:stretch>
                        </pic:blipFill>
                        <pic:spPr>
                          <a:xfrm>
                            <a:off x="0" y="0"/>
                            <a:ext cx="390580" cy="114316"/>
                          </a:xfrm>
                          <a:prstGeom prst="rect">
                            <a:avLst/>
                          </a:prstGeom>
                        </pic:spPr>
                      </pic:pic>
                    </a:graphicData>
                  </a:graphic>
                </wp:inline>
              </w:drawing>
            </w:r>
            <w:r>
              <w:drawing>
                <wp:inline distT="0" distB="0" distL="0" distR="0">
                  <wp:extent cx="962025" cy="114300"/>
                  <wp:effectExtent l="0" t="0" r="0" b="0"/>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45"/>
                          <a:stretch>
                            <a:fillRect/>
                          </a:stretch>
                        </pic:blipFill>
                        <pic:spPr>
                          <a:xfrm>
                            <a:off x="0" y="0"/>
                            <a:ext cx="962159" cy="114316"/>
                          </a:xfrm>
                          <a:prstGeom prst="rect">
                            <a:avLst/>
                          </a:prstGeom>
                        </pic:spPr>
                      </pic:pic>
                    </a:graphicData>
                  </a:graphic>
                </wp:inline>
              </w:drawing>
            </w:r>
            <w:r>
              <w:t>29.23%</w:t>
            </w:r>
          </w:p>
        </w:tc>
      </w:tr>
      <w:tr w14:paraId="028015B9">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6000" w:type="dxa"/>
            <w:shd w:val="clear" w:color="auto" w:fill="F5F5F5"/>
            <w:vAlign w:val="center"/>
          </w:tcPr>
          <w:p w14:paraId="01102E14">
            <w:r>
              <w:t>本题有效填写人次</w:t>
            </w:r>
          </w:p>
        </w:tc>
        <w:tc>
          <w:tcPr>
            <w:tcW w:w="1000" w:type="dxa"/>
            <w:shd w:val="clear" w:color="auto" w:fill="F5F5F5"/>
            <w:vAlign w:val="center"/>
          </w:tcPr>
          <w:p w14:paraId="64C4631F">
            <w:pPr>
              <w:jc w:val="center"/>
            </w:pPr>
            <w:r>
              <w:t>65</w:t>
            </w:r>
          </w:p>
        </w:tc>
        <w:tc>
          <w:tcPr>
            <w:tcW w:w="6238" w:type="dxa"/>
            <w:shd w:val="clear" w:color="auto" w:fill="F5F5F5"/>
            <w:vAlign w:val="center"/>
          </w:tcPr>
          <w:p w14:paraId="5D1B7C65"/>
        </w:tc>
      </w:tr>
    </w:tbl>
    <w:p w14:paraId="06CE0452">
      <w:pPr>
        <w:spacing w:line="360" w:lineRule="auto"/>
        <w:rPr>
          <w:color w:val="000000"/>
          <w:szCs w:val="21"/>
        </w:rPr>
      </w:pPr>
    </w:p>
    <w:p w14:paraId="2888746A">
      <w:pPr>
        <w:spacing w:line="360" w:lineRule="auto"/>
        <w:rPr>
          <w:color w:val="000000"/>
          <w:szCs w:val="21"/>
        </w:rPr>
      </w:pPr>
      <w:r>
        <w:rPr>
          <w:color w:val="000000"/>
          <w:szCs w:val="21"/>
        </w:rPr>
        <w:t>11.</w:t>
      </w:r>
      <w:r>
        <w:rPr>
          <w:rFonts w:hint="eastAsia"/>
          <w:color w:val="000000"/>
          <w:szCs w:val="21"/>
        </w:rPr>
        <w:t>请对更换后的多媒体教学设备进行满意度打分（</w:t>
      </w:r>
      <w:r>
        <w:rPr>
          <w:color w:val="000000"/>
          <w:szCs w:val="21"/>
        </w:rPr>
        <w:t>1=</w:t>
      </w:r>
      <w:r>
        <w:rPr>
          <w:rFonts w:hint="eastAsia"/>
          <w:color w:val="000000"/>
          <w:szCs w:val="21"/>
        </w:rPr>
        <w:t>非常不满意，</w:t>
      </w:r>
      <w:r>
        <w:rPr>
          <w:color w:val="000000"/>
          <w:szCs w:val="21"/>
        </w:rPr>
        <w:t>5=</w:t>
      </w:r>
      <w:r>
        <w:rPr>
          <w:rFonts w:hint="eastAsia"/>
          <w:color w:val="000000"/>
          <w:szCs w:val="21"/>
        </w:rPr>
        <w:t>非常满意）</w:t>
      </w:r>
      <w:r>
        <w:rPr>
          <w:color w:val="0066FF"/>
          <w:szCs w:val="21"/>
        </w:rPr>
        <w:t>[</w:t>
      </w:r>
      <w:r>
        <w:rPr>
          <w:rFonts w:hint="eastAsia"/>
          <w:color w:val="0066FF"/>
          <w:szCs w:val="21"/>
        </w:rPr>
        <w:t>单选题</w:t>
      </w:r>
      <w:r>
        <w:rPr>
          <w:color w:val="0066FF"/>
          <w:szCs w:val="21"/>
        </w:rPr>
        <w:t>]</w:t>
      </w:r>
    </w:p>
    <w:p w14:paraId="15E6E0F1">
      <w:pPr>
        <w:spacing w:line="360" w:lineRule="auto"/>
        <w:rPr>
          <w:color w:val="000000"/>
          <w:szCs w:val="21"/>
        </w:rPr>
      </w:pPr>
    </w:p>
    <w:tbl>
      <w:tblPr>
        <w:tblStyle w:val="13"/>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585"/>
        <w:gridCol w:w="753"/>
        <w:gridCol w:w="4552"/>
      </w:tblGrid>
      <w:tr w14:paraId="1A50007B">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6000" w:type="dxa"/>
            <w:shd w:val="clear" w:color="auto" w:fill="F5F5F5"/>
            <w:vAlign w:val="center"/>
          </w:tcPr>
          <w:p w14:paraId="55502AFE">
            <w:r>
              <w:t>选项</w:t>
            </w:r>
          </w:p>
        </w:tc>
        <w:tc>
          <w:tcPr>
            <w:tcW w:w="1000" w:type="dxa"/>
            <w:shd w:val="clear" w:color="auto" w:fill="F5F5F5"/>
            <w:vAlign w:val="center"/>
          </w:tcPr>
          <w:p w14:paraId="7F8E459F">
            <w:pPr>
              <w:jc w:val="center"/>
            </w:pPr>
            <w:r>
              <w:t>小计</w:t>
            </w:r>
          </w:p>
        </w:tc>
        <w:tc>
          <w:tcPr>
            <w:tcW w:w="6238" w:type="dxa"/>
            <w:shd w:val="clear" w:color="auto" w:fill="F5F5F5"/>
            <w:vAlign w:val="center"/>
          </w:tcPr>
          <w:p w14:paraId="1011EA23">
            <w:r>
              <w:t>比例</w:t>
            </w:r>
          </w:p>
        </w:tc>
      </w:tr>
      <w:tr w14:paraId="3C845A38">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6000" w:type="dxa"/>
            <w:shd w:val="clear" w:color="auto" w:fill="FFFFFF"/>
            <w:vAlign w:val="center"/>
          </w:tcPr>
          <w:p w14:paraId="0A2F3844">
            <w:r>
              <w:t>1</w:t>
            </w:r>
          </w:p>
        </w:tc>
        <w:tc>
          <w:tcPr>
            <w:tcW w:w="1000" w:type="dxa"/>
            <w:shd w:val="clear" w:color="auto" w:fill="FFFFFF"/>
            <w:vAlign w:val="center"/>
          </w:tcPr>
          <w:p w14:paraId="508E4A6A">
            <w:pPr>
              <w:jc w:val="center"/>
            </w:pPr>
            <w:r>
              <w:t>0</w:t>
            </w:r>
          </w:p>
        </w:tc>
        <w:tc>
          <w:tcPr>
            <w:tcW w:w="6238" w:type="dxa"/>
            <w:shd w:val="clear" w:color="auto" w:fill="FFFFFF"/>
            <w:vAlign w:val="center"/>
          </w:tcPr>
          <w:p w14:paraId="7DC9A9CF">
            <w:r>
              <w:drawing>
                <wp:inline distT="0" distB="0" distL="0" distR="0">
                  <wp:extent cx="1352550" cy="114300"/>
                  <wp:effectExtent l="0" t="0" r="0" b="0"/>
                  <wp:docPr id="100044" name="图片 100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4" name="图片 100044"/>
                          <pic:cNvPicPr>
                            <a:picLocks noChangeAspect="1"/>
                          </pic:cNvPicPr>
                        </pic:nvPicPr>
                        <pic:blipFill>
                          <a:blip r:embed="rId41"/>
                          <a:stretch>
                            <a:fillRect/>
                          </a:stretch>
                        </pic:blipFill>
                        <pic:spPr>
                          <a:xfrm>
                            <a:off x="0" y="0"/>
                            <a:ext cx="1352739" cy="114316"/>
                          </a:xfrm>
                          <a:prstGeom prst="rect">
                            <a:avLst/>
                          </a:prstGeom>
                        </pic:spPr>
                      </pic:pic>
                    </a:graphicData>
                  </a:graphic>
                </wp:inline>
              </w:drawing>
            </w:r>
            <w:r>
              <w:t>0%</w:t>
            </w:r>
          </w:p>
        </w:tc>
      </w:tr>
      <w:tr w14:paraId="6335365C">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6000" w:type="dxa"/>
            <w:shd w:val="clear" w:color="auto" w:fill="FAFAFA"/>
            <w:vAlign w:val="center"/>
          </w:tcPr>
          <w:p w14:paraId="3C85DF1A">
            <w:r>
              <w:t>2</w:t>
            </w:r>
          </w:p>
        </w:tc>
        <w:tc>
          <w:tcPr>
            <w:tcW w:w="1000" w:type="dxa"/>
            <w:shd w:val="clear" w:color="auto" w:fill="FAFAFA"/>
            <w:vAlign w:val="center"/>
          </w:tcPr>
          <w:p w14:paraId="76CCAA3B">
            <w:pPr>
              <w:jc w:val="center"/>
            </w:pPr>
            <w:r>
              <w:t>0</w:t>
            </w:r>
          </w:p>
        </w:tc>
        <w:tc>
          <w:tcPr>
            <w:tcW w:w="6238" w:type="dxa"/>
            <w:shd w:val="clear" w:color="auto" w:fill="FAFAFA"/>
            <w:vAlign w:val="center"/>
          </w:tcPr>
          <w:p w14:paraId="24AB85B5">
            <w:r>
              <w:drawing>
                <wp:inline distT="0" distB="0" distL="0" distR="0">
                  <wp:extent cx="1352550" cy="114300"/>
                  <wp:effectExtent l="0" t="0" r="0" b="0"/>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41"/>
                          <a:stretch>
                            <a:fillRect/>
                          </a:stretch>
                        </pic:blipFill>
                        <pic:spPr>
                          <a:xfrm>
                            <a:off x="0" y="0"/>
                            <a:ext cx="1352739" cy="114316"/>
                          </a:xfrm>
                          <a:prstGeom prst="rect">
                            <a:avLst/>
                          </a:prstGeom>
                        </pic:spPr>
                      </pic:pic>
                    </a:graphicData>
                  </a:graphic>
                </wp:inline>
              </w:drawing>
            </w:r>
            <w:r>
              <w:t>0%</w:t>
            </w:r>
          </w:p>
        </w:tc>
      </w:tr>
      <w:tr w14:paraId="71363729">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6000" w:type="dxa"/>
            <w:shd w:val="clear" w:color="auto" w:fill="FFFFFF"/>
            <w:vAlign w:val="center"/>
          </w:tcPr>
          <w:p w14:paraId="0B735DD0">
            <w:r>
              <w:t>3</w:t>
            </w:r>
          </w:p>
        </w:tc>
        <w:tc>
          <w:tcPr>
            <w:tcW w:w="1000" w:type="dxa"/>
            <w:shd w:val="clear" w:color="auto" w:fill="FFFFFF"/>
            <w:vAlign w:val="center"/>
          </w:tcPr>
          <w:p w14:paraId="63E2A7BD">
            <w:pPr>
              <w:jc w:val="center"/>
            </w:pPr>
            <w:r>
              <w:t>1</w:t>
            </w:r>
          </w:p>
        </w:tc>
        <w:tc>
          <w:tcPr>
            <w:tcW w:w="6238" w:type="dxa"/>
            <w:shd w:val="clear" w:color="auto" w:fill="FFFFFF"/>
            <w:vAlign w:val="center"/>
          </w:tcPr>
          <w:p w14:paraId="0949D9D3">
            <w:r>
              <w:drawing>
                <wp:inline distT="0" distB="0" distL="0" distR="0">
                  <wp:extent cx="28575" cy="114300"/>
                  <wp:effectExtent l="0" t="0" r="0" b="0"/>
                  <wp:docPr id="100046" name="图片 100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6" name="图片 100046"/>
                          <pic:cNvPicPr>
                            <a:picLocks noChangeAspect="1"/>
                          </pic:cNvPicPr>
                        </pic:nvPicPr>
                        <pic:blipFill>
                          <a:blip r:embed="rId21"/>
                          <a:stretch>
                            <a:fillRect/>
                          </a:stretch>
                        </pic:blipFill>
                        <pic:spPr>
                          <a:xfrm>
                            <a:off x="0" y="0"/>
                            <a:ext cx="28579" cy="114316"/>
                          </a:xfrm>
                          <a:prstGeom prst="rect">
                            <a:avLst/>
                          </a:prstGeom>
                        </pic:spPr>
                      </pic:pic>
                    </a:graphicData>
                  </a:graphic>
                </wp:inline>
              </w:drawing>
            </w:r>
            <w:r>
              <w:drawing>
                <wp:inline distT="0" distB="0" distL="0" distR="0">
                  <wp:extent cx="1323975" cy="114300"/>
                  <wp:effectExtent l="0" t="0" r="0" b="0"/>
                  <wp:docPr id="100047" name="图片 10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pic:cNvPicPr>
                            <a:picLocks noChangeAspect="1"/>
                          </pic:cNvPicPr>
                        </pic:nvPicPr>
                        <pic:blipFill>
                          <a:blip r:embed="rId22"/>
                          <a:stretch>
                            <a:fillRect/>
                          </a:stretch>
                        </pic:blipFill>
                        <pic:spPr>
                          <a:xfrm>
                            <a:off x="0" y="0"/>
                            <a:ext cx="1324160" cy="114316"/>
                          </a:xfrm>
                          <a:prstGeom prst="rect">
                            <a:avLst/>
                          </a:prstGeom>
                        </pic:spPr>
                      </pic:pic>
                    </a:graphicData>
                  </a:graphic>
                </wp:inline>
              </w:drawing>
            </w:r>
            <w:r>
              <w:t>2.17%</w:t>
            </w:r>
          </w:p>
        </w:tc>
      </w:tr>
      <w:tr w14:paraId="6E5C909A">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6000" w:type="dxa"/>
            <w:shd w:val="clear" w:color="auto" w:fill="FAFAFA"/>
            <w:vAlign w:val="center"/>
          </w:tcPr>
          <w:p w14:paraId="47EF12FC">
            <w:r>
              <w:t>4</w:t>
            </w:r>
          </w:p>
        </w:tc>
        <w:tc>
          <w:tcPr>
            <w:tcW w:w="1000" w:type="dxa"/>
            <w:shd w:val="clear" w:color="auto" w:fill="FAFAFA"/>
            <w:vAlign w:val="center"/>
          </w:tcPr>
          <w:p w14:paraId="39B82763">
            <w:pPr>
              <w:jc w:val="center"/>
            </w:pPr>
            <w:r>
              <w:t>16</w:t>
            </w:r>
          </w:p>
        </w:tc>
        <w:tc>
          <w:tcPr>
            <w:tcW w:w="6238" w:type="dxa"/>
            <w:shd w:val="clear" w:color="auto" w:fill="FAFAFA"/>
            <w:vAlign w:val="center"/>
          </w:tcPr>
          <w:p w14:paraId="68CBD2A2">
            <w:r>
              <w:drawing>
                <wp:inline distT="0" distB="0" distL="0" distR="0">
                  <wp:extent cx="466725" cy="114300"/>
                  <wp:effectExtent l="0" t="0" r="0" b="0"/>
                  <wp:docPr id="100048" name="图片 100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8" name="图片 100048"/>
                          <pic:cNvPicPr>
                            <a:picLocks noChangeAspect="1"/>
                          </pic:cNvPicPr>
                        </pic:nvPicPr>
                        <pic:blipFill>
                          <a:blip r:embed="rId46"/>
                          <a:stretch>
                            <a:fillRect/>
                          </a:stretch>
                        </pic:blipFill>
                        <pic:spPr>
                          <a:xfrm>
                            <a:off x="0" y="0"/>
                            <a:ext cx="466790" cy="114316"/>
                          </a:xfrm>
                          <a:prstGeom prst="rect">
                            <a:avLst/>
                          </a:prstGeom>
                        </pic:spPr>
                      </pic:pic>
                    </a:graphicData>
                  </a:graphic>
                </wp:inline>
              </w:drawing>
            </w:r>
            <w:r>
              <w:drawing>
                <wp:inline distT="0" distB="0" distL="0" distR="0">
                  <wp:extent cx="885825" cy="114300"/>
                  <wp:effectExtent l="0" t="0" r="0" b="0"/>
                  <wp:docPr id="100049" name="图片 100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pic:cNvPicPr>
                            <a:picLocks noChangeAspect="1"/>
                          </pic:cNvPicPr>
                        </pic:nvPicPr>
                        <pic:blipFill>
                          <a:blip r:embed="rId47"/>
                          <a:stretch>
                            <a:fillRect/>
                          </a:stretch>
                        </pic:blipFill>
                        <pic:spPr>
                          <a:xfrm>
                            <a:off x="0" y="0"/>
                            <a:ext cx="885949" cy="114316"/>
                          </a:xfrm>
                          <a:prstGeom prst="rect">
                            <a:avLst/>
                          </a:prstGeom>
                        </pic:spPr>
                      </pic:pic>
                    </a:graphicData>
                  </a:graphic>
                </wp:inline>
              </w:drawing>
            </w:r>
            <w:r>
              <w:t>34.78%</w:t>
            </w:r>
          </w:p>
        </w:tc>
      </w:tr>
      <w:tr w14:paraId="494130C9">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6000" w:type="dxa"/>
            <w:shd w:val="clear" w:color="auto" w:fill="FFFFFF"/>
            <w:vAlign w:val="center"/>
          </w:tcPr>
          <w:p w14:paraId="70245888">
            <w:r>
              <w:t>5</w:t>
            </w:r>
          </w:p>
        </w:tc>
        <w:tc>
          <w:tcPr>
            <w:tcW w:w="1000" w:type="dxa"/>
            <w:shd w:val="clear" w:color="auto" w:fill="FFFFFF"/>
            <w:vAlign w:val="center"/>
          </w:tcPr>
          <w:p w14:paraId="3D654B86">
            <w:pPr>
              <w:jc w:val="center"/>
            </w:pPr>
            <w:r>
              <w:t>29</w:t>
            </w:r>
          </w:p>
        </w:tc>
        <w:tc>
          <w:tcPr>
            <w:tcW w:w="6238" w:type="dxa"/>
            <w:shd w:val="clear" w:color="auto" w:fill="FFFFFF"/>
            <w:vAlign w:val="center"/>
          </w:tcPr>
          <w:p w14:paraId="720F1FBB">
            <w:r>
              <w:drawing>
                <wp:inline distT="0" distB="0" distL="0" distR="0">
                  <wp:extent cx="847725" cy="114300"/>
                  <wp:effectExtent l="0" t="0" r="0" b="0"/>
                  <wp:docPr id="100050" name="图片 100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0" name="图片 100050"/>
                          <pic:cNvPicPr>
                            <a:picLocks noChangeAspect="1"/>
                          </pic:cNvPicPr>
                        </pic:nvPicPr>
                        <pic:blipFill>
                          <a:blip r:embed="rId48"/>
                          <a:stretch>
                            <a:fillRect/>
                          </a:stretch>
                        </pic:blipFill>
                        <pic:spPr>
                          <a:xfrm>
                            <a:off x="0" y="0"/>
                            <a:ext cx="847843" cy="114316"/>
                          </a:xfrm>
                          <a:prstGeom prst="rect">
                            <a:avLst/>
                          </a:prstGeom>
                        </pic:spPr>
                      </pic:pic>
                    </a:graphicData>
                  </a:graphic>
                </wp:inline>
              </w:drawing>
            </w:r>
            <w:r>
              <w:drawing>
                <wp:inline distT="0" distB="0" distL="0" distR="0">
                  <wp:extent cx="504825" cy="114300"/>
                  <wp:effectExtent l="0" t="0" r="0" b="0"/>
                  <wp:docPr id="100051" name="图片 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pic:cNvPicPr>
                            <a:picLocks noChangeAspect="1"/>
                          </pic:cNvPicPr>
                        </pic:nvPicPr>
                        <pic:blipFill>
                          <a:blip r:embed="rId49"/>
                          <a:stretch>
                            <a:fillRect/>
                          </a:stretch>
                        </pic:blipFill>
                        <pic:spPr>
                          <a:xfrm>
                            <a:off x="0" y="0"/>
                            <a:ext cx="504895" cy="114316"/>
                          </a:xfrm>
                          <a:prstGeom prst="rect">
                            <a:avLst/>
                          </a:prstGeom>
                        </pic:spPr>
                      </pic:pic>
                    </a:graphicData>
                  </a:graphic>
                </wp:inline>
              </w:drawing>
            </w:r>
            <w:r>
              <w:t>63.04%</w:t>
            </w:r>
          </w:p>
        </w:tc>
      </w:tr>
      <w:tr w14:paraId="4D554EC1">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6000" w:type="dxa"/>
            <w:shd w:val="clear" w:color="auto" w:fill="F5F5F5"/>
            <w:vAlign w:val="center"/>
          </w:tcPr>
          <w:p w14:paraId="64F95F91">
            <w:r>
              <w:t>本题有效填写人次</w:t>
            </w:r>
          </w:p>
        </w:tc>
        <w:tc>
          <w:tcPr>
            <w:tcW w:w="1000" w:type="dxa"/>
            <w:shd w:val="clear" w:color="auto" w:fill="F5F5F5"/>
            <w:vAlign w:val="center"/>
          </w:tcPr>
          <w:p w14:paraId="4DD421A1">
            <w:pPr>
              <w:jc w:val="center"/>
            </w:pPr>
            <w:r>
              <w:t>46</w:t>
            </w:r>
          </w:p>
        </w:tc>
        <w:tc>
          <w:tcPr>
            <w:tcW w:w="6238" w:type="dxa"/>
            <w:shd w:val="clear" w:color="auto" w:fill="F5F5F5"/>
            <w:vAlign w:val="center"/>
          </w:tcPr>
          <w:p w14:paraId="5E1B032A"/>
        </w:tc>
      </w:tr>
    </w:tbl>
    <w:p w14:paraId="5CBB1C8D">
      <w:pPr>
        <w:spacing w:line="360" w:lineRule="auto"/>
        <w:rPr>
          <w:color w:val="000000"/>
          <w:szCs w:val="21"/>
        </w:rPr>
      </w:pPr>
    </w:p>
    <w:p w14:paraId="11433048">
      <w:pPr>
        <w:spacing w:line="360" w:lineRule="auto"/>
        <w:rPr>
          <w:color w:val="000000"/>
          <w:szCs w:val="21"/>
        </w:rPr>
      </w:pPr>
      <w:r>
        <w:rPr>
          <w:color w:val="000000"/>
          <w:szCs w:val="21"/>
        </w:rPr>
        <w:t xml:space="preserve">12. </w:t>
      </w:r>
      <w:r>
        <w:rPr>
          <w:rFonts w:hint="eastAsia"/>
          <w:color w:val="000000"/>
          <w:szCs w:val="21"/>
        </w:rPr>
        <w:t>贵校对中小学班级多媒体教学设备全覆盖工程及后续运维工作有哪些改进建议？</w:t>
      </w:r>
      <w:r>
        <w:rPr>
          <w:color w:val="000000"/>
          <w:szCs w:val="21"/>
        </w:rPr>
        <w:t>:_</w:t>
      </w:r>
      <w:r>
        <w:rPr>
          <w:color w:val="000000"/>
          <w:szCs w:val="21"/>
          <w:u w:val="single"/>
        </w:rPr>
        <w:t>__</w:t>
      </w:r>
      <w:r>
        <w:rPr>
          <w:rFonts w:hint="eastAsia"/>
          <w:color w:val="000000"/>
          <w:szCs w:val="21"/>
          <w:u w:val="single"/>
        </w:rPr>
        <w:t>/</w:t>
      </w:r>
      <w:r>
        <w:rPr>
          <w:color w:val="000000"/>
          <w:szCs w:val="21"/>
          <w:u w:val="single"/>
        </w:rPr>
        <w:t>_</w:t>
      </w:r>
      <w:r>
        <w:rPr>
          <w:color w:val="000000"/>
          <w:szCs w:val="21"/>
        </w:rPr>
        <w:t>_</w:t>
      </w:r>
      <w:r>
        <w:rPr>
          <w:color w:val="0066FF"/>
          <w:szCs w:val="21"/>
        </w:rPr>
        <w:t>[</w:t>
      </w:r>
      <w:r>
        <w:rPr>
          <w:rFonts w:hint="eastAsia"/>
          <w:color w:val="0066FF"/>
          <w:szCs w:val="21"/>
        </w:rPr>
        <w:t>填空题</w:t>
      </w:r>
      <w:r>
        <w:rPr>
          <w:color w:val="0066FF"/>
          <w:szCs w:val="21"/>
        </w:rPr>
        <w:t>]</w:t>
      </w:r>
      <w:bookmarkEnd w:id="102"/>
      <w:bookmarkEnd w:id="103"/>
      <w:bookmarkEnd w:id="104"/>
      <w:bookmarkEnd w:id="105"/>
    </w:p>
    <w:sectPr>
      <w:headerReference r:id="rId5" w:type="default"/>
      <w:footerReference r:id="rId6" w:type="default"/>
      <w:pgSz w:w="11906" w:h="16838"/>
      <w:pgMar w:top="1417" w:right="1531" w:bottom="1531" w:left="1701" w:header="851" w:footer="992" w:gutter="0"/>
      <w:pgNumType w:start="1"/>
      <w:cols w:space="0" w:num="1"/>
      <w:docGrid w:type="lines" w:linePitch="42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华文行楷">
    <w:panose1 w:val="02010800040101010101"/>
    <w:charset w:val="86"/>
    <w:family w:val="auto"/>
    <w:pitch w:val="default"/>
    <w:sig w:usb0="00000001" w:usb1="080F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E5547">
    <w:pPr>
      <w:pStyle w:val="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7" name="文本框 9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1D96E5">
                          <w:pPr>
                            <w:pStyle w:val="9"/>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C7gwGItAgAAVwQAAA4AAAAAAAAAAQAgAAAAHwEAAGRycy9lMm9Eb2MueG1sUEsFBgAAAAAG&#10;AAYAWQEAAL4FAAAAAA==&#10;">
              <v:fill on="f" focussize="0,0"/>
              <v:stroke on="f" weight="0.5pt"/>
              <v:imagedata o:title=""/>
              <o:lock v:ext="edit" aspectratio="f"/>
              <v:textbox inset="0mm,0mm,0mm,0mm" style="mso-fit-shape-to-text:t;">
                <w:txbxContent>
                  <w:p w14:paraId="031D96E5">
                    <w:pPr>
                      <w:pStyle w:val="9"/>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41723906"/>
    </w:sdtPr>
    <w:sdtContent>
      <w:p w14:paraId="462AD5E7">
        <w:pPr>
          <w:pStyle w:val="9"/>
          <w:jc w:val="center"/>
        </w:pPr>
        <w:r>
          <w:fldChar w:fldCharType="begin"/>
        </w:r>
        <w:r>
          <w:instrText xml:space="preserve">PAGE   \* MERGEFORMAT</w:instrText>
        </w:r>
        <w:r>
          <w:fldChar w:fldCharType="separate"/>
        </w:r>
        <w:r>
          <w:rPr>
            <w:lang w:val="zh-CN"/>
          </w:rPr>
          <w:t>2</w:t>
        </w:r>
        <w:r>
          <w:fldChar w:fldCharType="end"/>
        </w:r>
      </w:p>
    </w:sdtContent>
  </w:sdt>
  <w:p w14:paraId="745CE139">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17143B">
    <w:r>
      <w:rPr>
        <w:rStyle w:val="16"/>
        <w:rFonts w:hint="eastAsia" w:ascii="Times New Roman" w:hAnsi="Times New Roman" w:eastAsia="仿宋_GB2312" w:cs="Times New Roman"/>
        <w:szCs w:val="32"/>
        <w:u w:val="thick"/>
      </w:rPr>
      <w:t xml:space="preserve">2024年石狮市中小学班级多媒体教学设备全覆盖工程项目支出绩效评价报告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C12DDB">
    <w:pPr>
      <w:rPr>
        <w:rStyle w:val="16"/>
        <w:rFonts w:ascii="Times New Roman" w:hAnsi="Times New Roman" w:eastAsia="仿宋_GB2312" w:cs="Times New Roman"/>
        <w:szCs w:val="21"/>
        <w:u w:val="thick"/>
      </w:rPr>
    </w:pPr>
    <w:r>
      <w:rPr>
        <w:rStyle w:val="16"/>
        <w:rFonts w:hint="eastAsia" w:ascii="Times New Roman" w:hAnsi="Times New Roman" w:eastAsia="仿宋_GB2312" w:cs="Times New Roman"/>
        <w:szCs w:val="21"/>
        <w:u w:val="thick"/>
      </w:rPr>
      <w:t xml:space="preserve">2024年石狮市中小学班级多媒体教学设备全覆盖工程项目支出绩效评价报告                                    </w:t>
    </w:r>
  </w:p>
  <w:p w14:paraId="08091017">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0BE587"/>
    <w:multiLevelType w:val="singleLevel"/>
    <w:tmpl w:val="E30BE587"/>
    <w:lvl w:ilvl="0" w:tentative="0">
      <w:start w:val="1"/>
      <w:numFmt w:val="bullet"/>
      <w:pStyle w:val="6"/>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294"/>
  <w:drawingGridHorizontalSpacing w:val="105"/>
  <w:drawingGridVerticalSpacing w:val="23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010"/>
    <w:rsid w:val="0000200A"/>
    <w:rsid w:val="00003011"/>
    <w:rsid w:val="00005777"/>
    <w:rsid w:val="00006DFA"/>
    <w:rsid w:val="00007015"/>
    <w:rsid w:val="00007F8D"/>
    <w:rsid w:val="00011323"/>
    <w:rsid w:val="00014575"/>
    <w:rsid w:val="00016203"/>
    <w:rsid w:val="00024B87"/>
    <w:rsid w:val="00025A8D"/>
    <w:rsid w:val="00026E71"/>
    <w:rsid w:val="00027ED2"/>
    <w:rsid w:val="00030AE0"/>
    <w:rsid w:val="00032596"/>
    <w:rsid w:val="00032D1A"/>
    <w:rsid w:val="000331AF"/>
    <w:rsid w:val="00036800"/>
    <w:rsid w:val="000449CC"/>
    <w:rsid w:val="00046F09"/>
    <w:rsid w:val="000502D1"/>
    <w:rsid w:val="00054AD7"/>
    <w:rsid w:val="000557AC"/>
    <w:rsid w:val="00057A16"/>
    <w:rsid w:val="00057F83"/>
    <w:rsid w:val="00064EBA"/>
    <w:rsid w:val="00065BDE"/>
    <w:rsid w:val="000715DA"/>
    <w:rsid w:val="00071C3C"/>
    <w:rsid w:val="000740B8"/>
    <w:rsid w:val="00075480"/>
    <w:rsid w:val="00076019"/>
    <w:rsid w:val="0007714E"/>
    <w:rsid w:val="000807B1"/>
    <w:rsid w:val="00082018"/>
    <w:rsid w:val="00082815"/>
    <w:rsid w:val="00082A24"/>
    <w:rsid w:val="00092D57"/>
    <w:rsid w:val="00092ECF"/>
    <w:rsid w:val="000957FB"/>
    <w:rsid w:val="0009759E"/>
    <w:rsid w:val="00097A5F"/>
    <w:rsid w:val="000A14E9"/>
    <w:rsid w:val="000A2C9A"/>
    <w:rsid w:val="000A315E"/>
    <w:rsid w:val="000A59D2"/>
    <w:rsid w:val="000A6CAA"/>
    <w:rsid w:val="000A7D13"/>
    <w:rsid w:val="000B2B24"/>
    <w:rsid w:val="000B5A73"/>
    <w:rsid w:val="000B690E"/>
    <w:rsid w:val="000C37C9"/>
    <w:rsid w:val="000C5D90"/>
    <w:rsid w:val="000D5374"/>
    <w:rsid w:val="000D6B2A"/>
    <w:rsid w:val="000E0A6F"/>
    <w:rsid w:val="000E6108"/>
    <w:rsid w:val="000E7766"/>
    <w:rsid w:val="000E7903"/>
    <w:rsid w:val="000F0644"/>
    <w:rsid w:val="000F32B4"/>
    <w:rsid w:val="001006BC"/>
    <w:rsid w:val="001017CE"/>
    <w:rsid w:val="00105558"/>
    <w:rsid w:val="00105A6E"/>
    <w:rsid w:val="00107242"/>
    <w:rsid w:val="00114DF5"/>
    <w:rsid w:val="00121D30"/>
    <w:rsid w:val="00122B5E"/>
    <w:rsid w:val="00122DBD"/>
    <w:rsid w:val="00126221"/>
    <w:rsid w:val="00130D9F"/>
    <w:rsid w:val="0013187A"/>
    <w:rsid w:val="00131FA2"/>
    <w:rsid w:val="00134C90"/>
    <w:rsid w:val="00135B5B"/>
    <w:rsid w:val="0013761F"/>
    <w:rsid w:val="00140F7C"/>
    <w:rsid w:val="00141A70"/>
    <w:rsid w:val="00144D47"/>
    <w:rsid w:val="00144DE8"/>
    <w:rsid w:val="00145AB3"/>
    <w:rsid w:val="00145DD1"/>
    <w:rsid w:val="00146A58"/>
    <w:rsid w:val="001605AF"/>
    <w:rsid w:val="00166060"/>
    <w:rsid w:val="001660F0"/>
    <w:rsid w:val="00167102"/>
    <w:rsid w:val="00167D11"/>
    <w:rsid w:val="00172B80"/>
    <w:rsid w:val="00174FB1"/>
    <w:rsid w:val="00175630"/>
    <w:rsid w:val="00176223"/>
    <w:rsid w:val="0017684B"/>
    <w:rsid w:val="00182226"/>
    <w:rsid w:val="0018506F"/>
    <w:rsid w:val="001878AB"/>
    <w:rsid w:val="00193718"/>
    <w:rsid w:val="00193A76"/>
    <w:rsid w:val="00195DC9"/>
    <w:rsid w:val="00196834"/>
    <w:rsid w:val="001A1C40"/>
    <w:rsid w:val="001A3C49"/>
    <w:rsid w:val="001A435A"/>
    <w:rsid w:val="001A4493"/>
    <w:rsid w:val="001A5A57"/>
    <w:rsid w:val="001A7597"/>
    <w:rsid w:val="001A7CBE"/>
    <w:rsid w:val="001B2FC8"/>
    <w:rsid w:val="001B4684"/>
    <w:rsid w:val="001B7AF5"/>
    <w:rsid w:val="001C2451"/>
    <w:rsid w:val="001D0325"/>
    <w:rsid w:val="001D0515"/>
    <w:rsid w:val="001D110D"/>
    <w:rsid w:val="001D2A7D"/>
    <w:rsid w:val="001D3CF4"/>
    <w:rsid w:val="001D563E"/>
    <w:rsid w:val="001E0C89"/>
    <w:rsid w:val="001E2BDF"/>
    <w:rsid w:val="001E4750"/>
    <w:rsid w:val="001F062F"/>
    <w:rsid w:val="001F09D5"/>
    <w:rsid w:val="001F30F6"/>
    <w:rsid w:val="001F4942"/>
    <w:rsid w:val="001F4BA7"/>
    <w:rsid w:val="001F5875"/>
    <w:rsid w:val="002014F5"/>
    <w:rsid w:val="002035D6"/>
    <w:rsid w:val="00204413"/>
    <w:rsid w:val="00205B07"/>
    <w:rsid w:val="00205D69"/>
    <w:rsid w:val="00206ED4"/>
    <w:rsid w:val="002073FF"/>
    <w:rsid w:val="002074E4"/>
    <w:rsid w:val="002117E8"/>
    <w:rsid w:val="00213640"/>
    <w:rsid w:val="00213D09"/>
    <w:rsid w:val="002160DC"/>
    <w:rsid w:val="00217A0F"/>
    <w:rsid w:val="00220B71"/>
    <w:rsid w:val="0022239D"/>
    <w:rsid w:val="0022525E"/>
    <w:rsid w:val="0022637B"/>
    <w:rsid w:val="0022637E"/>
    <w:rsid w:val="00230C53"/>
    <w:rsid w:val="002327E6"/>
    <w:rsid w:val="00234097"/>
    <w:rsid w:val="002348A1"/>
    <w:rsid w:val="0023572A"/>
    <w:rsid w:val="002413BB"/>
    <w:rsid w:val="00242B15"/>
    <w:rsid w:val="002440B4"/>
    <w:rsid w:val="00244D71"/>
    <w:rsid w:val="00245A0A"/>
    <w:rsid w:val="00245B47"/>
    <w:rsid w:val="00246E76"/>
    <w:rsid w:val="00246EDA"/>
    <w:rsid w:val="00252325"/>
    <w:rsid w:val="00252DFE"/>
    <w:rsid w:val="0025427F"/>
    <w:rsid w:val="00254EC3"/>
    <w:rsid w:val="00261E11"/>
    <w:rsid w:val="002636FC"/>
    <w:rsid w:val="002649CB"/>
    <w:rsid w:val="002654A0"/>
    <w:rsid w:val="00265555"/>
    <w:rsid w:val="0026667C"/>
    <w:rsid w:val="0026744B"/>
    <w:rsid w:val="0027077D"/>
    <w:rsid w:val="00273B08"/>
    <w:rsid w:val="0027767F"/>
    <w:rsid w:val="00281654"/>
    <w:rsid w:val="00284C24"/>
    <w:rsid w:val="00292886"/>
    <w:rsid w:val="0029577C"/>
    <w:rsid w:val="00295A06"/>
    <w:rsid w:val="002A46AF"/>
    <w:rsid w:val="002A4752"/>
    <w:rsid w:val="002B095E"/>
    <w:rsid w:val="002B1E0D"/>
    <w:rsid w:val="002B2BE1"/>
    <w:rsid w:val="002B5964"/>
    <w:rsid w:val="002B6365"/>
    <w:rsid w:val="002B65A1"/>
    <w:rsid w:val="002B7BDE"/>
    <w:rsid w:val="002C539C"/>
    <w:rsid w:val="002C7D04"/>
    <w:rsid w:val="002D1010"/>
    <w:rsid w:val="002D5671"/>
    <w:rsid w:val="002D6B9C"/>
    <w:rsid w:val="002D707A"/>
    <w:rsid w:val="002E039D"/>
    <w:rsid w:val="002E0A71"/>
    <w:rsid w:val="002E24F1"/>
    <w:rsid w:val="00303AAC"/>
    <w:rsid w:val="003073AA"/>
    <w:rsid w:val="00307959"/>
    <w:rsid w:val="00310043"/>
    <w:rsid w:val="003105FD"/>
    <w:rsid w:val="00320BD2"/>
    <w:rsid w:val="003223B6"/>
    <w:rsid w:val="00322A9D"/>
    <w:rsid w:val="00324E37"/>
    <w:rsid w:val="003260DF"/>
    <w:rsid w:val="0032706E"/>
    <w:rsid w:val="00331959"/>
    <w:rsid w:val="00332028"/>
    <w:rsid w:val="00332A96"/>
    <w:rsid w:val="0033300C"/>
    <w:rsid w:val="00340196"/>
    <w:rsid w:val="00340927"/>
    <w:rsid w:val="00346C8A"/>
    <w:rsid w:val="00354949"/>
    <w:rsid w:val="00356589"/>
    <w:rsid w:val="00362864"/>
    <w:rsid w:val="003658CE"/>
    <w:rsid w:val="003666B6"/>
    <w:rsid w:val="00371E26"/>
    <w:rsid w:val="00373948"/>
    <w:rsid w:val="003768C4"/>
    <w:rsid w:val="00377A3A"/>
    <w:rsid w:val="00380410"/>
    <w:rsid w:val="00381727"/>
    <w:rsid w:val="00384018"/>
    <w:rsid w:val="00384481"/>
    <w:rsid w:val="003849F1"/>
    <w:rsid w:val="00386044"/>
    <w:rsid w:val="003878C2"/>
    <w:rsid w:val="00390164"/>
    <w:rsid w:val="00391A91"/>
    <w:rsid w:val="00394315"/>
    <w:rsid w:val="003A3140"/>
    <w:rsid w:val="003A4451"/>
    <w:rsid w:val="003B2360"/>
    <w:rsid w:val="003B6266"/>
    <w:rsid w:val="003B685F"/>
    <w:rsid w:val="003C0789"/>
    <w:rsid w:val="003C0F41"/>
    <w:rsid w:val="003C3B8A"/>
    <w:rsid w:val="003C3D59"/>
    <w:rsid w:val="003D02DD"/>
    <w:rsid w:val="003D0CF4"/>
    <w:rsid w:val="003D1B3D"/>
    <w:rsid w:val="003D499F"/>
    <w:rsid w:val="003D58CB"/>
    <w:rsid w:val="003D650A"/>
    <w:rsid w:val="003E04E5"/>
    <w:rsid w:val="003E2884"/>
    <w:rsid w:val="003E2D5D"/>
    <w:rsid w:val="003E7112"/>
    <w:rsid w:val="003F417C"/>
    <w:rsid w:val="003F49CD"/>
    <w:rsid w:val="00400541"/>
    <w:rsid w:val="004005AB"/>
    <w:rsid w:val="00400A65"/>
    <w:rsid w:val="00410F29"/>
    <w:rsid w:val="004159D7"/>
    <w:rsid w:val="00417826"/>
    <w:rsid w:val="004277FC"/>
    <w:rsid w:val="00432FDB"/>
    <w:rsid w:val="004345CC"/>
    <w:rsid w:val="00437D30"/>
    <w:rsid w:val="00441229"/>
    <w:rsid w:val="0044150A"/>
    <w:rsid w:val="004428E7"/>
    <w:rsid w:val="00442C6B"/>
    <w:rsid w:val="0045174E"/>
    <w:rsid w:val="0045435E"/>
    <w:rsid w:val="00465CE3"/>
    <w:rsid w:val="00471834"/>
    <w:rsid w:val="00474479"/>
    <w:rsid w:val="004818F2"/>
    <w:rsid w:val="0048276F"/>
    <w:rsid w:val="00483196"/>
    <w:rsid w:val="00485E34"/>
    <w:rsid w:val="00490635"/>
    <w:rsid w:val="00490AB6"/>
    <w:rsid w:val="00493C29"/>
    <w:rsid w:val="0049495C"/>
    <w:rsid w:val="00495BFF"/>
    <w:rsid w:val="004A1045"/>
    <w:rsid w:val="004A4F10"/>
    <w:rsid w:val="004A5560"/>
    <w:rsid w:val="004A5C17"/>
    <w:rsid w:val="004A74C1"/>
    <w:rsid w:val="004B7B55"/>
    <w:rsid w:val="004C106A"/>
    <w:rsid w:val="004C4402"/>
    <w:rsid w:val="004C6313"/>
    <w:rsid w:val="004C6A58"/>
    <w:rsid w:val="004C6CB7"/>
    <w:rsid w:val="004D0D42"/>
    <w:rsid w:val="004D0D62"/>
    <w:rsid w:val="004D2012"/>
    <w:rsid w:val="004D2BD2"/>
    <w:rsid w:val="004D47CA"/>
    <w:rsid w:val="004D4C16"/>
    <w:rsid w:val="004D4C17"/>
    <w:rsid w:val="004D77F7"/>
    <w:rsid w:val="004D7E68"/>
    <w:rsid w:val="004E2576"/>
    <w:rsid w:val="004E657E"/>
    <w:rsid w:val="004E7ED8"/>
    <w:rsid w:val="004F1A77"/>
    <w:rsid w:val="004F30BB"/>
    <w:rsid w:val="004F5740"/>
    <w:rsid w:val="00501CEA"/>
    <w:rsid w:val="00505028"/>
    <w:rsid w:val="00506267"/>
    <w:rsid w:val="00511FA0"/>
    <w:rsid w:val="005128EE"/>
    <w:rsid w:val="00513AD0"/>
    <w:rsid w:val="00513AE2"/>
    <w:rsid w:val="00513C5F"/>
    <w:rsid w:val="0052049A"/>
    <w:rsid w:val="00520B69"/>
    <w:rsid w:val="00522AA6"/>
    <w:rsid w:val="00522B25"/>
    <w:rsid w:val="00523171"/>
    <w:rsid w:val="005238F6"/>
    <w:rsid w:val="00525FBE"/>
    <w:rsid w:val="00527559"/>
    <w:rsid w:val="005279A2"/>
    <w:rsid w:val="00527D01"/>
    <w:rsid w:val="005312AE"/>
    <w:rsid w:val="005333CD"/>
    <w:rsid w:val="00534378"/>
    <w:rsid w:val="005353DC"/>
    <w:rsid w:val="00535F7B"/>
    <w:rsid w:val="00537103"/>
    <w:rsid w:val="0054172E"/>
    <w:rsid w:val="00542A97"/>
    <w:rsid w:val="0054470F"/>
    <w:rsid w:val="005450A2"/>
    <w:rsid w:val="00546820"/>
    <w:rsid w:val="00547D41"/>
    <w:rsid w:val="00550DF0"/>
    <w:rsid w:val="005516E0"/>
    <w:rsid w:val="00551CA7"/>
    <w:rsid w:val="00552BA3"/>
    <w:rsid w:val="00555397"/>
    <w:rsid w:val="00555B85"/>
    <w:rsid w:val="00560714"/>
    <w:rsid w:val="0056078B"/>
    <w:rsid w:val="00560D35"/>
    <w:rsid w:val="00567B46"/>
    <w:rsid w:val="005709DB"/>
    <w:rsid w:val="00577B74"/>
    <w:rsid w:val="00580906"/>
    <w:rsid w:val="00584B26"/>
    <w:rsid w:val="005858D2"/>
    <w:rsid w:val="00585B47"/>
    <w:rsid w:val="00586912"/>
    <w:rsid w:val="00587B55"/>
    <w:rsid w:val="00590981"/>
    <w:rsid w:val="005913C5"/>
    <w:rsid w:val="00591574"/>
    <w:rsid w:val="00592A0F"/>
    <w:rsid w:val="00594F5E"/>
    <w:rsid w:val="005967A6"/>
    <w:rsid w:val="005969E8"/>
    <w:rsid w:val="005A24CF"/>
    <w:rsid w:val="005A27F9"/>
    <w:rsid w:val="005A2DC5"/>
    <w:rsid w:val="005A585E"/>
    <w:rsid w:val="005B2992"/>
    <w:rsid w:val="005B3486"/>
    <w:rsid w:val="005B36A2"/>
    <w:rsid w:val="005B4EB3"/>
    <w:rsid w:val="005B53F9"/>
    <w:rsid w:val="005B7492"/>
    <w:rsid w:val="005C35D1"/>
    <w:rsid w:val="005D4C13"/>
    <w:rsid w:val="005D51A4"/>
    <w:rsid w:val="005D7AC7"/>
    <w:rsid w:val="005E0DA4"/>
    <w:rsid w:val="005E134D"/>
    <w:rsid w:val="005E1EC2"/>
    <w:rsid w:val="005E30F5"/>
    <w:rsid w:val="005F0047"/>
    <w:rsid w:val="005F1BE3"/>
    <w:rsid w:val="005F25B2"/>
    <w:rsid w:val="005F4C0D"/>
    <w:rsid w:val="005F4C2F"/>
    <w:rsid w:val="00602EAA"/>
    <w:rsid w:val="00605890"/>
    <w:rsid w:val="006110EF"/>
    <w:rsid w:val="0061580E"/>
    <w:rsid w:val="00620DF5"/>
    <w:rsid w:val="00620FB5"/>
    <w:rsid w:val="006233B5"/>
    <w:rsid w:val="00623B3F"/>
    <w:rsid w:val="0062413F"/>
    <w:rsid w:val="00625A94"/>
    <w:rsid w:val="00627BB5"/>
    <w:rsid w:val="006324D6"/>
    <w:rsid w:val="00635078"/>
    <w:rsid w:val="00640DC1"/>
    <w:rsid w:val="00641DA5"/>
    <w:rsid w:val="00641FE4"/>
    <w:rsid w:val="006430E3"/>
    <w:rsid w:val="006439A7"/>
    <w:rsid w:val="00645314"/>
    <w:rsid w:val="0064656C"/>
    <w:rsid w:val="0064662B"/>
    <w:rsid w:val="006472ED"/>
    <w:rsid w:val="0065310B"/>
    <w:rsid w:val="00654537"/>
    <w:rsid w:val="00662837"/>
    <w:rsid w:val="00667F19"/>
    <w:rsid w:val="00675B43"/>
    <w:rsid w:val="00676F98"/>
    <w:rsid w:val="00677EE2"/>
    <w:rsid w:val="006845AA"/>
    <w:rsid w:val="0068628B"/>
    <w:rsid w:val="00697555"/>
    <w:rsid w:val="006A4BA9"/>
    <w:rsid w:val="006A5615"/>
    <w:rsid w:val="006B181A"/>
    <w:rsid w:val="006B6E19"/>
    <w:rsid w:val="006C0909"/>
    <w:rsid w:val="006C0E09"/>
    <w:rsid w:val="006C2B7F"/>
    <w:rsid w:val="006D71C1"/>
    <w:rsid w:val="006E03CC"/>
    <w:rsid w:val="006E23DB"/>
    <w:rsid w:val="006E2EF0"/>
    <w:rsid w:val="006E7638"/>
    <w:rsid w:val="006F0E4A"/>
    <w:rsid w:val="006F1C8E"/>
    <w:rsid w:val="006F4E67"/>
    <w:rsid w:val="00701B36"/>
    <w:rsid w:val="00702913"/>
    <w:rsid w:val="00702A8A"/>
    <w:rsid w:val="00706665"/>
    <w:rsid w:val="00706C9D"/>
    <w:rsid w:val="00707322"/>
    <w:rsid w:val="00710C70"/>
    <w:rsid w:val="007126C3"/>
    <w:rsid w:val="0071293E"/>
    <w:rsid w:val="007160B9"/>
    <w:rsid w:val="007160DB"/>
    <w:rsid w:val="00716216"/>
    <w:rsid w:val="0071730A"/>
    <w:rsid w:val="00721F92"/>
    <w:rsid w:val="00723A05"/>
    <w:rsid w:val="00725C64"/>
    <w:rsid w:val="00726108"/>
    <w:rsid w:val="00726B87"/>
    <w:rsid w:val="00733E5A"/>
    <w:rsid w:val="00734765"/>
    <w:rsid w:val="00735A8A"/>
    <w:rsid w:val="00740E34"/>
    <w:rsid w:val="00744445"/>
    <w:rsid w:val="0074544B"/>
    <w:rsid w:val="00746F6E"/>
    <w:rsid w:val="007501B4"/>
    <w:rsid w:val="00750F04"/>
    <w:rsid w:val="007527E9"/>
    <w:rsid w:val="007548D7"/>
    <w:rsid w:val="00756160"/>
    <w:rsid w:val="00757BD4"/>
    <w:rsid w:val="00760BFB"/>
    <w:rsid w:val="00763BC7"/>
    <w:rsid w:val="00766E26"/>
    <w:rsid w:val="00770157"/>
    <w:rsid w:val="00770586"/>
    <w:rsid w:val="007705A2"/>
    <w:rsid w:val="007717A1"/>
    <w:rsid w:val="007722F0"/>
    <w:rsid w:val="00772B51"/>
    <w:rsid w:val="00775722"/>
    <w:rsid w:val="00781334"/>
    <w:rsid w:val="0078404B"/>
    <w:rsid w:val="00784DF5"/>
    <w:rsid w:val="00785386"/>
    <w:rsid w:val="00785DFA"/>
    <w:rsid w:val="00791187"/>
    <w:rsid w:val="0079129C"/>
    <w:rsid w:val="00797D8F"/>
    <w:rsid w:val="007A2902"/>
    <w:rsid w:val="007A3E0C"/>
    <w:rsid w:val="007A4B3A"/>
    <w:rsid w:val="007A6126"/>
    <w:rsid w:val="007A6354"/>
    <w:rsid w:val="007B5B4F"/>
    <w:rsid w:val="007B712E"/>
    <w:rsid w:val="007C3347"/>
    <w:rsid w:val="007D2A23"/>
    <w:rsid w:val="007D3D08"/>
    <w:rsid w:val="007E1029"/>
    <w:rsid w:val="007E1458"/>
    <w:rsid w:val="007E2A5D"/>
    <w:rsid w:val="007E3E03"/>
    <w:rsid w:val="007E6C5C"/>
    <w:rsid w:val="007F2995"/>
    <w:rsid w:val="007F6E5D"/>
    <w:rsid w:val="007F7043"/>
    <w:rsid w:val="00807044"/>
    <w:rsid w:val="00807E81"/>
    <w:rsid w:val="00816C91"/>
    <w:rsid w:val="00817CFF"/>
    <w:rsid w:val="00817EE1"/>
    <w:rsid w:val="008225DD"/>
    <w:rsid w:val="00822AA3"/>
    <w:rsid w:val="00823AA3"/>
    <w:rsid w:val="0082639A"/>
    <w:rsid w:val="0082755C"/>
    <w:rsid w:val="008308E4"/>
    <w:rsid w:val="00840292"/>
    <w:rsid w:val="00840D21"/>
    <w:rsid w:val="00842A58"/>
    <w:rsid w:val="00844DBA"/>
    <w:rsid w:val="00844E91"/>
    <w:rsid w:val="00847000"/>
    <w:rsid w:val="00851150"/>
    <w:rsid w:val="00852403"/>
    <w:rsid w:val="00852E77"/>
    <w:rsid w:val="00855D96"/>
    <w:rsid w:val="00857812"/>
    <w:rsid w:val="00860122"/>
    <w:rsid w:val="00862665"/>
    <w:rsid w:val="00862FE4"/>
    <w:rsid w:val="00863566"/>
    <w:rsid w:val="00866CC1"/>
    <w:rsid w:val="00871C1F"/>
    <w:rsid w:val="00873C03"/>
    <w:rsid w:val="00874F7C"/>
    <w:rsid w:val="00877795"/>
    <w:rsid w:val="008807ED"/>
    <w:rsid w:val="00881234"/>
    <w:rsid w:val="0088435A"/>
    <w:rsid w:val="008845A6"/>
    <w:rsid w:val="00884F89"/>
    <w:rsid w:val="00887A0D"/>
    <w:rsid w:val="00895548"/>
    <w:rsid w:val="008966D2"/>
    <w:rsid w:val="008979CA"/>
    <w:rsid w:val="008A24CB"/>
    <w:rsid w:val="008A2BAF"/>
    <w:rsid w:val="008A3002"/>
    <w:rsid w:val="008A5F46"/>
    <w:rsid w:val="008A651C"/>
    <w:rsid w:val="008B09D0"/>
    <w:rsid w:val="008B15D8"/>
    <w:rsid w:val="008B2715"/>
    <w:rsid w:val="008B2BDA"/>
    <w:rsid w:val="008B66EF"/>
    <w:rsid w:val="008B7CAD"/>
    <w:rsid w:val="008C06C8"/>
    <w:rsid w:val="008C0CBD"/>
    <w:rsid w:val="008C4F5B"/>
    <w:rsid w:val="008D03EC"/>
    <w:rsid w:val="008D20F7"/>
    <w:rsid w:val="008D2697"/>
    <w:rsid w:val="008E194B"/>
    <w:rsid w:val="008E43D7"/>
    <w:rsid w:val="008E6EB7"/>
    <w:rsid w:val="008E6FE6"/>
    <w:rsid w:val="008F37D6"/>
    <w:rsid w:val="008F3823"/>
    <w:rsid w:val="008F4ED3"/>
    <w:rsid w:val="0090595D"/>
    <w:rsid w:val="009108B8"/>
    <w:rsid w:val="0091090D"/>
    <w:rsid w:val="00912E54"/>
    <w:rsid w:val="0091337F"/>
    <w:rsid w:val="00913569"/>
    <w:rsid w:val="009137D9"/>
    <w:rsid w:val="00920B61"/>
    <w:rsid w:val="00920C77"/>
    <w:rsid w:val="00922EC6"/>
    <w:rsid w:val="00927452"/>
    <w:rsid w:val="009300F2"/>
    <w:rsid w:val="0093209A"/>
    <w:rsid w:val="00932785"/>
    <w:rsid w:val="0093497A"/>
    <w:rsid w:val="0093536D"/>
    <w:rsid w:val="00940828"/>
    <w:rsid w:val="009427E5"/>
    <w:rsid w:val="00947551"/>
    <w:rsid w:val="009503A2"/>
    <w:rsid w:val="00950CEC"/>
    <w:rsid w:val="009513D7"/>
    <w:rsid w:val="00952CAB"/>
    <w:rsid w:val="00962EFB"/>
    <w:rsid w:val="00963F37"/>
    <w:rsid w:val="009655B2"/>
    <w:rsid w:val="00965927"/>
    <w:rsid w:val="0096732F"/>
    <w:rsid w:val="00970BFA"/>
    <w:rsid w:val="00971C12"/>
    <w:rsid w:val="009800E7"/>
    <w:rsid w:val="00980FE3"/>
    <w:rsid w:val="009815DC"/>
    <w:rsid w:val="00982109"/>
    <w:rsid w:val="009823CD"/>
    <w:rsid w:val="00982691"/>
    <w:rsid w:val="0099148D"/>
    <w:rsid w:val="00993DE7"/>
    <w:rsid w:val="00994EEC"/>
    <w:rsid w:val="00996D71"/>
    <w:rsid w:val="009978C2"/>
    <w:rsid w:val="009A1033"/>
    <w:rsid w:val="009A1CD8"/>
    <w:rsid w:val="009A55EC"/>
    <w:rsid w:val="009A6C67"/>
    <w:rsid w:val="009A6FCB"/>
    <w:rsid w:val="009B189D"/>
    <w:rsid w:val="009B2F56"/>
    <w:rsid w:val="009B36F2"/>
    <w:rsid w:val="009B53A9"/>
    <w:rsid w:val="009B53BE"/>
    <w:rsid w:val="009B577E"/>
    <w:rsid w:val="009B6100"/>
    <w:rsid w:val="009B6D4F"/>
    <w:rsid w:val="009B7376"/>
    <w:rsid w:val="009C76AD"/>
    <w:rsid w:val="009D0BD5"/>
    <w:rsid w:val="009D1B8C"/>
    <w:rsid w:val="009D2449"/>
    <w:rsid w:val="009D6909"/>
    <w:rsid w:val="009E4547"/>
    <w:rsid w:val="009E5832"/>
    <w:rsid w:val="00A00EB7"/>
    <w:rsid w:val="00A042A4"/>
    <w:rsid w:val="00A11AD8"/>
    <w:rsid w:val="00A14081"/>
    <w:rsid w:val="00A16356"/>
    <w:rsid w:val="00A169AF"/>
    <w:rsid w:val="00A21525"/>
    <w:rsid w:val="00A267A1"/>
    <w:rsid w:val="00A27B15"/>
    <w:rsid w:val="00A32EBC"/>
    <w:rsid w:val="00A33372"/>
    <w:rsid w:val="00A335B4"/>
    <w:rsid w:val="00A36C5D"/>
    <w:rsid w:val="00A37A53"/>
    <w:rsid w:val="00A37A8B"/>
    <w:rsid w:val="00A41EB1"/>
    <w:rsid w:val="00A44461"/>
    <w:rsid w:val="00A4449D"/>
    <w:rsid w:val="00A4575F"/>
    <w:rsid w:val="00A47642"/>
    <w:rsid w:val="00A47C88"/>
    <w:rsid w:val="00A50A71"/>
    <w:rsid w:val="00A53FFB"/>
    <w:rsid w:val="00A63B71"/>
    <w:rsid w:val="00A6400E"/>
    <w:rsid w:val="00A723FB"/>
    <w:rsid w:val="00A726A7"/>
    <w:rsid w:val="00A755F7"/>
    <w:rsid w:val="00A76901"/>
    <w:rsid w:val="00A77E1D"/>
    <w:rsid w:val="00A82D17"/>
    <w:rsid w:val="00A85720"/>
    <w:rsid w:val="00A86C57"/>
    <w:rsid w:val="00A9308D"/>
    <w:rsid w:val="00A93A64"/>
    <w:rsid w:val="00A93B34"/>
    <w:rsid w:val="00A9438E"/>
    <w:rsid w:val="00A9459C"/>
    <w:rsid w:val="00A94F5B"/>
    <w:rsid w:val="00A95F62"/>
    <w:rsid w:val="00AA033B"/>
    <w:rsid w:val="00AA037E"/>
    <w:rsid w:val="00AA18E4"/>
    <w:rsid w:val="00AA2E24"/>
    <w:rsid w:val="00AA5C3D"/>
    <w:rsid w:val="00AA6397"/>
    <w:rsid w:val="00AB536C"/>
    <w:rsid w:val="00AB54AD"/>
    <w:rsid w:val="00AC13AE"/>
    <w:rsid w:val="00AC3682"/>
    <w:rsid w:val="00AC65CC"/>
    <w:rsid w:val="00AD08E1"/>
    <w:rsid w:val="00AD1DCF"/>
    <w:rsid w:val="00AD2588"/>
    <w:rsid w:val="00AD32F7"/>
    <w:rsid w:val="00AD37BA"/>
    <w:rsid w:val="00AD4485"/>
    <w:rsid w:val="00AD5C04"/>
    <w:rsid w:val="00AD7B6F"/>
    <w:rsid w:val="00AD7D11"/>
    <w:rsid w:val="00AD7F68"/>
    <w:rsid w:val="00AE0658"/>
    <w:rsid w:val="00AE1068"/>
    <w:rsid w:val="00AE5325"/>
    <w:rsid w:val="00AE61D1"/>
    <w:rsid w:val="00AF08C0"/>
    <w:rsid w:val="00AF24A4"/>
    <w:rsid w:val="00AF333E"/>
    <w:rsid w:val="00AF5D55"/>
    <w:rsid w:val="00AF5DC8"/>
    <w:rsid w:val="00AF6622"/>
    <w:rsid w:val="00AF729C"/>
    <w:rsid w:val="00B03E4F"/>
    <w:rsid w:val="00B06EAF"/>
    <w:rsid w:val="00B07FD3"/>
    <w:rsid w:val="00B10F33"/>
    <w:rsid w:val="00B16999"/>
    <w:rsid w:val="00B20252"/>
    <w:rsid w:val="00B2067F"/>
    <w:rsid w:val="00B23DEC"/>
    <w:rsid w:val="00B25347"/>
    <w:rsid w:val="00B300FF"/>
    <w:rsid w:val="00B3165B"/>
    <w:rsid w:val="00B35317"/>
    <w:rsid w:val="00B356D9"/>
    <w:rsid w:val="00B374CF"/>
    <w:rsid w:val="00B376CF"/>
    <w:rsid w:val="00B37B00"/>
    <w:rsid w:val="00B37D40"/>
    <w:rsid w:val="00B454AF"/>
    <w:rsid w:val="00B46B70"/>
    <w:rsid w:val="00B47C43"/>
    <w:rsid w:val="00B5020A"/>
    <w:rsid w:val="00B5616C"/>
    <w:rsid w:val="00B61AB6"/>
    <w:rsid w:val="00B62915"/>
    <w:rsid w:val="00B63CE1"/>
    <w:rsid w:val="00B640DF"/>
    <w:rsid w:val="00B654F9"/>
    <w:rsid w:val="00B673B0"/>
    <w:rsid w:val="00B71401"/>
    <w:rsid w:val="00B729A6"/>
    <w:rsid w:val="00B7454A"/>
    <w:rsid w:val="00B74970"/>
    <w:rsid w:val="00B800A9"/>
    <w:rsid w:val="00B81C70"/>
    <w:rsid w:val="00B83000"/>
    <w:rsid w:val="00B83AD4"/>
    <w:rsid w:val="00B84DDC"/>
    <w:rsid w:val="00B85FBC"/>
    <w:rsid w:val="00B87D8B"/>
    <w:rsid w:val="00B90043"/>
    <w:rsid w:val="00B90AA5"/>
    <w:rsid w:val="00B94241"/>
    <w:rsid w:val="00B978AC"/>
    <w:rsid w:val="00BA174F"/>
    <w:rsid w:val="00BA1D78"/>
    <w:rsid w:val="00BA491F"/>
    <w:rsid w:val="00BA7740"/>
    <w:rsid w:val="00BB1070"/>
    <w:rsid w:val="00BB3682"/>
    <w:rsid w:val="00BB4C60"/>
    <w:rsid w:val="00BB4F97"/>
    <w:rsid w:val="00BB5575"/>
    <w:rsid w:val="00BB5622"/>
    <w:rsid w:val="00BB5D85"/>
    <w:rsid w:val="00BC0FA9"/>
    <w:rsid w:val="00BC1E95"/>
    <w:rsid w:val="00BC2689"/>
    <w:rsid w:val="00BC5E3A"/>
    <w:rsid w:val="00BD329D"/>
    <w:rsid w:val="00BD40A2"/>
    <w:rsid w:val="00BD58C3"/>
    <w:rsid w:val="00BD5F2C"/>
    <w:rsid w:val="00BD62D3"/>
    <w:rsid w:val="00BE0B53"/>
    <w:rsid w:val="00BE3A14"/>
    <w:rsid w:val="00BF0F44"/>
    <w:rsid w:val="00BF38FC"/>
    <w:rsid w:val="00BF42FD"/>
    <w:rsid w:val="00BF4855"/>
    <w:rsid w:val="00BF5BC8"/>
    <w:rsid w:val="00C05B0C"/>
    <w:rsid w:val="00C07169"/>
    <w:rsid w:val="00C101D8"/>
    <w:rsid w:val="00C15842"/>
    <w:rsid w:val="00C20FDE"/>
    <w:rsid w:val="00C2105B"/>
    <w:rsid w:val="00C22688"/>
    <w:rsid w:val="00C22F40"/>
    <w:rsid w:val="00C23153"/>
    <w:rsid w:val="00C262CD"/>
    <w:rsid w:val="00C26ADE"/>
    <w:rsid w:val="00C273B5"/>
    <w:rsid w:val="00C304D7"/>
    <w:rsid w:val="00C3098D"/>
    <w:rsid w:val="00C31C05"/>
    <w:rsid w:val="00C34588"/>
    <w:rsid w:val="00C35232"/>
    <w:rsid w:val="00C352DD"/>
    <w:rsid w:val="00C35B27"/>
    <w:rsid w:val="00C36F34"/>
    <w:rsid w:val="00C41217"/>
    <w:rsid w:val="00C41A80"/>
    <w:rsid w:val="00C4497F"/>
    <w:rsid w:val="00C47CBB"/>
    <w:rsid w:val="00C47ECA"/>
    <w:rsid w:val="00C512E3"/>
    <w:rsid w:val="00C55BF9"/>
    <w:rsid w:val="00C5727B"/>
    <w:rsid w:val="00C57F30"/>
    <w:rsid w:val="00C640E4"/>
    <w:rsid w:val="00C645C2"/>
    <w:rsid w:val="00C65162"/>
    <w:rsid w:val="00C701CE"/>
    <w:rsid w:val="00C71340"/>
    <w:rsid w:val="00C7187E"/>
    <w:rsid w:val="00C807E6"/>
    <w:rsid w:val="00C84040"/>
    <w:rsid w:val="00C86C6D"/>
    <w:rsid w:val="00C90033"/>
    <w:rsid w:val="00C944BC"/>
    <w:rsid w:val="00C94C5A"/>
    <w:rsid w:val="00C964DE"/>
    <w:rsid w:val="00C9674B"/>
    <w:rsid w:val="00C97B13"/>
    <w:rsid w:val="00CA009D"/>
    <w:rsid w:val="00CA0E3E"/>
    <w:rsid w:val="00CA376F"/>
    <w:rsid w:val="00CA45C5"/>
    <w:rsid w:val="00CA59D2"/>
    <w:rsid w:val="00CA69A6"/>
    <w:rsid w:val="00CA7C0D"/>
    <w:rsid w:val="00CB3ED6"/>
    <w:rsid w:val="00CB46FC"/>
    <w:rsid w:val="00CC0065"/>
    <w:rsid w:val="00CC0D47"/>
    <w:rsid w:val="00CC247A"/>
    <w:rsid w:val="00CC2CE9"/>
    <w:rsid w:val="00CC319C"/>
    <w:rsid w:val="00CC55D2"/>
    <w:rsid w:val="00CD6546"/>
    <w:rsid w:val="00CD6D4B"/>
    <w:rsid w:val="00CD6E55"/>
    <w:rsid w:val="00CD7C5E"/>
    <w:rsid w:val="00CE1DFB"/>
    <w:rsid w:val="00CE3E87"/>
    <w:rsid w:val="00CE6029"/>
    <w:rsid w:val="00CE6902"/>
    <w:rsid w:val="00CE78FC"/>
    <w:rsid w:val="00CF0BA9"/>
    <w:rsid w:val="00CF2D5B"/>
    <w:rsid w:val="00CF79E6"/>
    <w:rsid w:val="00D00393"/>
    <w:rsid w:val="00D016BE"/>
    <w:rsid w:val="00D04318"/>
    <w:rsid w:val="00D044C1"/>
    <w:rsid w:val="00D053B0"/>
    <w:rsid w:val="00D07105"/>
    <w:rsid w:val="00D0733C"/>
    <w:rsid w:val="00D10A5A"/>
    <w:rsid w:val="00D11F57"/>
    <w:rsid w:val="00D14062"/>
    <w:rsid w:val="00D15379"/>
    <w:rsid w:val="00D1568E"/>
    <w:rsid w:val="00D15A7D"/>
    <w:rsid w:val="00D160F2"/>
    <w:rsid w:val="00D179A4"/>
    <w:rsid w:val="00D20A04"/>
    <w:rsid w:val="00D20AD2"/>
    <w:rsid w:val="00D27E4F"/>
    <w:rsid w:val="00D30193"/>
    <w:rsid w:val="00D3297E"/>
    <w:rsid w:val="00D34517"/>
    <w:rsid w:val="00D34CB4"/>
    <w:rsid w:val="00D35042"/>
    <w:rsid w:val="00D4051D"/>
    <w:rsid w:val="00D51C81"/>
    <w:rsid w:val="00D5382D"/>
    <w:rsid w:val="00D55DFF"/>
    <w:rsid w:val="00D56301"/>
    <w:rsid w:val="00D56733"/>
    <w:rsid w:val="00D56AB3"/>
    <w:rsid w:val="00D62EC3"/>
    <w:rsid w:val="00D63F97"/>
    <w:rsid w:val="00D650F8"/>
    <w:rsid w:val="00D671CD"/>
    <w:rsid w:val="00D7092F"/>
    <w:rsid w:val="00D711D9"/>
    <w:rsid w:val="00D72BFF"/>
    <w:rsid w:val="00D74F1D"/>
    <w:rsid w:val="00D76367"/>
    <w:rsid w:val="00D81984"/>
    <w:rsid w:val="00D81AB2"/>
    <w:rsid w:val="00D82B07"/>
    <w:rsid w:val="00D85579"/>
    <w:rsid w:val="00D872B7"/>
    <w:rsid w:val="00D87DA8"/>
    <w:rsid w:val="00D900AE"/>
    <w:rsid w:val="00D90E03"/>
    <w:rsid w:val="00D917B3"/>
    <w:rsid w:val="00D94852"/>
    <w:rsid w:val="00DA12EC"/>
    <w:rsid w:val="00DA2148"/>
    <w:rsid w:val="00DA2521"/>
    <w:rsid w:val="00DA4BD0"/>
    <w:rsid w:val="00DA5C21"/>
    <w:rsid w:val="00DA7715"/>
    <w:rsid w:val="00DB08AA"/>
    <w:rsid w:val="00DB0E18"/>
    <w:rsid w:val="00DB2896"/>
    <w:rsid w:val="00DC00FC"/>
    <w:rsid w:val="00DC1E5E"/>
    <w:rsid w:val="00DC4E83"/>
    <w:rsid w:val="00DC519A"/>
    <w:rsid w:val="00DC5714"/>
    <w:rsid w:val="00DC593C"/>
    <w:rsid w:val="00DC71CF"/>
    <w:rsid w:val="00DC75E5"/>
    <w:rsid w:val="00DC7B67"/>
    <w:rsid w:val="00DD1579"/>
    <w:rsid w:val="00DD1588"/>
    <w:rsid w:val="00DD4B01"/>
    <w:rsid w:val="00DE0748"/>
    <w:rsid w:val="00DE0D26"/>
    <w:rsid w:val="00DE2F30"/>
    <w:rsid w:val="00DE529D"/>
    <w:rsid w:val="00DE5793"/>
    <w:rsid w:val="00DF0348"/>
    <w:rsid w:val="00DF060E"/>
    <w:rsid w:val="00DF22AB"/>
    <w:rsid w:val="00E00267"/>
    <w:rsid w:val="00E01B30"/>
    <w:rsid w:val="00E03C5A"/>
    <w:rsid w:val="00E06F40"/>
    <w:rsid w:val="00E115D7"/>
    <w:rsid w:val="00E1437F"/>
    <w:rsid w:val="00E1643C"/>
    <w:rsid w:val="00E23AF5"/>
    <w:rsid w:val="00E23B4A"/>
    <w:rsid w:val="00E24521"/>
    <w:rsid w:val="00E247DE"/>
    <w:rsid w:val="00E2629B"/>
    <w:rsid w:val="00E36D7F"/>
    <w:rsid w:val="00E37E5C"/>
    <w:rsid w:val="00E44D3E"/>
    <w:rsid w:val="00E46974"/>
    <w:rsid w:val="00E47F1A"/>
    <w:rsid w:val="00E56EF9"/>
    <w:rsid w:val="00E60A16"/>
    <w:rsid w:val="00E63162"/>
    <w:rsid w:val="00E635A1"/>
    <w:rsid w:val="00E70708"/>
    <w:rsid w:val="00E709C4"/>
    <w:rsid w:val="00E7184B"/>
    <w:rsid w:val="00E71BC6"/>
    <w:rsid w:val="00E75557"/>
    <w:rsid w:val="00E75A60"/>
    <w:rsid w:val="00E75DD2"/>
    <w:rsid w:val="00E7605E"/>
    <w:rsid w:val="00E76E7B"/>
    <w:rsid w:val="00E77E3E"/>
    <w:rsid w:val="00E805B2"/>
    <w:rsid w:val="00E81833"/>
    <w:rsid w:val="00E840A5"/>
    <w:rsid w:val="00E85048"/>
    <w:rsid w:val="00E85295"/>
    <w:rsid w:val="00E85787"/>
    <w:rsid w:val="00E85A1D"/>
    <w:rsid w:val="00E86431"/>
    <w:rsid w:val="00E872DE"/>
    <w:rsid w:val="00E92EFD"/>
    <w:rsid w:val="00E94972"/>
    <w:rsid w:val="00E94F5E"/>
    <w:rsid w:val="00E95A1F"/>
    <w:rsid w:val="00E96D0B"/>
    <w:rsid w:val="00E97892"/>
    <w:rsid w:val="00EA1C8F"/>
    <w:rsid w:val="00EA44F9"/>
    <w:rsid w:val="00EA5ACE"/>
    <w:rsid w:val="00EA6397"/>
    <w:rsid w:val="00EA65AA"/>
    <w:rsid w:val="00EA6A1B"/>
    <w:rsid w:val="00EA7AD8"/>
    <w:rsid w:val="00EB0C52"/>
    <w:rsid w:val="00EB1746"/>
    <w:rsid w:val="00EB6CBB"/>
    <w:rsid w:val="00EB6FFE"/>
    <w:rsid w:val="00EC0064"/>
    <w:rsid w:val="00EC1D1F"/>
    <w:rsid w:val="00EC5BBA"/>
    <w:rsid w:val="00EC7B10"/>
    <w:rsid w:val="00ED09EE"/>
    <w:rsid w:val="00ED1399"/>
    <w:rsid w:val="00ED1980"/>
    <w:rsid w:val="00ED35CE"/>
    <w:rsid w:val="00EE5AD7"/>
    <w:rsid w:val="00EE659A"/>
    <w:rsid w:val="00EF196B"/>
    <w:rsid w:val="00EF414B"/>
    <w:rsid w:val="00EF77AF"/>
    <w:rsid w:val="00F00294"/>
    <w:rsid w:val="00F03663"/>
    <w:rsid w:val="00F0393F"/>
    <w:rsid w:val="00F05900"/>
    <w:rsid w:val="00F05CD7"/>
    <w:rsid w:val="00F063F3"/>
    <w:rsid w:val="00F0647D"/>
    <w:rsid w:val="00F07012"/>
    <w:rsid w:val="00F07C54"/>
    <w:rsid w:val="00F10AFE"/>
    <w:rsid w:val="00F13602"/>
    <w:rsid w:val="00F1423D"/>
    <w:rsid w:val="00F14BE8"/>
    <w:rsid w:val="00F15B3A"/>
    <w:rsid w:val="00F16260"/>
    <w:rsid w:val="00F2029E"/>
    <w:rsid w:val="00F20944"/>
    <w:rsid w:val="00F20A55"/>
    <w:rsid w:val="00F25F98"/>
    <w:rsid w:val="00F27F51"/>
    <w:rsid w:val="00F3541D"/>
    <w:rsid w:val="00F365B0"/>
    <w:rsid w:val="00F37034"/>
    <w:rsid w:val="00F41E41"/>
    <w:rsid w:val="00F434D6"/>
    <w:rsid w:val="00F45D90"/>
    <w:rsid w:val="00F4608F"/>
    <w:rsid w:val="00F47869"/>
    <w:rsid w:val="00F50580"/>
    <w:rsid w:val="00F53CD9"/>
    <w:rsid w:val="00F54930"/>
    <w:rsid w:val="00F54EAA"/>
    <w:rsid w:val="00F5633D"/>
    <w:rsid w:val="00F603AB"/>
    <w:rsid w:val="00F617F5"/>
    <w:rsid w:val="00F651C0"/>
    <w:rsid w:val="00F65F88"/>
    <w:rsid w:val="00F677EB"/>
    <w:rsid w:val="00F76839"/>
    <w:rsid w:val="00F76EFD"/>
    <w:rsid w:val="00F83676"/>
    <w:rsid w:val="00F8414B"/>
    <w:rsid w:val="00F90873"/>
    <w:rsid w:val="00F91C98"/>
    <w:rsid w:val="00F93E86"/>
    <w:rsid w:val="00F96046"/>
    <w:rsid w:val="00FA0162"/>
    <w:rsid w:val="00FA1CF6"/>
    <w:rsid w:val="00FA2607"/>
    <w:rsid w:val="00FA6BFA"/>
    <w:rsid w:val="00FB5095"/>
    <w:rsid w:val="00FB6974"/>
    <w:rsid w:val="00FC0256"/>
    <w:rsid w:val="00FC408D"/>
    <w:rsid w:val="00FC5F6C"/>
    <w:rsid w:val="00FD1AC8"/>
    <w:rsid w:val="00FD4682"/>
    <w:rsid w:val="00FD58B8"/>
    <w:rsid w:val="00FD7A8E"/>
    <w:rsid w:val="00FD7D09"/>
    <w:rsid w:val="00FE1757"/>
    <w:rsid w:val="00FF19EF"/>
    <w:rsid w:val="00FF280F"/>
    <w:rsid w:val="00FF2B10"/>
    <w:rsid w:val="00FF51C0"/>
    <w:rsid w:val="010831EA"/>
    <w:rsid w:val="014672E9"/>
    <w:rsid w:val="016F664B"/>
    <w:rsid w:val="01DE5E85"/>
    <w:rsid w:val="0205420E"/>
    <w:rsid w:val="02957FB5"/>
    <w:rsid w:val="02FE77A7"/>
    <w:rsid w:val="0343039A"/>
    <w:rsid w:val="03ED5076"/>
    <w:rsid w:val="042D3FC7"/>
    <w:rsid w:val="04685A42"/>
    <w:rsid w:val="04A45C0C"/>
    <w:rsid w:val="04BA2805"/>
    <w:rsid w:val="04C660B1"/>
    <w:rsid w:val="04CD6259"/>
    <w:rsid w:val="04DD27C9"/>
    <w:rsid w:val="04DD4BD1"/>
    <w:rsid w:val="04E85ACE"/>
    <w:rsid w:val="05075A65"/>
    <w:rsid w:val="051E125A"/>
    <w:rsid w:val="057A03B5"/>
    <w:rsid w:val="05822FA5"/>
    <w:rsid w:val="05CF6041"/>
    <w:rsid w:val="05D3027A"/>
    <w:rsid w:val="05EB6869"/>
    <w:rsid w:val="062E3CC9"/>
    <w:rsid w:val="06776232"/>
    <w:rsid w:val="069169F2"/>
    <w:rsid w:val="073E0BE0"/>
    <w:rsid w:val="074E6421"/>
    <w:rsid w:val="07513F6A"/>
    <w:rsid w:val="077C2986"/>
    <w:rsid w:val="07A51586"/>
    <w:rsid w:val="07CE7CCF"/>
    <w:rsid w:val="084538A0"/>
    <w:rsid w:val="089B7E57"/>
    <w:rsid w:val="08D67C0A"/>
    <w:rsid w:val="08F10228"/>
    <w:rsid w:val="08FC4B23"/>
    <w:rsid w:val="094253E9"/>
    <w:rsid w:val="09AF7F0C"/>
    <w:rsid w:val="09C63F0F"/>
    <w:rsid w:val="09D939B0"/>
    <w:rsid w:val="09DC6BBA"/>
    <w:rsid w:val="0A447AFA"/>
    <w:rsid w:val="0A457048"/>
    <w:rsid w:val="0A7C6BA4"/>
    <w:rsid w:val="0A8A1CC3"/>
    <w:rsid w:val="0AC8676E"/>
    <w:rsid w:val="0AEE2528"/>
    <w:rsid w:val="0AF34C02"/>
    <w:rsid w:val="0B167D3A"/>
    <w:rsid w:val="0B7E68E7"/>
    <w:rsid w:val="0BDF762F"/>
    <w:rsid w:val="0C8671BB"/>
    <w:rsid w:val="0CDA2C21"/>
    <w:rsid w:val="0CE8610E"/>
    <w:rsid w:val="0D1830A8"/>
    <w:rsid w:val="0D3669A7"/>
    <w:rsid w:val="0D4953CA"/>
    <w:rsid w:val="0D8A69D7"/>
    <w:rsid w:val="0DEE787E"/>
    <w:rsid w:val="0E2B35E4"/>
    <w:rsid w:val="0E4F66F8"/>
    <w:rsid w:val="0E721018"/>
    <w:rsid w:val="0EA524FE"/>
    <w:rsid w:val="0F364B5D"/>
    <w:rsid w:val="0F415D32"/>
    <w:rsid w:val="0F4B242C"/>
    <w:rsid w:val="0F6C3837"/>
    <w:rsid w:val="0F792489"/>
    <w:rsid w:val="0F7D3E18"/>
    <w:rsid w:val="0F7D70D6"/>
    <w:rsid w:val="0FBA5004"/>
    <w:rsid w:val="0FD75009"/>
    <w:rsid w:val="0FFD5391"/>
    <w:rsid w:val="10262EF4"/>
    <w:rsid w:val="10406467"/>
    <w:rsid w:val="10511FBA"/>
    <w:rsid w:val="106532FE"/>
    <w:rsid w:val="10CE6264"/>
    <w:rsid w:val="113D3857"/>
    <w:rsid w:val="11766E32"/>
    <w:rsid w:val="11AC26DD"/>
    <w:rsid w:val="11D323E9"/>
    <w:rsid w:val="124B1422"/>
    <w:rsid w:val="12706133"/>
    <w:rsid w:val="12B66E2D"/>
    <w:rsid w:val="12E345CB"/>
    <w:rsid w:val="130E2DFF"/>
    <w:rsid w:val="13576102"/>
    <w:rsid w:val="137039BA"/>
    <w:rsid w:val="138274DC"/>
    <w:rsid w:val="13D41E43"/>
    <w:rsid w:val="1421148C"/>
    <w:rsid w:val="142B4166"/>
    <w:rsid w:val="14320C94"/>
    <w:rsid w:val="146307BF"/>
    <w:rsid w:val="152369F7"/>
    <w:rsid w:val="15995C23"/>
    <w:rsid w:val="16173DC9"/>
    <w:rsid w:val="16813FC1"/>
    <w:rsid w:val="169774E3"/>
    <w:rsid w:val="16BC0093"/>
    <w:rsid w:val="16E201DA"/>
    <w:rsid w:val="171B3EA1"/>
    <w:rsid w:val="172D2B29"/>
    <w:rsid w:val="179719DC"/>
    <w:rsid w:val="17A97232"/>
    <w:rsid w:val="17BD46DE"/>
    <w:rsid w:val="17E45C9F"/>
    <w:rsid w:val="17EE7125"/>
    <w:rsid w:val="182325E6"/>
    <w:rsid w:val="183D60C5"/>
    <w:rsid w:val="18452AD7"/>
    <w:rsid w:val="18742EFC"/>
    <w:rsid w:val="18D6703E"/>
    <w:rsid w:val="18EF21B8"/>
    <w:rsid w:val="191631D4"/>
    <w:rsid w:val="194018F4"/>
    <w:rsid w:val="19B724AA"/>
    <w:rsid w:val="1A396889"/>
    <w:rsid w:val="1A3B0A74"/>
    <w:rsid w:val="1A7F0E95"/>
    <w:rsid w:val="1AB551FD"/>
    <w:rsid w:val="1AC6177B"/>
    <w:rsid w:val="1AF234ED"/>
    <w:rsid w:val="1B690270"/>
    <w:rsid w:val="1B6F67A3"/>
    <w:rsid w:val="1C300673"/>
    <w:rsid w:val="1CD847FB"/>
    <w:rsid w:val="1D0F5F3B"/>
    <w:rsid w:val="1D1A20B4"/>
    <w:rsid w:val="1D282714"/>
    <w:rsid w:val="1D3E6A30"/>
    <w:rsid w:val="1D5A5F6B"/>
    <w:rsid w:val="1DC75E54"/>
    <w:rsid w:val="1E103B1C"/>
    <w:rsid w:val="1E3E300F"/>
    <w:rsid w:val="1E466001"/>
    <w:rsid w:val="1EA1491D"/>
    <w:rsid w:val="1EB105C3"/>
    <w:rsid w:val="1F0F067F"/>
    <w:rsid w:val="1F297236"/>
    <w:rsid w:val="1F551B65"/>
    <w:rsid w:val="1F5B03BF"/>
    <w:rsid w:val="1F6F6411"/>
    <w:rsid w:val="1FA603CB"/>
    <w:rsid w:val="1FC11684"/>
    <w:rsid w:val="1FC87926"/>
    <w:rsid w:val="1FDA6A81"/>
    <w:rsid w:val="1FDE042E"/>
    <w:rsid w:val="20597E0A"/>
    <w:rsid w:val="20A30DC9"/>
    <w:rsid w:val="20BB555C"/>
    <w:rsid w:val="2122468B"/>
    <w:rsid w:val="21893DAF"/>
    <w:rsid w:val="220B20C2"/>
    <w:rsid w:val="22212941"/>
    <w:rsid w:val="22653C80"/>
    <w:rsid w:val="232358AF"/>
    <w:rsid w:val="23E0576C"/>
    <w:rsid w:val="24286A5E"/>
    <w:rsid w:val="247904E6"/>
    <w:rsid w:val="24E0480A"/>
    <w:rsid w:val="250A2706"/>
    <w:rsid w:val="257A495C"/>
    <w:rsid w:val="25CA2549"/>
    <w:rsid w:val="2621587F"/>
    <w:rsid w:val="267E15BC"/>
    <w:rsid w:val="26C2177C"/>
    <w:rsid w:val="27251886"/>
    <w:rsid w:val="274D2F2A"/>
    <w:rsid w:val="27502CBF"/>
    <w:rsid w:val="27522065"/>
    <w:rsid w:val="275A2EB6"/>
    <w:rsid w:val="27DF5F6B"/>
    <w:rsid w:val="27E72481"/>
    <w:rsid w:val="288C3319"/>
    <w:rsid w:val="28FA08C6"/>
    <w:rsid w:val="291760EE"/>
    <w:rsid w:val="2A0D0444"/>
    <w:rsid w:val="2BD60345"/>
    <w:rsid w:val="2C0E2815"/>
    <w:rsid w:val="2C80693B"/>
    <w:rsid w:val="2C952E46"/>
    <w:rsid w:val="2CC53569"/>
    <w:rsid w:val="2CD814FF"/>
    <w:rsid w:val="2D545FC9"/>
    <w:rsid w:val="2D6606CE"/>
    <w:rsid w:val="2D9C54A6"/>
    <w:rsid w:val="2DE62BAE"/>
    <w:rsid w:val="2E2C13E8"/>
    <w:rsid w:val="2E4945C5"/>
    <w:rsid w:val="2E713EA6"/>
    <w:rsid w:val="2E922AA4"/>
    <w:rsid w:val="2E9810E1"/>
    <w:rsid w:val="2F0E794D"/>
    <w:rsid w:val="2F1E1154"/>
    <w:rsid w:val="2F442D2F"/>
    <w:rsid w:val="2F4B786F"/>
    <w:rsid w:val="2F5A11CD"/>
    <w:rsid w:val="2F7A0DCC"/>
    <w:rsid w:val="2F7B2778"/>
    <w:rsid w:val="2FA96A37"/>
    <w:rsid w:val="30075207"/>
    <w:rsid w:val="302B350C"/>
    <w:rsid w:val="307A466F"/>
    <w:rsid w:val="307E7C38"/>
    <w:rsid w:val="30D8303F"/>
    <w:rsid w:val="30DB5F78"/>
    <w:rsid w:val="30E05083"/>
    <w:rsid w:val="310E62F0"/>
    <w:rsid w:val="315242AB"/>
    <w:rsid w:val="31525108"/>
    <w:rsid w:val="321305E4"/>
    <w:rsid w:val="326B7A56"/>
    <w:rsid w:val="32DE1F17"/>
    <w:rsid w:val="32EA60C1"/>
    <w:rsid w:val="335A3568"/>
    <w:rsid w:val="3363711E"/>
    <w:rsid w:val="33904D46"/>
    <w:rsid w:val="33A249B8"/>
    <w:rsid w:val="33D2591C"/>
    <w:rsid w:val="33D55DEC"/>
    <w:rsid w:val="33DC0516"/>
    <w:rsid w:val="342B47ED"/>
    <w:rsid w:val="342C074E"/>
    <w:rsid w:val="345F2165"/>
    <w:rsid w:val="346C440C"/>
    <w:rsid w:val="349F3024"/>
    <w:rsid w:val="34BB28E6"/>
    <w:rsid w:val="35654980"/>
    <w:rsid w:val="3594661F"/>
    <w:rsid w:val="35A26DDF"/>
    <w:rsid w:val="364775F2"/>
    <w:rsid w:val="36A0632C"/>
    <w:rsid w:val="36D6068F"/>
    <w:rsid w:val="36D87907"/>
    <w:rsid w:val="37297561"/>
    <w:rsid w:val="373A3E20"/>
    <w:rsid w:val="377C4680"/>
    <w:rsid w:val="38045282"/>
    <w:rsid w:val="381367FF"/>
    <w:rsid w:val="385D0FE0"/>
    <w:rsid w:val="38812183"/>
    <w:rsid w:val="389B7863"/>
    <w:rsid w:val="38AB3AC2"/>
    <w:rsid w:val="38D33E49"/>
    <w:rsid w:val="38E71C77"/>
    <w:rsid w:val="392859A6"/>
    <w:rsid w:val="3931422A"/>
    <w:rsid w:val="395146E4"/>
    <w:rsid w:val="3994792C"/>
    <w:rsid w:val="3A190C42"/>
    <w:rsid w:val="3A1A5B9A"/>
    <w:rsid w:val="3A481E82"/>
    <w:rsid w:val="3A545E38"/>
    <w:rsid w:val="3A8A19A2"/>
    <w:rsid w:val="3AB46091"/>
    <w:rsid w:val="3B207A16"/>
    <w:rsid w:val="3B4676F9"/>
    <w:rsid w:val="3B591190"/>
    <w:rsid w:val="3B7E3FEF"/>
    <w:rsid w:val="3B9331D3"/>
    <w:rsid w:val="3C192A1D"/>
    <w:rsid w:val="3C2E7CD9"/>
    <w:rsid w:val="3C782FA9"/>
    <w:rsid w:val="3C7E5704"/>
    <w:rsid w:val="3CA81F52"/>
    <w:rsid w:val="3CF47C7C"/>
    <w:rsid w:val="3D1261F8"/>
    <w:rsid w:val="3D1C301F"/>
    <w:rsid w:val="3D3D2135"/>
    <w:rsid w:val="3D766180"/>
    <w:rsid w:val="3D91026C"/>
    <w:rsid w:val="3D974BA2"/>
    <w:rsid w:val="3D992E06"/>
    <w:rsid w:val="3D9A279A"/>
    <w:rsid w:val="3DFF1990"/>
    <w:rsid w:val="3E30444D"/>
    <w:rsid w:val="3E5B04C9"/>
    <w:rsid w:val="3EB57C42"/>
    <w:rsid w:val="3EDD0C49"/>
    <w:rsid w:val="3EE2018A"/>
    <w:rsid w:val="3F2E4B3F"/>
    <w:rsid w:val="3F3C07A5"/>
    <w:rsid w:val="3F53483B"/>
    <w:rsid w:val="3FC02C41"/>
    <w:rsid w:val="3FD52A71"/>
    <w:rsid w:val="41240FFA"/>
    <w:rsid w:val="41372B4F"/>
    <w:rsid w:val="41B96849"/>
    <w:rsid w:val="41BB0996"/>
    <w:rsid w:val="41C82CE2"/>
    <w:rsid w:val="4241384D"/>
    <w:rsid w:val="42605154"/>
    <w:rsid w:val="43533451"/>
    <w:rsid w:val="43732856"/>
    <w:rsid w:val="441074AC"/>
    <w:rsid w:val="44163547"/>
    <w:rsid w:val="44361C78"/>
    <w:rsid w:val="444E4620"/>
    <w:rsid w:val="44C40F4E"/>
    <w:rsid w:val="454E3D3C"/>
    <w:rsid w:val="455D33B3"/>
    <w:rsid w:val="455D457F"/>
    <w:rsid w:val="456A6B72"/>
    <w:rsid w:val="456C0625"/>
    <w:rsid w:val="45E80174"/>
    <w:rsid w:val="45EA6720"/>
    <w:rsid w:val="46916475"/>
    <w:rsid w:val="46CF1974"/>
    <w:rsid w:val="46EC35A2"/>
    <w:rsid w:val="471501D2"/>
    <w:rsid w:val="471D5476"/>
    <w:rsid w:val="47245DA7"/>
    <w:rsid w:val="4724658B"/>
    <w:rsid w:val="47625FEA"/>
    <w:rsid w:val="47796EAA"/>
    <w:rsid w:val="47813B4D"/>
    <w:rsid w:val="47B90D34"/>
    <w:rsid w:val="47C76018"/>
    <w:rsid w:val="481F316A"/>
    <w:rsid w:val="4850733B"/>
    <w:rsid w:val="486C38FA"/>
    <w:rsid w:val="48D873A1"/>
    <w:rsid w:val="48E60314"/>
    <w:rsid w:val="497F6965"/>
    <w:rsid w:val="498D77CD"/>
    <w:rsid w:val="49A57DFF"/>
    <w:rsid w:val="49AC5F3E"/>
    <w:rsid w:val="49AE616E"/>
    <w:rsid w:val="49CC7F9C"/>
    <w:rsid w:val="49E61F67"/>
    <w:rsid w:val="4A142756"/>
    <w:rsid w:val="4A343A55"/>
    <w:rsid w:val="4A4170C0"/>
    <w:rsid w:val="4B18264A"/>
    <w:rsid w:val="4B830BBB"/>
    <w:rsid w:val="4BC4776A"/>
    <w:rsid w:val="4BDF6A38"/>
    <w:rsid w:val="4BF266DD"/>
    <w:rsid w:val="4C1A3292"/>
    <w:rsid w:val="4CDA7712"/>
    <w:rsid w:val="4CDB4816"/>
    <w:rsid w:val="4CE31F57"/>
    <w:rsid w:val="4DBA5CD1"/>
    <w:rsid w:val="4DBC30BE"/>
    <w:rsid w:val="4DEA1F97"/>
    <w:rsid w:val="4E1267F7"/>
    <w:rsid w:val="4E902369"/>
    <w:rsid w:val="4E9F6C3E"/>
    <w:rsid w:val="4ECB46E2"/>
    <w:rsid w:val="4EDD341E"/>
    <w:rsid w:val="4EEA689E"/>
    <w:rsid w:val="4F461418"/>
    <w:rsid w:val="4FE65037"/>
    <w:rsid w:val="4FF03836"/>
    <w:rsid w:val="50305D99"/>
    <w:rsid w:val="504306EC"/>
    <w:rsid w:val="50621445"/>
    <w:rsid w:val="5074692F"/>
    <w:rsid w:val="50E37B24"/>
    <w:rsid w:val="5142756E"/>
    <w:rsid w:val="5154503B"/>
    <w:rsid w:val="51DD5443"/>
    <w:rsid w:val="51E93949"/>
    <w:rsid w:val="52211698"/>
    <w:rsid w:val="523A15F9"/>
    <w:rsid w:val="527B5817"/>
    <w:rsid w:val="52872BA3"/>
    <w:rsid w:val="52D47880"/>
    <w:rsid w:val="53B74837"/>
    <w:rsid w:val="542E1C6B"/>
    <w:rsid w:val="543C08F8"/>
    <w:rsid w:val="544B6679"/>
    <w:rsid w:val="544D3AEE"/>
    <w:rsid w:val="5457181F"/>
    <w:rsid w:val="54951DE5"/>
    <w:rsid w:val="54B04062"/>
    <w:rsid w:val="54B8083C"/>
    <w:rsid w:val="54EA13E0"/>
    <w:rsid w:val="54FD17E6"/>
    <w:rsid w:val="55095260"/>
    <w:rsid w:val="55674A17"/>
    <w:rsid w:val="558E489F"/>
    <w:rsid w:val="55924494"/>
    <w:rsid w:val="55A021AD"/>
    <w:rsid w:val="55AE6467"/>
    <w:rsid w:val="55ED3650"/>
    <w:rsid w:val="562936CA"/>
    <w:rsid w:val="562E50E1"/>
    <w:rsid w:val="56300B7B"/>
    <w:rsid w:val="56A05D99"/>
    <w:rsid w:val="56C80DDE"/>
    <w:rsid w:val="56EA1451"/>
    <w:rsid w:val="56F46A10"/>
    <w:rsid w:val="57B44052"/>
    <w:rsid w:val="57D5294B"/>
    <w:rsid w:val="58286AE4"/>
    <w:rsid w:val="58616AC4"/>
    <w:rsid w:val="59066829"/>
    <w:rsid w:val="596C2D35"/>
    <w:rsid w:val="597A7267"/>
    <w:rsid w:val="597E6A6D"/>
    <w:rsid w:val="59DA739B"/>
    <w:rsid w:val="59F43CA4"/>
    <w:rsid w:val="5A0C3E88"/>
    <w:rsid w:val="5A6E1D26"/>
    <w:rsid w:val="5B0525A2"/>
    <w:rsid w:val="5B0D0FB7"/>
    <w:rsid w:val="5B2C7914"/>
    <w:rsid w:val="5BCC4E29"/>
    <w:rsid w:val="5BD05CD7"/>
    <w:rsid w:val="5BF1698B"/>
    <w:rsid w:val="5BFF6E82"/>
    <w:rsid w:val="5C5C3993"/>
    <w:rsid w:val="5C753BF3"/>
    <w:rsid w:val="5CAF5E5A"/>
    <w:rsid w:val="5CC154D0"/>
    <w:rsid w:val="5CDC2451"/>
    <w:rsid w:val="5D462BDB"/>
    <w:rsid w:val="5D605E75"/>
    <w:rsid w:val="5D8067FD"/>
    <w:rsid w:val="5DAA05DA"/>
    <w:rsid w:val="5DB85B2B"/>
    <w:rsid w:val="5DDE25BF"/>
    <w:rsid w:val="5E721D9D"/>
    <w:rsid w:val="5E8E1297"/>
    <w:rsid w:val="5F28073E"/>
    <w:rsid w:val="5F882222"/>
    <w:rsid w:val="60443DDE"/>
    <w:rsid w:val="606D0B7B"/>
    <w:rsid w:val="60775492"/>
    <w:rsid w:val="607B1408"/>
    <w:rsid w:val="60E83305"/>
    <w:rsid w:val="614D247B"/>
    <w:rsid w:val="616C3134"/>
    <w:rsid w:val="619F093C"/>
    <w:rsid w:val="61DF5E7D"/>
    <w:rsid w:val="62956CCF"/>
    <w:rsid w:val="62DC0B72"/>
    <w:rsid w:val="62FC7813"/>
    <w:rsid w:val="634A622D"/>
    <w:rsid w:val="6395618D"/>
    <w:rsid w:val="63AB087C"/>
    <w:rsid w:val="646D4B87"/>
    <w:rsid w:val="64B76A2E"/>
    <w:rsid w:val="64F539DA"/>
    <w:rsid w:val="64F9301E"/>
    <w:rsid w:val="654D5AD3"/>
    <w:rsid w:val="6604404B"/>
    <w:rsid w:val="666844C0"/>
    <w:rsid w:val="66CC2174"/>
    <w:rsid w:val="67140FEE"/>
    <w:rsid w:val="673C55D9"/>
    <w:rsid w:val="67402283"/>
    <w:rsid w:val="67C3469B"/>
    <w:rsid w:val="67C552AE"/>
    <w:rsid w:val="689F16A3"/>
    <w:rsid w:val="68AA5473"/>
    <w:rsid w:val="696C3B9C"/>
    <w:rsid w:val="697719BE"/>
    <w:rsid w:val="69E73623"/>
    <w:rsid w:val="69FF4821"/>
    <w:rsid w:val="6A307B61"/>
    <w:rsid w:val="6A6F39BA"/>
    <w:rsid w:val="6A764710"/>
    <w:rsid w:val="6A7C785B"/>
    <w:rsid w:val="6B081284"/>
    <w:rsid w:val="6B0A5399"/>
    <w:rsid w:val="6B1F7DBD"/>
    <w:rsid w:val="6B4333E3"/>
    <w:rsid w:val="6B6A7A84"/>
    <w:rsid w:val="6BD75905"/>
    <w:rsid w:val="6BF3467A"/>
    <w:rsid w:val="6C1C33B2"/>
    <w:rsid w:val="6C2447A1"/>
    <w:rsid w:val="6C283FF3"/>
    <w:rsid w:val="6C2F0F7A"/>
    <w:rsid w:val="6CA95354"/>
    <w:rsid w:val="6D5556EE"/>
    <w:rsid w:val="6D6F4D1B"/>
    <w:rsid w:val="6DFF521E"/>
    <w:rsid w:val="6EBD318A"/>
    <w:rsid w:val="6EF57093"/>
    <w:rsid w:val="6EFF7858"/>
    <w:rsid w:val="6F72780A"/>
    <w:rsid w:val="6F840A2A"/>
    <w:rsid w:val="6F8820A1"/>
    <w:rsid w:val="70260C1E"/>
    <w:rsid w:val="7052426C"/>
    <w:rsid w:val="70910BDF"/>
    <w:rsid w:val="70920CFE"/>
    <w:rsid w:val="70A3499D"/>
    <w:rsid w:val="70BA4C7C"/>
    <w:rsid w:val="715D1BDD"/>
    <w:rsid w:val="71B50421"/>
    <w:rsid w:val="72201ACF"/>
    <w:rsid w:val="72883058"/>
    <w:rsid w:val="72A02B65"/>
    <w:rsid w:val="72CD158A"/>
    <w:rsid w:val="735A34D3"/>
    <w:rsid w:val="737E72AF"/>
    <w:rsid w:val="738F0067"/>
    <w:rsid w:val="739D05F9"/>
    <w:rsid w:val="73CA5617"/>
    <w:rsid w:val="74532713"/>
    <w:rsid w:val="746D6AFE"/>
    <w:rsid w:val="74721AEE"/>
    <w:rsid w:val="74EF79AF"/>
    <w:rsid w:val="75130C42"/>
    <w:rsid w:val="75150AB7"/>
    <w:rsid w:val="75AA7DAF"/>
    <w:rsid w:val="75C17407"/>
    <w:rsid w:val="75C60334"/>
    <w:rsid w:val="76486BF8"/>
    <w:rsid w:val="770D696D"/>
    <w:rsid w:val="77715632"/>
    <w:rsid w:val="77763AB8"/>
    <w:rsid w:val="77A96E2C"/>
    <w:rsid w:val="77E95FA6"/>
    <w:rsid w:val="77FE452A"/>
    <w:rsid w:val="781F77E3"/>
    <w:rsid w:val="7899276D"/>
    <w:rsid w:val="793479B2"/>
    <w:rsid w:val="7958478C"/>
    <w:rsid w:val="796A56C0"/>
    <w:rsid w:val="797F3457"/>
    <w:rsid w:val="79C81C6F"/>
    <w:rsid w:val="79D66F17"/>
    <w:rsid w:val="7A0C47FC"/>
    <w:rsid w:val="7A621180"/>
    <w:rsid w:val="7A6223EB"/>
    <w:rsid w:val="7A65396B"/>
    <w:rsid w:val="7B291CC5"/>
    <w:rsid w:val="7B374DE6"/>
    <w:rsid w:val="7B3D64D4"/>
    <w:rsid w:val="7B7C34CD"/>
    <w:rsid w:val="7BD337FC"/>
    <w:rsid w:val="7BDC0FE5"/>
    <w:rsid w:val="7BDD35AD"/>
    <w:rsid w:val="7BF35FEA"/>
    <w:rsid w:val="7C3B3C0C"/>
    <w:rsid w:val="7C4D3D05"/>
    <w:rsid w:val="7D0254BA"/>
    <w:rsid w:val="7D7F65DC"/>
    <w:rsid w:val="7DA12AFE"/>
    <w:rsid w:val="7DA86AFB"/>
    <w:rsid w:val="7DBA1B16"/>
    <w:rsid w:val="7DF90B70"/>
    <w:rsid w:val="7E490F93"/>
    <w:rsid w:val="7E8042F0"/>
    <w:rsid w:val="7EC96B5B"/>
    <w:rsid w:val="7F0666E9"/>
    <w:rsid w:val="7F1F18DB"/>
    <w:rsid w:val="7F365594"/>
    <w:rsid w:val="7F3E4FF8"/>
    <w:rsid w:val="7F490A4D"/>
    <w:rsid w:val="7F945811"/>
    <w:rsid w:val="7FB9535E"/>
    <w:rsid w:val="7FE476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360" w:after="80"/>
      <w:outlineLvl w:val="0"/>
    </w:pPr>
    <w:rPr>
      <w:rFonts w:ascii="Arial" w:hAnsi="Arial" w:eastAsia="仿宋" w:cs="Arial"/>
      <w:b/>
      <w:sz w:val="28"/>
      <w:szCs w:val="40"/>
    </w:rPr>
  </w:style>
  <w:style w:type="paragraph" w:styleId="3">
    <w:name w:val="heading 2"/>
    <w:basedOn w:val="1"/>
    <w:next w:val="1"/>
    <w:link w:val="19"/>
    <w:unhideWhenUsed/>
    <w:qFormat/>
    <w:uiPriority w:val="9"/>
    <w:pPr>
      <w:keepNext/>
      <w:keepLines/>
      <w:spacing w:before="160" w:after="80"/>
      <w:outlineLvl w:val="1"/>
    </w:pPr>
    <w:rPr>
      <w:rFonts w:ascii="Arial" w:hAnsi="Arial" w:eastAsia="仿宋" w:cs="Arial"/>
      <w:b/>
      <w:sz w:val="24"/>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5"/>
    <w:qFormat/>
    <w:uiPriority w:val="0"/>
    <w:pPr>
      <w:jc w:val="left"/>
    </w:pPr>
  </w:style>
  <w:style w:type="paragraph" w:styleId="5">
    <w:name w:val="Body Text"/>
    <w:basedOn w:val="1"/>
    <w:next w:val="6"/>
    <w:qFormat/>
    <w:uiPriority w:val="99"/>
    <w:rPr>
      <w:rFonts w:cs="宋体"/>
      <w:szCs w:val="21"/>
    </w:rPr>
  </w:style>
  <w:style w:type="paragraph" w:styleId="6">
    <w:name w:val="List Bullet 5"/>
    <w:basedOn w:val="1"/>
    <w:qFormat/>
    <w:uiPriority w:val="0"/>
    <w:pPr>
      <w:numPr>
        <w:ilvl w:val="0"/>
        <w:numId w:val="1"/>
      </w:numPr>
    </w:pPr>
  </w:style>
  <w:style w:type="paragraph" w:styleId="7">
    <w:name w:val="Plain Text"/>
    <w:basedOn w:val="1"/>
    <w:qFormat/>
    <w:uiPriority w:val="0"/>
    <w:rPr>
      <w:rFonts w:ascii="宋体" w:hAnsi="Courier New" w:cs="Courier New"/>
      <w:szCs w:val="21"/>
    </w:rPr>
  </w:style>
  <w:style w:type="paragraph" w:styleId="8">
    <w:name w:val="Date"/>
    <w:basedOn w:val="1"/>
    <w:next w:val="1"/>
    <w:link w:val="23"/>
    <w:qFormat/>
    <w:uiPriority w:val="0"/>
    <w:pPr>
      <w:ind w:left="100" w:leftChars="2500"/>
    </w:pPr>
  </w:style>
  <w:style w:type="paragraph" w:styleId="9">
    <w:name w:val="footer"/>
    <w:basedOn w:val="1"/>
    <w:link w:val="22"/>
    <w:qFormat/>
    <w:uiPriority w:val="99"/>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toc 1"/>
    <w:basedOn w:val="1"/>
    <w:next w:val="1"/>
    <w:qFormat/>
    <w:uiPriority w:val="39"/>
  </w:style>
  <w:style w:type="paragraph" w:styleId="12">
    <w:name w:val="toc 2"/>
    <w:basedOn w:val="1"/>
    <w:next w:val="1"/>
    <w:qFormat/>
    <w:uiPriority w:val="39"/>
    <w:pPr>
      <w:ind w:left="420" w:leftChars="200"/>
    </w:pPr>
  </w:style>
  <w:style w:type="table" w:styleId="14">
    <w:name w:val="Table Grid"/>
    <w:basedOn w:val="1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6">
    <w:name w:val="Emphasis"/>
    <w:basedOn w:val="15"/>
    <w:qFormat/>
    <w:uiPriority w:val="0"/>
    <w:rPr>
      <w:i/>
      <w:iCs/>
    </w:rPr>
  </w:style>
  <w:style w:type="character" w:styleId="17">
    <w:name w:val="Hyperlink"/>
    <w:basedOn w:val="15"/>
    <w:unhideWhenUsed/>
    <w:qFormat/>
    <w:uiPriority w:val="99"/>
    <w:rPr>
      <w:color w:val="0026E5" w:themeColor="hyperlink"/>
      <w:u w:val="single"/>
      <w14:textFill>
        <w14:solidFill>
          <w14:schemeClr w14:val="hlink"/>
        </w14:solidFill>
      </w14:textFill>
    </w:rPr>
  </w:style>
  <w:style w:type="character" w:styleId="18">
    <w:name w:val="annotation reference"/>
    <w:basedOn w:val="15"/>
    <w:qFormat/>
    <w:uiPriority w:val="0"/>
    <w:rPr>
      <w:sz w:val="21"/>
      <w:szCs w:val="21"/>
    </w:rPr>
  </w:style>
  <w:style w:type="character" w:customStyle="1" w:styleId="19">
    <w:name w:val="标题 2 字符"/>
    <w:basedOn w:val="15"/>
    <w:link w:val="3"/>
    <w:qFormat/>
    <w:uiPriority w:val="9"/>
    <w:rPr>
      <w:rFonts w:ascii="Arial" w:hAnsi="Arial" w:eastAsia="仿宋" w:cs="Arial"/>
      <w:b/>
      <w:sz w:val="24"/>
      <w:szCs w:val="32"/>
    </w:rPr>
  </w:style>
  <w:style w:type="paragraph" w:customStyle="1" w:styleId="20">
    <w:name w:val="列出段落1"/>
    <w:basedOn w:val="1"/>
    <w:qFormat/>
    <w:uiPriority w:val="34"/>
    <w:pPr>
      <w:ind w:firstLine="420"/>
    </w:pPr>
  </w:style>
  <w:style w:type="paragraph" w:styleId="21">
    <w:name w:val="List Paragraph"/>
    <w:basedOn w:val="1"/>
    <w:unhideWhenUsed/>
    <w:qFormat/>
    <w:uiPriority w:val="99"/>
    <w:pPr>
      <w:ind w:firstLine="420" w:firstLineChars="200"/>
    </w:pPr>
  </w:style>
  <w:style w:type="character" w:customStyle="1" w:styleId="22">
    <w:name w:val="页脚 字符"/>
    <w:basedOn w:val="15"/>
    <w:link w:val="9"/>
    <w:qFormat/>
    <w:uiPriority w:val="99"/>
    <w:rPr>
      <w:kern w:val="2"/>
      <w:sz w:val="18"/>
      <w:szCs w:val="24"/>
    </w:rPr>
  </w:style>
  <w:style w:type="character" w:customStyle="1" w:styleId="23">
    <w:name w:val="日期 字符"/>
    <w:basedOn w:val="15"/>
    <w:link w:val="8"/>
    <w:qFormat/>
    <w:uiPriority w:val="0"/>
    <w:rPr>
      <w:kern w:val="2"/>
      <w:sz w:val="21"/>
      <w:szCs w:val="24"/>
    </w:rPr>
  </w:style>
  <w:style w:type="paragraph" w:customStyle="1" w:styleId="24">
    <w:name w:val="修订1"/>
    <w:hidden/>
    <w:unhideWhenUsed/>
    <w:qFormat/>
    <w:uiPriority w:val="99"/>
    <w:rPr>
      <w:rFonts w:asciiTheme="minorHAnsi" w:hAnsiTheme="minorHAnsi" w:eastAsiaTheme="minorEastAsia" w:cstheme="minorBidi"/>
      <w:kern w:val="2"/>
      <w:sz w:val="21"/>
      <w:szCs w:val="24"/>
      <w:lang w:val="en-US" w:eastAsia="zh-CN" w:bidi="ar-SA"/>
    </w:rPr>
  </w:style>
  <w:style w:type="character" w:customStyle="1" w:styleId="25">
    <w:name w:val="批注文字 字符"/>
    <w:basedOn w:val="15"/>
    <w:link w:val="4"/>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3" Type="http://schemas.openxmlformats.org/officeDocument/2006/relationships/fontTable" Target="fontTable.xml"/><Relationship Id="rId52" Type="http://schemas.openxmlformats.org/officeDocument/2006/relationships/customXml" Target="../customXml/item2.xml"/><Relationship Id="rId51" Type="http://schemas.openxmlformats.org/officeDocument/2006/relationships/numbering" Target="numbering.xml"/><Relationship Id="rId50" Type="http://schemas.openxmlformats.org/officeDocument/2006/relationships/customXml" Target="../customXml/item1.xml"/><Relationship Id="rId5" Type="http://schemas.openxmlformats.org/officeDocument/2006/relationships/header" Target="header2.xml"/><Relationship Id="rId49" Type="http://schemas.openxmlformats.org/officeDocument/2006/relationships/image" Target="media/image42.png"/><Relationship Id="rId48" Type="http://schemas.openxmlformats.org/officeDocument/2006/relationships/image" Target="media/image41.png"/><Relationship Id="rId47" Type="http://schemas.openxmlformats.org/officeDocument/2006/relationships/image" Target="media/image40.png"/><Relationship Id="rId46" Type="http://schemas.openxmlformats.org/officeDocument/2006/relationships/image" Target="media/image39.png"/><Relationship Id="rId45" Type="http://schemas.openxmlformats.org/officeDocument/2006/relationships/image" Target="media/image38.png"/><Relationship Id="rId44" Type="http://schemas.openxmlformats.org/officeDocument/2006/relationships/image" Target="media/image37.png"/><Relationship Id="rId43" Type="http://schemas.openxmlformats.org/officeDocument/2006/relationships/image" Target="media/image36.png"/><Relationship Id="rId42" Type="http://schemas.openxmlformats.org/officeDocument/2006/relationships/image" Target="media/image35.png"/><Relationship Id="rId41" Type="http://schemas.openxmlformats.org/officeDocument/2006/relationships/image" Target="media/image34.png"/><Relationship Id="rId40" Type="http://schemas.openxmlformats.org/officeDocument/2006/relationships/image" Target="media/image33.png"/><Relationship Id="rId4" Type="http://schemas.openxmlformats.org/officeDocument/2006/relationships/footer" Target="footer1.xml"/><Relationship Id="rId39" Type="http://schemas.openxmlformats.org/officeDocument/2006/relationships/image" Target="media/image32.png"/><Relationship Id="rId38" Type="http://schemas.openxmlformats.org/officeDocument/2006/relationships/image" Target="media/image31.png"/><Relationship Id="rId37" Type="http://schemas.openxmlformats.org/officeDocument/2006/relationships/image" Target="media/image30.png"/><Relationship Id="rId36" Type="http://schemas.openxmlformats.org/officeDocument/2006/relationships/image" Target="media/image29.png"/><Relationship Id="rId35" Type="http://schemas.openxmlformats.org/officeDocument/2006/relationships/image" Target="media/image28.png"/><Relationship Id="rId34" Type="http://schemas.openxmlformats.org/officeDocument/2006/relationships/image" Target="media/image27.png"/><Relationship Id="rId33" Type="http://schemas.openxmlformats.org/officeDocument/2006/relationships/image" Target="media/image26.png"/><Relationship Id="rId32" Type="http://schemas.openxmlformats.org/officeDocument/2006/relationships/image" Target="media/image25.png"/><Relationship Id="rId31" Type="http://schemas.openxmlformats.org/officeDocument/2006/relationships/image" Target="media/image24.png"/><Relationship Id="rId30" Type="http://schemas.openxmlformats.org/officeDocument/2006/relationships/image" Target="media/image23.png"/><Relationship Id="rId3" Type="http://schemas.openxmlformats.org/officeDocument/2006/relationships/header" Target="header1.xml"/><Relationship Id="rId29" Type="http://schemas.openxmlformats.org/officeDocument/2006/relationships/image" Target="media/image22.png"/><Relationship Id="rId28" Type="http://schemas.openxmlformats.org/officeDocument/2006/relationships/image" Target="media/image21.png"/><Relationship Id="rId27" Type="http://schemas.openxmlformats.org/officeDocument/2006/relationships/image" Target="media/image20.png"/><Relationship Id="rId26" Type="http://schemas.openxmlformats.org/officeDocument/2006/relationships/image" Target="media/image19.png"/><Relationship Id="rId25" Type="http://schemas.openxmlformats.org/officeDocument/2006/relationships/image" Target="media/image18.png"/><Relationship Id="rId24" Type="http://schemas.openxmlformats.org/officeDocument/2006/relationships/image" Target="media/image17.png"/><Relationship Id="rId23" Type="http://schemas.openxmlformats.org/officeDocument/2006/relationships/image" Target="media/image16.png"/><Relationship Id="rId22" Type="http://schemas.openxmlformats.org/officeDocument/2006/relationships/image" Target="media/image15.pn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1FDD22-4BB7-4A78-89D3-04DB87FF5742}">
  <ds:schemaRefs/>
</ds:datastoreItem>
</file>

<file path=docProps/app.xml><?xml version="1.0" encoding="utf-8"?>
<Properties xmlns="http://schemas.openxmlformats.org/officeDocument/2006/extended-properties" xmlns:vt="http://schemas.openxmlformats.org/officeDocument/2006/docPropsVTypes">
  <Template>Normal</Template>
  <Pages>36</Pages>
  <Words>9549</Words>
  <Characters>10318</Characters>
  <Lines>755</Lines>
  <Paragraphs>709</Paragraphs>
  <TotalTime>26</TotalTime>
  <ScaleCrop>false</ScaleCrop>
  <LinksUpToDate>false</LinksUpToDate>
  <CharactersWithSpaces>10534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2025-08-13T08:17:00Z</dcterms:created>
  <dc:creator>ychen</dc:creator>
  <cp:lastModifiedBy>Day丶17</cp:lastModifiedBy>
  <cp:lastPrinted>2025-06-11T08:04:00Z</cp:lastPrinted>
  <dcterms:modified xsi:type="dcterms:W3CDTF">2026-07-20T04:02:50Z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36B910F59B30428687367A1217F94E55</vt:lpwstr>
  </property>
  <property fmtid="{D5CDD505-2E9C-101B-9397-08002B2CF9AE}" pid="4" name="KSOTemplateDocerSaveRecord">
    <vt:lpwstr>eyJoZGlkIjoiZDI1YTc4ZGRlZTE4ZWFlMjI5YmQ4MzczOGY3NmZhOGMiLCJ1c2VySWQiOiI0Njc0NjIyMzcifQ==</vt:lpwstr>
  </property>
</Properties>
</file>