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5E" w:rsidRPr="002824CF" w:rsidRDefault="00CE735E" w:rsidP="00CE735E">
      <w:pPr>
        <w:rPr>
          <w:rFonts w:ascii="仿宋_GB2312" w:eastAsia="仿宋_GB2312" w:hAnsi="Calibri" w:cs="Times New Roman" w:hint="eastAsia"/>
          <w:sz w:val="32"/>
          <w:szCs w:val="32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附件 2</w:t>
      </w:r>
    </w:p>
    <w:p w:rsidR="00CE735E" w:rsidRPr="002824CF" w:rsidRDefault="00CE735E" w:rsidP="00CE735E">
      <w:pPr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</w:p>
    <w:p w:rsidR="00CE735E" w:rsidRPr="002824CF" w:rsidRDefault="00CE735E" w:rsidP="00CE735E">
      <w:pPr>
        <w:spacing w:line="560" w:lineRule="exact"/>
        <w:rPr>
          <w:rFonts w:ascii="宋体" w:eastAsia="宋体" w:hAnsi="宋体" w:cs="Times New Roman" w:hint="eastAsia"/>
          <w:bCs/>
          <w:sz w:val="44"/>
          <w:szCs w:val="44"/>
        </w:rPr>
      </w:pPr>
      <w:r w:rsidRPr="002824CF">
        <w:rPr>
          <w:rFonts w:ascii="宋体" w:eastAsia="宋体" w:hAnsi="宋体" w:cs="Times New Roman" w:hint="eastAsia"/>
          <w:bCs/>
          <w:sz w:val="44"/>
          <w:szCs w:val="44"/>
        </w:rPr>
        <w:t>财政性投资的信息化建设项目验收工作大纲</w:t>
      </w:r>
    </w:p>
    <w:p w:rsidR="00CE735E" w:rsidRDefault="00CE735E" w:rsidP="00CE735E">
      <w:pPr>
        <w:spacing w:line="560" w:lineRule="exact"/>
        <w:rPr>
          <w:rFonts w:ascii="仿宋_GB2312" w:eastAsia="仿宋_GB2312" w:hint="eastAsia"/>
          <w:bCs/>
          <w:sz w:val="32"/>
          <w:szCs w:val="32"/>
          <w:lang w:val="en-US"/>
        </w:rPr>
      </w:pP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一、项目建设单位在项目竣工后应自行组织初步验收，并在试运行3个月后向市大数据管理局提出项目竣工验收申请。如未能按建设计划进行竣工验收，项目建设单位应向市大数据管理局提出延迟竣工验收申请，并说明推迟竣工验收的理由。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二、项目建设单位申请竣工验收时应提供下列验收文件、资料：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（一）项目竣工验收申请表；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（二）项目工作报告；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（三）项目技术报告；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（四</w:t>
      </w:r>
      <w:r w:rsidRPr="002824CF">
        <w:rPr>
          <w:rFonts w:ascii="仿宋_GB2312" w:eastAsia="仿宋_GB2312" w:hAnsi="Calibri" w:cs="Times New Roman" w:hint="eastAsia"/>
          <w:sz w:val="32"/>
          <w:szCs w:val="32"/>
          <w:lang w:val="en-US"/>
        </w:rPr>
        <w:t>）</w:t>
      </w:r>
      <w:r w:rsidRPr="002824CF">
        <w:rPr>
          <w:rFonts w:ascii="仿宋_GB2312" w:eastAsia="仿宋_GB2312" w:hAnsi="Calibri" w:cs="Times New Roman" w:hint="eastAsia"/>
          <w:sz w:val="32"/>
          <w:szCs w:val="32"/>
        </w:rPr>
        <w:t>系统测试报告</w:t>
      </w:r>
      <w:r w:rsidRPr="002824CF">
        <w:rPr>
          <w:rFonts w:ascii="仿宋_GB2312" w:eastAsia="仿宋_GB2312" w:hAnsi="Calibri" w:cs="Times New Roman" w:hint="eastAsia"/>
          <w:sz w:val="32"/>
          <w:szCs w:val="32"/>
          <w:lang w:val="en-US"/>
        </w:rPr>
        <w:t>（</w:t>
      </w:r>
      <w:r w:rsidRPr="002824CF">
        <w:rPr>
          <w:rFonts w:ascii="仿宋_GB2312" w:eastAsia="仿宋_GB2312" w:hAnsi="Calibri" w:cs="Times New Roman" w:hint="eastAsia"/>
          <w:sz w:val="32"/>
          <w:szCs w:val="32"/>
        </w:rPr>
        <w:t>第三方测试，重要系统含安全测试）；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（五）用户情况报告；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（六）效益分析报告；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（七）项目经费使用情况报告；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（八）项目运行保障措施；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（九）项目建设单位初步验收意见；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（十）其他有关附件（项目可行性研究报告暨初步设计方案的批复文件、项目可行性研究报告暨初步设计方案、投资概算、招标文件、承建方的中标方案即投标文件、项目合同、项目监理</w:t>
      </w:r>
      <w:r w:rsidRPr="002824CF">
        <w:rPr>
          <w:rFonts w:ascii="仿宋_GB2312" w:eastAsia="仿宋_GB2312" w:hAnsi="Calibri" w:cs="Times New Roman" w:hint="eastAsia"/>
          <w:sz w:val="32"/>
          <w:szCs w:val="32"/>
        </w:rPr>
        <w:lastRenderedPageBreak/>
        <w:t>情况报告等）。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三、项目竣工验收以批复的项目可行性研究报告暨初步设计方案、投资概算、中标方案、中标合同的内容和确定的考核目标为基本依据，对建设内容完成情况、经费使用的合理性、项目的经济和社会效益等</w:t>
      </w:r>
      <w:proofErr w:type="gramStart"/>
      <w:r w:rsidRPr="002824CF">
        <w:rPr>
          <w:rFonts w:ascii="仿宋_GB2312" w:eastAsia="仿宋_GB2312" w:hAnsi="Calibri" w:cs="Times New Roman" w:hint="eastAsia"/>
          <w:sz w:val="32"/>
          <w:szCs w:val="32"/>
        </w:rPr>
        <w:t>作出</w:t>
      </w:r>
      <w:proofErr w:type="gramEnd"/>
      <w:r w:rsidRPr="002824CF">
        <w:rPr>
          <w:rFonts w:ascii="仿宋_GB2312" w:eastAsia="仿宋_GB2312" w:hAnsi="Calibri" w:cs="Times New Roman" w:hint="eastAsia"/>
          <w:sz w:val="32"/>
          <w:szCs w:val="32"/>
        </w:rPr>
        <w:t>客观、实事求是的评价，形成项目竣工验收意见。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四、未通过竣工验收的，项目建设单位应按验收委员会提出的意见及时整改，经整改完成后可再提出竣工验收申请。</w:t>
      </w:r>
    </w:p>
    <w:p w:rsidR="00CE735E" w:rsidRPr="002824CF" w:rsidRDefault="00CE735E" w:rsidP="00CE735E">
      <w:pPr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  <w:lang w:val="en-US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五、对整改后仍未通过竣工验收或逾期1年仍未通过竣工验收的项目，予以通报批评并停止拨付项目剩余的财政性投入资金。</w:t>
      </w:r>
    </w:p>
    <w:p w:rsidR="00CE735E" w:rsidRPr="0034505B" w:rsidRDefault="00CE735E" w:rsidP="00CE735E">
      <w:pPr>
        <w:spacing w:line="560" w:lineRule="exact"/>
        <w:ind w:firstLineChars="200" w:firstLine="640"/>
        <w:rPr>
          <w:rFonts w:ascii="Calibri" w:eastAsia="宋体" w:hAnsi="Calibri" w:cs="Times New Roman" w:hint="eastAsia"/>
        </w:rPr>
      </w:pPr>
      <w:r w:rsidRPr="002824CF">
        <w:rPr>
          <w:rFonts w:ascii="仿宋_GB2312" w:eastAsia="仿宋_GB2312" w:hAnsi="Calibri" w:cs="Times New Roman" w:hint="eastAsia"/>
          <w:sz w:val="32"/>
          <w:szCs w:val="32"/>
        </w:rPr>
        <w:t>六、项目竣工验收意见将作为拨付项目运行维护经费的主要依据。</w:t>
      </w:r>
    </w:p>
    <w:p w:rsidR="00B26948" w:rsidRPr="00CE735E" w:rsidRDefault="00B26948"/>
    <w:sectPr w:rsidR="00B26948" w:rsidRPr="00CE735E" w:rsidSect="00CE735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35E"/>
    <w:rsid w:val="00B26948"/>
    <w:rsid w:val="00C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市大数据管理局</dc:creator>
  <cp:lastModifiedBy>市大数据管理局</cp:lastModifiedBy>
  <cp:revision>1</cp:revision>
  <dcterms:created xsi:type="dcterms:W3CDTF">2019-10-25T01:37:00Z</dcterms:created>
  <dcterms:modified xsi:type="dcterms:W3CDTF">2019-10-25T01:43:00Z</dcterms:modified>
</cp:coreProperties>
</file>