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eastAsia="宋体" w:cs="宋体"/>
          <w:b/>
          <w:sz w:val="44"/>
        </w:rPr>
        <w:t>年度市级预算项目绩效自评报告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禁毒经费（含社区戒毒）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用于本局办理禁毒案件、查获吸毒人员、进行禁毒宣传及其他方面的支出。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2022年共破获各类毒品刑事案件51起，抓获毒品犯罪嫌疑人72名，起诉112名，查处吸毒人员88.5名，破获省目标案件2起,部目标案件2起。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eastAsia="仿宋_GB2312" w:cs="仿宋_GB2312"/>
          <w:sz w:val="32"/>
        </w:rPr>
        <w:t>100分，等级为优，设置绩效目标7个，实际完成7个，具体情况如下：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(一) 产出指标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1、数量指标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1)抓获贩毒人员数量</w:t>
      </w:r>
      <w:r>
        <w:rPr>
          <w:rFonts w:ascii="仿宋" w:hAnsi="仿宋" w:eastAsia="仿宋" w:cs="仿宋"/>
          <w:sz w:val="32"/>
        </w:rPr>
        <w:t>(人)，目标值70，完成值0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2、质量指标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1)起诉毒品贩毒嫌疑人数</w:t>
      </w:r>
      <w:r>
        <w:rPr>
          <w:rFonts w:ascii="仿宋" w:hAnsi="仿宋" w:eastAsia="仿宋" w:cs="仿宋"/>
          <w:sz w:val="32"/>
        </w:rPr>
        <w:t>(人)，目标值70，完成值0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3、时效指标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1)项目存续期</w:t>
      </w:r>
      <w:r>
        <w:rPr>
          <w:rFonts w:ascii="仿宋" w:hAnsi="仿宋" w:eastAsia="仿宋" w:cs="仿宋"/>
          <w:sz w:val="32"/>
        </w:rPr>
        <w:t>(年)，目标值1年，完成值0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4、成本指标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1)毛发检测吸毒人员</w:t>
      </w:r>
      <w:r>
        <w:rPr>
          <w:rFonts w:ascii="仿宋" w:hAnsi="仿宋" w:eastAsia="仿宋" w:cs="仿宋"/>
          <w:sz w:val="32"/>
        </w:rPr>
        <w:t>(人)，目标值1500，完成值0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(二) 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1、经济效益指标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1)帮助社区戒毒社区康复人员重新就业</w:t>
      </w:r>
      <w:r>
        <w:rPr>
          <w:rFonts w:ascii="仿宋" w:hAnsi="仿宋" w:eastAsia="仿宋" w:cs="仿宋"/>
          <w:sz w:val="32"/>
        </w:rPr>
        <w:t>(百分比)，目标值95，完成值0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2、社会效益指标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1)社区戒毒社区康复执行率</w:t>
      </w:r>
      <w:r>
        <w:rPr>
          <w:rFonts w:ascii="仿宋" w:hAnsi="仿宋" w:eastAsia="仿宋" w:cs="仿宋"/>
          <w:sz w:val="32"/>
        </w:rPr>
        <w:t>(百分比)，目标值95，完成值0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3、生态效益指标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4、可持续影响指标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(三) 满意度指标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1、服务对象满意度指标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1)易制毒化学品企业对禁毒业务的满意率</w:t>
      </w:r>
      <w:r>
        <w:rPr>
          <w:rFonts w:ascii="仿宋" w:hAnsi="仿宋" w:eastAsia="仿宋" w:cs="仿宋"/>
          <w:sz w:val="32"/>
        </w:rPr>
        <w:t>(百分比)，目标值100，完成值0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0A70C84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2022-03-03T08:53:00Z</dcterms:created>
  <dc:creator>86176</dc:creator>
  <cp:lastModifiedBy>Administrator</cp:lastModifiedBy>
  <dcterms:modified xsi:type="dcterms:W3CDTF">2023-10-31T07:45:46Z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  <property fmtid="{D5CDD505-2E9C-101B-9397-08002B2CF9AE}" pid="3" name="ICV">
    <vt:lpwstr>30AFF93CEA404EE7987706C8585BED57</vt:lpwstr>
  </property>
</Properties>
</file>