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6BA4F">
      <w:pPr>
        <w:rPr>
          <w:rFonts w:hint="eastAsia"/>
          <w:lang w:val="en-US" w:eastAsia="zh-CN"/>
        </w:rPr>
      </w:pPr>
    </w:p>
    <w:p w14:paraId="165AFFD4">
      <w:pPr>
        <w:widowControl/>
        <w:spacing w:line="600" w:lineRule="exact"/>
        <w:ind w:left="440" w:hanging="440" w:hangingChars="100"/>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石狮市交通和港口发展局关于</w:t>
      </w:r>
    </w:p>
    <w:p w14:paraId="4EA4ACCB">
      <w:pPr>
        <w:widowControl/>
        <w:spacing w:line="600" w:lineRule="exact"/>
        <w:ind w:left="440" w:hanging="440" w:hangingChars="100"/>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2024年度农村道路客运和城市交通发展</w:t>
      </w:r>
    </w:p>
    <w:p w14:paraId="49D3EA06">
      <w:pPr>
        <w:widowControl/>
        <w:spacing w:line="600" w:lineRule="exact"/>
        <w:ind w:left="440" w:hanging="440" w:hangingChars="100"/>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奖励涨价补贴资金申报的自评报告</w:t>
      </w:r>
    </w:p>
    <w:p w14:paraId="663353E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Calibri" w:eastAsia="仿宋_GB2312" w:cs="Times New Roman"/>
          <w:sz w:val="32"/>
          <w:szCs w:val="32"/>
          <w:lang w:val="en-US" w:eastAsia="zh-CN"/>
        </w:rPr>
      </w:pPr>
    </w:p>
    <w:p w14:paraId="0B407B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根据《福建省财政厅 福建省交通运输厅关于印发〈福建省农村道路客运和城市交通发展奖励涨价补贴资金管理办法〉的通知》（闽财规〔</w:t>
      </w:r>
      <w:r>
        <w:rPr>
          <w:rFonts w:hint="default"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en-US" w:eastAsia="zh-CN"/>
        </w:rPr>
        <w:t>号）、《泉州市交通运输局 泉州市财政局关于印发〈泉州市农村道路客运和城市交通发展奖励涨价补贴资金使用管理实施细则〉的通知》（泉交规〔</w:t>
      </w:r>
      <w:r>
        <w:rPr>
          <w:rFonts w:hint="default"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〕7号）等文件要求，石狮市交通和港口发展局、石狮市财政局对照文件中的考核标准开展自评工作，并形成自评报告。自评报告如下：</w:t>
      </w:r>
    </w:p>
    <w:p w14:paraId="21927F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一、农村道路客运发展自评情况</w:t>
      </w:r>
    </w:p>
    <w:p w14:paraId="25095B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（一）基本情况</w:t>
      </w:r>
    </w:p>
    <w:p w14:paraId="23BD4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2024年度，我市共有农村客运企业1家，农村客运线路2条、车辆6辆。辖区共有101个建制村，其中，0个建制村采取通客车形式（已完成全域公交一体化）。</w:t>
      </w:r>
    </w:p>
    <w:p w14:paraId="73E63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（二）自评估工作开展情况</w:t>
      </w:r>
    </w:p>
    <w:p w14:paraId="4AABA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福建省农村道路客运和城市交通发展奖励涨价补贴资金管理办法》、《泉州市农村道路客运和城市交通发展奖励涨价补贴资金使用管理实施细则》等文件的要求，石狮市交通和港口发展局会同石狮市财政局组织工作人员，对农村客运发展奖励涨价补贴资金考核评分表列出的自评内容收集了所需的各类资料，并通过泉州市道路运输管理系统、道路运输车辆卫星定位公共服务平台对材料的真实性进行复核，确保佐证材料的真实性。</w:t>
      </w:r>
    </w:p>
    <w:p w14:paraId="41D52D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（三）自评得分情况</w:t>
      </w:r>
    </w:p>
    <w:p w14:paraId="06D6AB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建制村通客车服务质量情况（本项满分100分）</w:t>
      </w:r>
    </w:p>
    <w:p w14:paraId="2D193F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考核年度内建制村通客车情况：</w:t>
      </w:r>
    </w:p>
    <w:p w14:paraId="0D2D4E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w:t>
      </w:r>
      <w:r>
        <w:rPr>
          <w:rFonts w:hint="default"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我市建制村已完成村村通公交，未出现群众举报“通返不通”查实、省级检查通报等情况。</w:t>
      </w:r>
    </w:p>
    <w:p w14:paraId="4ED929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100</w:t>
      </w:r>
      <w:r>
        <w:rPr>
          <w:rFonts w:hint="default" w:ascii="仿宋_GB2312" w:hAnsi="仿宋_GB2312" w:eastAsia="仿宋_GB2312" w:cs="仿宋_GB2312"/>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w:t>
      </w:r>
    </w:p>
    <w:p w14:paraId="21BE0D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地方财政保障情况（本项满分</w:t>
      </w: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0分）</w:t>
      </w:r>
    </w:p>
    <w:p w14:paraId="2745D1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w:t>
      </w:r>
      <w:r>
        <w:rPr>
          <w:rFonts w:hint="default"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我市辖区已实现全域公交一体化。</w:t>
      </w:r>
    </w:p>
    <w:p w14:paraId="6A58F8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20</w:t>
      </w:r>
    </w:p>
    <w:p w14:paraId="28745B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3、地方绩效考核情况（本项满分20分）</w:t>
      </w:r>
    </w:p>
    <w:p w14:paraId="37A015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w:t>
      </w:r>
      <w:r>
        <w:rPr>
          <w:rFonts w:hint="default" w:ascii="仿宋_GB2312" w:hAnsi="仿宋_GB2312" w:eastAsia="仿宋_GB2312" w:cs="仿宋_GB2312"/>
          <w:b w:val="0"/>
          <w:bCs w:val="0"/>
          <w:sz w:val="32"/>
          <w:szCs w:val="32"/>
          <w:lang w:val="en-US" w:eastAsia="zh-CN"/>
        </w:rPr>
        <w:t>年度内，</w:t>
      </w:r>
      <w:r>
        <w:rPr>
          <w:rFonts w:hint="eastAsia" w:ascii="仿宋_GB2312" w:hAnsi="仿宋_GB2312" w:eastAsia="仿宋_GB2312" w:cs="仿宋_GB2312"/>
          <w:b w:val="0"/>
          <w:bCs w:val="0"/>
          <w:sz w:val="32"/>
          <w:szCs w:val="32"/>
          <w:lang w:val="en-US" w:eastAsia="zh-CN"/>
        </w:rPr>
        <w:t>我市辖区已实现全域公交一体化。</w:t>
      </w:r>
    </w:p>
    <w:p w14:paraId="0F4C05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20</w:t>
      </w:r>
    </w:p>
    <w:p w14:paraId="3C39CC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辖区农客车辆座位数情况（根据实际座位数得分）</w:t>
      </w:r>
    </w:p>
    <w:p w14:paraId="0108A1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w:t>
      </w:r>
      <w:r>
        <w:rPr>
          <w:rFonts w:hint="default" w:ascii="仿宋_GB2312" w:hAnsi="仿宋_GB2312" w:eastAsia="仿宋_GB2312" w:cs="仿宋_GB2312"/>
          <w:b w:val="0"/>
          <w:bCs w:val="0"/>
          <w:sz w:val="32"/>
          <w:szCs w:val="32"/>
          <w:lang w:val="en-US" w:eastAsia="zh-CN"/>
        </w:rPr>
        <w:t>年度内辖区在册运营的农村道路客运车辆座位数共计</w:t>
      </w:r>
      <w:r>
        <w:rPr>
          <w:rFonts w:hint="eastAsia" w:ascii="仿宋_GB2312" w:hAnsi="仿宋_GB2312" w:eastAsia="仿宋_GB2312" w:cs="仿宋_GB2312"/>
          <w:b w:val="0"/>
          <w:bCs w:val="0"/>
          <w:sz w:val="32"/>
          <w:szCs w:val="32"/>
          <w:lang w:val="en-US" w:eastAsia="zh-CN"/>
        </w:rPr>
        <w:t>69</w:t>
      </w:r>
      <w:r>
        <w:rPr>
          <w:rFonts w:hint="default" w:ascii="仿宋_GB2312" w:hAnsi="仿宋_GB2312" w:eastAsia="仿宋_GB2312" w:cs="仿宋_GB2312"/>
          <w:b w:val="0"/>
          <w:bCs w:val="0"/>
          <w:sz w:val="32"/>
          <w:szCs w:val="32"/>
          <w:lang w:val="en-US" w:eastAsia="zh-CN"/>
        </w:rPr>
        <w:t>座。</w:t>
      </w:r>
    </w:p>
    <w:p w14:paraId="1C4839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6.9</w:t>
      </w:r>
    </w:p>
    <w:p w14:paraId="7E6F65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佐证材料：《石狮市在册农村客运车辆座位数明细表》</w:t>
      </w:r>
    </w:p>
    <w:p w14:paraId="7D9E35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辖区建制村通客车难度情况（本项满分50分）</w:t>
      </w:r>
    </w:p>
    <w:p w14:paraId="48D4D4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根据辖区建制村数量×难度权重系数进行排序，其中转移支付补助第一档、第二档和第三档县（安溪县、南安市、永春县、德化县、惠安县）难度系数为1，转移支付补助第四档和第五档县（石狮市、晋江市、鲤城区、丰泽区、洛江区、泉港区）难度系数为</w:t>
      </w:r>
      <w:r>
        <w:rPr>
          <w:rFonts w:hint="default" w:ascii="仿宋_GB2312" w:hAnsi="仿宋_GB2312" w:eastAsia="仿宋_GB2312" w:cs="仿宋_GB2312"/>
          <w:b w:val="0"/>
          <w:bCs w:val="0"/>
          <w:sz w:val="32"/>
          <w:szCs w:val="32"/>
          <w:lang w:val="en-US" w:eastAsia="zh-CN"/>
        </w:rPr>
        <w:t>0.8。加权后建制村通车难度排名第一得50分、第二得45分、第三得40分，以此类推。没有农村道路客运的县不参与排名。</w:t>
      </w:r>
    </w:p>
    <w:p w14:paraId="545AEE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我市加权后建制村通车难度排名第五，得30分。</w:t>
      </w:r>
    </w:p>
    <w:tbl>
      <w:tblPr>
        <w:tblStyle w:val="9"/>
        <w:tblpPr w:leftFromText="180" w:rightFromText="180" w:vertAnchor="text" w:horzAnchor="page" w:tblpX="2160" w:tblpY="234"/>
        <w:tblOverlap w:val="never"/>
        <w:tblW w:w="43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243"/>
        <w:gridCol w:w="1243"/>
        <w:gridCol w:w="1243"/>
        <w:gridCol w:w="1243"/>
        <w:gridCol w:w="1247"/>
      </w:tblGrid>
      <w:tr w14:paraId="1EEE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noWrap w:val="0"/>
            <w:vAlign w:val="center"/>
          </w:tcPr>
          <w:p w14:paraId="43A97D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县市区</w:t>
            </w:r>
          </w:p>
        </w:tc>
        <w:tc>
          <w:tcPr>
            <w:tcW w:w="795" w:type="pct"/>
            <w:noWrap w:val="0"/>
            <w:vAlign w:val="center"/>
          </w:tcPr>
          <w:p w14:paraId="42D61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kern w:val="2"/>
                <w:sz w:val="32"/>
                <w:szCs w:val="32"/>
                <w:vertAlign w:val="baseline"/>
                <w:lang w:val="en-US" w:eastAsia="zh-CN" w:bidi="ar-SA"/>
              </w:rPr>
            </w:pPr>
            <w:r>
              <w:rPr>
                <w:rFonts w:hint="default" w:ascii="Times New Roman" w:hAnsi="Times New Roman" w:eastAsia="仿宋_GB2312" w:cs="Times New Roman"/>
                <w:b w:val="0"/>
                <w:bCs w:val="0"/>
                <w:sz w:val="32"/>
                <w:szCs w:val="32"/>
                <w:lang w:val="en-US" w:eastAsia="zh-CN"/>
              </w:rPr>
              <w:t>石狮</w:t>
            </w:r>
          </w:p>
        </w:tc>
        <w:tc>
          <w:tcPr>
            <w:tcW w:w="795" w:type="pct"/>
            <w:noWrap w:val="0"/>
            <w:vAlign w:val="center"/>
          </w:tcPr>
          <w:p w14:paraId="35C621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lang w:val="en-US" w:eastAsia="zh-CN"/>
              </w:rPr>
              <w:t>南安</w:t>
            </w:r>
          </w:p>
        </w:tc>
        <w:tc>
          <w:tcPr>
            <w:tcW w:w="795" w:type="pct"/>
            <w:noWrap w:val="0"/>
            <w:vAlign w:val="center"/>
          </w:tcPr>
          <w:p w14:paraId="6CAA99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安溪</w:t>
            </w:r>
          </w:p>
        </w:tc>
        <w:tc>
          <w:tcPr>
            <w:tcW w:w="795" w:type="pct"/>
            <w:noWrap w:val="0"/>
            <w:vAlign w:val="center"/>
          </w:tcPr>
          <w:p w14:paraId="21541F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永春</w:t>
            </w:r>
          </w:p>
        </w:tc>
        <w:tc>
          <w:tcPr>
            <w:tcW w:w="798" w:type="pct"/>
            <w:noWrap w:val="0"/>
            <w:vAlign w:val="center"/>
          </w:tcPr>
          <w:p w14:paraId="63698C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德化</w:t>
            </w:r>
          </w:p>
        </w:tc>
      </w:tr>
      <w:tr w14:paraId="6E1E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noWrap w:val="0"/>
            <w:vAlign w:val="center"/>
          </w:tcPr>
          <w:p w14:paraId="3992D2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pacing w:val="-11"/>
                <w:sz w:val="32"/>
                <w:szCs w:val="32"/>
                <w:vertAlign w:val="baseline"/>
                <w:lang w:val="en-US" w:eastAsia="zh-CN"/>
              </w:rPr>
            </w:pPr>
            <w:r>
              <w:rPr>
                <w:rFonts w:hint="default" w:ascii="Times New Roman" w:hAnsi="Times New Roman" w:eastAsia="仿宋_GB2312" w:cs="Times New Roman"/>
                <w:b w:val="0"/>
                <w:bCs w:val="0"/>
                <w:spacing w:val="-11"/>
                <w:sz w:val="32"/>
                <w:szCs w:val="32"/>
                <w:vertAlign w:val="baseline"/>
                <w:lang w:val="en-US" w:eastAsia="zh-CN"/>
              </w:rPr>
              <w:t>建制村数</w:t>
            </w:r>
          </w:p>
        </w:tc>
        <w:tc>
          <w:tcPr>
            <w:tcW w:w="795" w:type="pct"/>
            <w:noWrap w:val="0"/>
            <w:vAlign w:val="center"/>
          </w:tcPr>
          <w:p w14:paraId="5084C5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kern w:val="2"/>
                <w:sz w:val="32"/>
                <w:szCs w:val="32"/>
                <w:vertAlign w:val="baseline"/>
                <w:lang w:val="en-US" w:eastAsia="zh-CN" w:bidi="ar-SA"/>
              </w:rPr>
            </w:pPr>
            <w:r>
              <w:rPr>
                <w:rFonts w:hint="default" w:ascii="Times New Roman" w:hAnsi="Times New Roman" w:eastAsia="仿宋_GB2312" w:cs="Times New Roman"/>
                <w:b w:val="0"/>
                <w:bCs w:val="0"/>
                <w:sz w:val="32"/>
                <w:szCs w:val="32"/>
                <w:vertAlign w:val="baseline"/>
                <w:lang w:val="en-US" w:eastAsia="zh-CN"/>
              </w:rPr>
              <w:t>101</w:t>
            </w:r>
          </w:p>
        </w:tc>
        <w:tc>
          <w:tcPr>
            <w:tcW w:w="795" w:type="pct"/>
            <w:noWrap w:val="0"/>
            <w:vAlign w:val="center"/>
          </w:tcPr>
          <w:p w14:paraId="0C83A8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379</w:t>
            </w:r>
          </w:p>
        </w:tc>
        <w:tc>
          <w:tcPr>
            <w:tcW w:w="795" w:type="pct"/>
            <w:noWrap w:val="0"/>
            <w:vAlign w:val="center"/>
          </w:tcPr>
          <w:p w14:paraId="124F69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443</w:t>
            </w:r>
          </w:p>
        </w:tc>
        <w:tc>
          <w:tcPr>
            <w:tcW w:w="795" w:type="pct"/>
            <w:noWrap w:val="0"/>
            <w:vAlign w:val="center"/>
          </w:tcPr>
          <w:p w14:paraId="60E201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209</w:t>
            </w:r>
          </w:p>
        </w:tc>
        <w:tc>
          <w:tcPr>
            <w:tcW w:w="798" w:type="pct"/>
            <w:noWrap w:val="0"/>
            <w:vAlign w:val="center"/>
          </w:tcPr>
          <w:p w14:paraId="0C304C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191</w:t>
            </w:r>
          </w:p>
        </w:tc>
      </w:tr>
      <w:tr w14:paraId="30BE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noWrap w:val="0"/>
            <w:vAlign w:val="center"/>
          </w:tcPr>
          <w:p w14:paraId="0B5716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pacing w:val="-11"/>
                <w:sz w:val="32"/>
                <w:szCs w:val="32"/>
                <w:vertAlign w:val="baseline"/>
                <w:lang w:val="en-US" w:eastAsia="zh-CN"/>
              </w:rPr>
            </w:pPr>
            <w:r>
              <w:rPr>
                <w:rFonts w:hint="default" w:ascii="Times New Roman" w:hAnsi="Times New Roman" w:eastAsia="仿宋_GB2312" w:cs="Times New Roman"/>
                <w:b w:val="0"/>
                <w:bCs w:val="0"/>
                <w:spacing w:val="-11"/>
                <w:sz w:val="32"/>
                <w:szCs w:val="32"/>
                <w:vertAlign w:val="baseline"/>
                <w:lang w:val="en-US" w:eastAsia="zh-CN"/>
              </w:rPr>
              <w:t>权重系数</w:t>
            </w:r>
          </w:p>
        </w:tc>
        <w:tc>
          <w:tcPr>
            <w:tcW w:w="795" w:type="pct"/>
            <w:noWrap w:val="0"/>
            <w:vAlign w:val="center"/>
          </w:tcPr>
          <w:p w14:paraId="356918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kern w:val="2"/>
                <w:sz w:val="32"/>
                <w:szCs w:val="32"/>
                <w:vertAlign w:val="baseline"/>
                <w:lang w:val="en-US" w:eastAsia="zh-CN" w:bidi="ar-SA"/>
              </w:rPr>
            </w:pPr>
            <w:r>
              <w:rPr>
                <w:rFonts w:hint="default" w:ascii="Times New Roman" w:hAnsi="Times New Roman" w:eastAsia="仿宋_GB2312" w:cs="Times New Roman"/>
                <w:b w:val="0"/>
                <w:bCs w:val="0"/>
                <w:sz w:val="32"/>
                <w:szCs w:val="32"/>
                <w:vertAlign w:val="baseline"/>
                <w:lang w:val="en-US" w:eastAsia="zh-CN"/>
              </w:rPr>
              <w:t>0.8</w:t>
            </w:r>
          </w:p>
        </w:tc>
        <w:tc>
          <w:tcPr>
            <w:tcW w:w="795" w:type="pct"/>
            <w:noWrap w:val="0"/>
            <w:vAlign w:val="center"/>
          </w:tcPr>
          <w:p w14:paraId="7B5D33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w:t>
            </w:r>
          </w:p>
        </w:tc>
        <w:tc>
          <w:tcPr>
            <w:tcW w:w="795" w:type="pct"/>
            <w:noWrap w:val="0"/>
            <w:vAlign w:val="center"/>
          </w:tcPr>
          <w:p w14:paraId="3A8279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w:t>
            </w:r>
          </w:p>
        </w:tc>
        <w:tc>
          <w:tcPr>
            <w:tcW w:w="795" w:type="pct"/>
            <w:noWrap w:val="0"/>
            <w:vAlign w:val="center"/>
          </w:tcPr>
          <w:p w14:paraId="478E2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w:t>
            </w:r>
          </w:p>
        </w:tc>
        <w:tc>
          <w:tcPr>
            <w:tcW w:w="798" w:type="pct"/>
            <w:noWrap w:val="0"/>
            <w:vAlign w:val="center"/>
          </w:tcPr>
          <w:p w14:paraId="5D61DB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w:t>
            </w:r>
          </w:p>
        </w:tc>
      </w:tr>
      <w:tr w14:paraId="5023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noWrap w:val="0"/>
            <w:vAlign w:val="center"/>
          </w:tcPr>
          <w:p w14:paraId="6835A4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pacing w:val="-11"/>
                <w:sz w:val="32"/>
                <w:szCs w:val="32"/>
                <w:vertAlign w:val="baseline"/>
                <w:lang w:val="en-US" w:eastAsia="zh-CN"/>
              </w:rPr>
            </w:pPr>
            <w:r>
              <w:rPr>
                <w:rFonts w:hint="default" w:ascii="Times New Roman" w:hAnsi="Times New Roman" w:eastAsia="仿宋_GB2312" w:cs="Times New Roman"/>
                <w:b w:val="0"/>
                <w:bCs w:val="0"/>
                <w:spacing w:val="-11"/>
                <w:sz w:val="32"/>
                <w:szCs w:val="32"/>
                <w:vertAlign w:val="baseline"/>
                <w:lang w:val="en-US" w:eastAsia="zh-CN"/>
              </w:rPr>
              <w:t>难度得分</w:t>
            </w:r>
          </w:p>
        </w:tc>
        <w:tc>
          <w:tcPr>
            <w:tcW w:w="795" w:type="pct"/>
            <w:noWrap w:val="0"/>
            <w:vAlign w:val="center"/>
          </w:tcPr>
          <w:p w14:paraId="66A28F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kern w:val="2"/>
                <w:sz w:val="32"/>
                <w:szCs w:val="32"/>
                <w:vertAlign w:val="baseline"/>
                <w:lang w:val="en-US" w:eastAsia="zh-CN" w:bidi="ar-SA"/>
              </w:rPr>
            </w:pPr>
            <w:r>
              <w:rPr>
                <w:rFonts w:hint="default" w:ascii="Times New Roman" w:hAnsi="Times New Roman" w:eastAsia="仿宋_GB2312" w:cs="Times New Roman"/>
                <w:b w:val="0"/>
                <w:bCs w:val="0"/>
                <w:sz w:val="32"/>
                <w:szCs w:val="32"/>
                <w:vertAlign w:val="baseline"/>
                <w:lang w:val="en-US" w:eastAsia="zh-CN"/>
              </w:rPr>
              <w:t>80.8</w:t>
            </w:r>
          </w:p>
        </w:tc>
        <w:tc>
          <w:tcPr>
            <w:tcW w:w="795" w:type="pct"/>
            <w:noWrap w:val="0"/>
            <w:vAlign w:val="center"/>
          </w:tcPr>
          <w:p w14:paraId="238654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379</w:t>
            </w:r>
          </w:p>
        </w:tc>
        <w:tc>
          <w:tcPr>
            <w:tcW w:w="795" w:type="pct"/>
            <w:noWrap w:val="0"/>
            <w:vAlign w:val="center"/>
          </w:tcPr>
          <w:p w14:paraId="142FC1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443</w:t>
            </w:r>
          </w:p>
        </w:tc>
        <w:tc>
          <w:tcPr>
            <w:tcW w:w="795" w:type="pct"/>
            <w:noWrap w:val="0"/>
            <w:vAlign w:val="center"/>
          </w:tcPr>
          <w:p w14:paraId="54FEE8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209</w:t>
            </w:r>
          </w:p>
        </w:tc>
        <w:tc>
          <w:tcPr>
            <w:tcW w:w="798" w:type="pct"/>
            <w:noWrap w:val="0"/>
            <w:vAlign w:val="center"/>
          </w:tcPr>
          <w:p w14:paraId="4A4A1A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191</w:t>
            </w:r>
          </w:p>
        </w:tc>
      </w:tr>
      <w:tr w14:paraId="7D72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pct"/>
            <w:noWrap w:val="0"/>
            <w:vAlign w:val="center"/>
          </w:tcPr>
          <w:p w14:paraId="7E0DAB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pacing w:val="-11"/>
                <w:sz w:val="32"/>
                <w:szCs w:val="32"/>
                <w:vertAlign w:val="baseline"/>
                <w:lang w:val="en" w:eastAsia="zh-CN"/>
              </w:rPr>
            </w:pPr>
            <w:r>
              <w:rPr>
                <w:rFonts w:hint="default" w:ascii="Times New Roman" w:hAnsi="Times New Roman" w:eastAsia="仿宋_GB2312" w:cs="Times New Roman"/>
                <w:b w:val="0"/>
                <w:bCs w:val="0"/>
                <w:spacing w:val="-11"/>
                <w:sz w:val="32"/>
                <w:szCs w:val="32"/>
                <w:vertAlign w:val="baseline"/>
                <w:lang w:val="en" w:eastAsia="zh-CN"/>
              </w:rPr>
              <w:t>排名</w:t>
            </w:r>
          </w:p>
        </w:tc>
        <w:tc>
          <w:tcPr>
            <w:tcW w:w="795" w:type="pct"/>
            <w:noWrap w:val="0"/>
            <w:vAlign w:val="center"/>
          </w:tcPr>
          <w:p w14:paraId="6A74FB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kern w:val="2"/>
                <w:sz w:val="32"/>
                <w:szCs w:val="32"/>
                <w:vertAlign w:val="baseline"/>
                <w:lang w:val="en-US" w:eastAsia="zh-CN" w:bidi="ar-SA"/>
              </w:rPr>
            </w:pPr>
            <w:r>
              <w:rPr>
                <w:rFonts w:hint="eastAsia" w:ascii="Times New Roman" w:hAnsi="Times New Roman" w:eastAsia="仿宋_GB2312" w:cs="Times New Roman"/>
                <w:b w:val="0"/>
                <w:bCs w:val="0"/>
                <w:kern w:val="2"/>
                <w:sz w:val="32"/>
                <w:szCs w:val="32"/>
                <w:vertAlign w:val="baseline"/>
                <w:lang w:val="en-US" w:eastAsia="zh-CN" w:bidi="ar-SA"/>
              </w:rPr>
              <w:t>5</w:t>
            </w:r>
          </w:p>
        </w:tc>
        <w:tc>
          <w:tcPr>
            <w:tcW w:w="795" w:type="pct"/>
            <w:noWrap w:val="0"/>
            <w:vAlign w:val="center"/>
          </w:tcPr>
          <w:p w14:paraId="17565A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2</w:t>
            </w:r>
          </w:p>
        </w:tc>
        <w:tc>
          <w:tcPr>
            <w:tcW w:w="795" w:type="pct"/>
            <w:noWrap w:val="0"/>
            <w:vAlign w:val="center"/>
          </w:tcPr>
          <w:p w14:paraId="201614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w:t>
            </w:r>
          </w:p>
        </w:tc>
        <w:tc>
          <w:tcPr>
            <w:tcW w:w="795" w:type="pct"/>
            <w:noWrap w:val="0"/>
            <w:vAlign w:val="center"/>
          </w:tcPr>
          <w:p w14:paraId="35A9D9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Times New Roman" w:hAnsi="Times New Roman" w:eastAsia="仿宋_GB2312" w:cs="Times New Roman"/>
                <w:b w:val="0"/>
                <w:bCs w:val="0"/>
                <w:sz w:val="32"/>
                <w:szCs w:val="32"/>
                <w:vertAlign w:val="baseline"/>
                <w:lang w:val="en-US" w:eastAsia="zh-CN"/>
              </w:rPr>
              <w:t>3</w:t>
            </w:r>
          </w:p>
        </w:tc>
        <w:tc>
          <w:tcPr>
            <w:tcW w:w="798" w:type="pct"/>
            <w:noWrap w:val="0"/>
            <w:vAlign w:val="center"/>
          </w:tcPr>
          <w:p w14:paraId="3AD065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Times New Roman" w:hAnsi="Times New Roman" w:eastAsia="仿宋_GB2312" w:cs="Times New Roman"/>
                <w:b w:val="0"/>
                <w:bCs w:val="0"/>
                <w:sz w:val="32"/>
                <w:szCs w:val="32"/>
                <w:vertAlign w:val="baseline"/>
                <w:lang w:val="en-US" w:eastAsia="zh-CN"/>
              </w:rPr>
              <w:t>4</w:t>
            </w:r>
          </w:p>
        </w:tc>
      </w:tr>
    </w:tbl>
    <w:p w14:paraId="72726E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14:paraId="0D1245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14:paraId="406D9B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14:paraId="119F3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14:paraId="32C6EA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14:paraId="14BDEB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14:paraId="4BDF14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本项自评得分：</w:t>
      </w:r>
      <w:r>
        <w:rPr>
          <w:rFonts w:hint="eastAsia" w:ascii="Times New Roman" w:hAnsi="Times New Roman" w:eastAsia="仿宋_GB2312" w:cs="Times New Roman"/>
          <w:b w:val="0"/>
          <w:bCs w:val="0"/>
          <w:sz w:val="32"/>
          <w:szCs w:val="32"/>
          <w:lang w:val="en-US" w:eastAsia="zh-CN"/>
        </w:rPr>
        <w:t>30</w:t>
      </w:r>
    </w:p>
    <w:p w14:paraId="1212F2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val="en-US" w:eastAsia="zh-CN"/>
        </w:rPr>
        <w:t>辖区农村道路客运安全稳定情况（本项满分30分）</w:t>
      </w:r>
    </w:p>
    <w:p w14:paraId="1F3A8E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w:t>
      </w:r>
      <w:r>
        <w:rPr>
          <w:rFonts w:hint="default"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我市辖区农村道路客运企业</w:t>
      </w:r>
      <w:r>
        <w:rPr>
          <w:rFonts w:hint="default" w:ascii="仿宋_GB2312" w:hAnsi="仿宋_GB2312" w:eastAsia="仿宋_GB2312" w:cs="仿宋_GB2312"/>
          <w:b w:val="0"/>
          <w:bCs w:val="0"/>
          <w:sz w:val="32"/>
          <w:szCs w:val="32"/>
          <w:lang w:val="en-US" w:eastAsia="zh-CN"/>
        </w:rPr>
        <w:t>未发生负同等及以上责任的安全生产事故</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未发生农村道路客运领域群体性不稳定事件。</w:t>
      </w:r>
    </w:p>
    <w:p w14:paraId="601481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30</w:t>
      </w:r>
    </w:p>
    <w:p w14:paraId="440D3A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w:t>
      </w:r>
      <w:r>
        <w:rPr>
          <w:rFonts w:hint="default" w:ascii="仿宋_GB2312" w:hAnsi="仿宋_GB2312" w:eastAsia="仿宋_GB2312" w:cs="仿宋_GB2312"/>
          <w:b w:val="0"/>
          <w:bCs w:val="0"/>
          <w:sz w:val="32"/>
          <w:szCs w:val="32"/>
          <w:lang w:val="en-US" w:eastAsia="zh-CN"/>
        </w:rPr>
        <w:t>建制村通客车工作成效（本项为加分项，最高加分不超过100分）</w:t>
      </w:r>
    </w:p>
    <w:p w14:paraId="080ED0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w:t>
      </w:r>
      <w:r>
        <w:rPr>
          <w:rFonts w:hint="default"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我市无加分项</w:t>
      </w:r>
      <w:r>
        <w:rPr>
          <w:rFonts w:hint="default" w:ascii="仿宋_GB2312" w:hAnsi="仿宋_GB2312" w:eastAsia="仿宋_GB2312" w:cs="仿宋_GB2312"/>
          <w:b w:val="0"/>
          <w:bCs w:val="0"/>
          <w:sz w:val="32"/>
          <w:szCs w:val="32"/>
          <w:lang w:val="en-US" w:eastAsia="zh-CN"/>
        </w:rPr>
        <w:t>。</w:t>
      </w:r>
    </w:p>
    <w:p w14:paraId="78DD86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0</w:t>
      </w:r>
    </w:p>
    <w:p w14:paraId="6A7164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综上，</w:t>
      </w:r>
      <w:r>
        <w:rPr>
          <w:rFonts w:hint="eastAsia" w:ascii="仿宋_GB2312" w:hAnsi="仿宋_GB2312" w:eastAsia="仿宋_GB2312" w:cs="仿宋_GB2312"/>
          <w:b w:val="0"/>
          <w:bCs w:val="0"/>
          <w:sz w:val="32"/>
          <w:szCs w:val="32"/>
          <w:lang w:val="en-US" w:eastAsia="zh-CN"/>
        </w:rPr>
        <w:t>石狮市</w:t>
      </w:r>
      <w:r>
        <w:rPr>
          <w:rFonts w:hint="default" w:ascii="仿宋_GB2312" w:hAnsi="仿宋_GB2312" w:eastAsia="仿宋_GB2312" w:cs="仿宋_GB2312"/>
          <w:b w:val="0"/>
          <w:bCs w:val="0"/>
          <w:sz w:val="32"/>
          <w:szCs w:val="32"/>
          <w:lang w:val="en-US" w:eastAsia="zh-CN"/>
        </w:rPr>
        <w:t>202</w:t>
      </w: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年度农村道路客运发展自评总分</w:t>
      </w:r>
      <w:r>
        <w:rPr>
          <w:rFonts w:hint="eastAsia" w:ascii="仿宋_GB2312" w:hAnsi="仿宋_GB2312" w:eastAsia="仿宋_GB2312" w:cs="仿宋_GB2312"/>
          <w:b w:val="0"/>
          <w:bCs w:val="0"/>
          <w:sz w:val="32"/>
          <w:szCs w:val="32"/>
          <w:lang w:val="en-US" w:eastAsia="zh-CN"/>
        </w:rPr>
        <w:t>206.9</w:t>
      </w:r>
      <w:r>
        <w:rPr>
          <w:rFonts w:hint="default" w:ascii="仿宋_GB2312" w:hAnsi="仿宋_GB2312" w:eastAsia="仿宋_GB2312" w:cs="仿宋_GB2312"/>
          <w:b w:val="0"/>
          <w:bCs w:val="0"/>
          <w:sz w:val="32"/>
          <w:szCs w:val="32"/>
          <w:lang w:val="en-US" w:eastAsia="zh-CN"/>
        </w:rPr>
        <w:t>分。</w:t>
      </w:r>
    </w:p>
    <w:p w14:paraId="14F6A5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二、等级客运站发展自评情况</w:t>
      </w:r>
    </w:p>
    <w:p w14:paraId="3C1D196E">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（一）基本情况</w:t>
      </w:r>
    </w:p>
    <w:p w14:paraId="326FF4D8">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2024年度，我市辖区共有1个等级客运站，即石狮服装城汽车站，为二级站。</w:t>
      </w:r>
    </w:p>
    <w:p w14:paraId="2E91610B">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（二）自评估工作开展情况</w:t>
      </w:r>
    </w:p>
    <w:p w14:paraId="38ED20A6">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福建省农村道路客运和城市交通发展奖励涨价补贴资金管理办法》、《泉州市农村道路客运和城市交通发展奖励涨价补贴资金使用管理实施细则》等文件的要求，石狮市交通和港口发展局会同石狮市财政局组织工作人员，对等级客运站发展补贴资金考核评分表列出的自评内容收集了所需的各类资料，并通过泉运集团运务管理系统对车站的实际运营月数进行复核。</w:t>
      </w:r>
    </w:p>
    <w:p w14:paraId="6D5D3B9B">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（三）自评得分情况</w:t>
      </w:r>
    </w:p>
    <w:p w14:paraId="79780FD7">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1、地方出台扶持政策情况系数</w:t>
      </w:r>
      <w:r>
        <w:rPr>
          <w:rFonts w:hint="default" w:ascii="仿宋_GB2312" w:hAnsi="仿宋_GB2312" w:eastAsia="仿宋_GB2312" w:cs="仿宋_GB2312"/>
          <w:b w:val="0"/>
          <w:bCs w:val="0"/>
          <w:sz w:val="32"/>
          <w:szCs w:val="32"/>
          <w:lang w:val="en-US" w:eastAsia="zh-CN"/>
        </w:rPr>
        <w:t>（本项满分</w:t>
      </w:r>
      <w:r>
        <w:rPr>
          <w:rFonts w:hint="eastAsia" w:ascii="仿宋_GB2312" w:hAnsi="仿宋_GB2312" w:eastAsia="仿宋_GB2312" w:cs="仿宋_GB2312"/>
          <w:b w:val="0"/>
          <w:bCs w:val="0"/>
          <w:sz w:val="32"/>
          <w:szCs w:val="32"/>
          <w:lang w:val="en-US" w:eastAsia="zh-CN"/>
        </w:rPr>
        <w:t>10</w:t>
      </w:r>
      <w:r>
        <w:rPr>
          <w:rFonts w:hint="default" w:ascii="仿宋_GB2312" w:hAnsi="仿宋_GB2312" w:eastAsia="仿宋_GB2312" w:cs="仿宋_GB2312"/>
          <w:b w:val="0"/>
          <w:bCs w:val="0"/>
          <w:sz w:val="32"/>
          <w:szCs w:val="32"/>
          <w:lang w:val="en-US" w:eastAsia="zh-CN"/>
        </w:rPr>
        <w:t>分）</w:t>
      </w:r>
    </w:p>
    <w:p w14:paraId="32976090">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w:t>
      </w:r>
      <w:r>
        <w:rPr>
          <w:rFonts w:hint="default"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石狮市政府未出台等级客运站项目各类资金扶持政策、等级客运站土地用途混合使用政策。</w:t>
      </w:r>
    </w:p>
    <w:p w14:paraId="69D118A9">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lang w:val="en-US" w:eastAsia="zh-CN"/>
        </w:rPr>
        <w:t xml:space="preserve"> </w:t>
      </w:r>
    </w:p>
    <w:p w14:paraId="088C778B">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2、新、改建项目建设投资情况系数</w:t>
      </w:r>
      <w:r>
        <w:rPr>
          <w:rFonts w:hint="default" w:ascii="仿宋_GB2312" w:hAnsi="仿宋_GB2312" w:eastAsia="仿宋_GB2312" w:cs="仿宋_GB2312"/>
          <w:b w:val="0"/>
          <w:bCs w:val="0"/>
          <w:sz w:val="32"/>
          <w:szCs w:val="32"/>
          <w:lang w:val="en-US" w:eastAsia="zh-CN"/>
        </w:rPr>
        <w:t>（本项满分</w:t>
      </w:r>
      <w:r>
        <w:rPr>
          <w:rFonts w:hint="eastAsia" w:ascii="仿宋_GB2312" w:hAnsi="仿宋_GB2312" w:eastAsia="仿宋_GB2312" w:cs="仿宋_GB2312"/>
          <w:b w:val="0"/>
          <w:bCs w:val="0"/>
          <w:sz w:val="32"/>
          <w:szCs w:val="32"/>
          <w:lang w:val="en-US" w:eastAsia="zh-CN"/>
        </w:rPr>
        <w:t>40</w:t>
      </w:r>
      <w:r>
        <w:rPr>
          <w:rFonts w:hint="default" w:ascii="仿宋_GB2312" w:hAnsi="仿宋_GB2312" w:eastAsia="仿宋_GB2312" w:cs="仿宋_GB2312"/>
          <w:b w:val="0"/>
          <w:bCs w:val="0"/>
          <w:sz w:val="32"/>
          <w:szCs w:val="32"/>
          <w:lang w:val="en-US" w:eastAsia="zh-CN"/>
        </w:rPr>
        <w:t>分）</w:t>
      </w:r>
    </w:p>
    <w:p w14:paraId="6A388319">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w:t>
      </w:r>
      <w:r>
        <w:rPr>
          <w:rFonts w:hint="default"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我市无新、改建等级客运站。</w:t>
      </w:r>
    </w:p>
    <w:p w14:paraId="77B7987B">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0</w:t>
      </w:r>
    </w:p>
    <w:p w14:paraId="65BF5A9F">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3、已投入使用项目运营管理情况系数</w:t>
      </w:r>
      <w:r>
        <w:rPr>
          <w:rFonts w:hint="default" w:ascii="仿宋_GB2312" w:hAnsi="仿宋_GB2312" w:eastAsia="仿宋_GB2312" w:cs="仿宋_GB2312"/>
          <w:b w:val="0"/>
          <w:bCs w:val="0"/>
          <w:sz w:val="32"/>
          <w:szCs w:val="32"/>
          <w:lang w:val="en-US" w:eastAsia="zh-CN"/>
        </w:rPr>
        <w:t>（本项满分</w:t>
      </w:r>
      <w:r>
        <w:rPr>
          <w:rFonts w:hint="eastAsia" w:ascii="仿宋_GB2312" w:hAnsi="仿宋_GB2312" w:eastAsia="仿宋_GB2312" w:cs="仿宋_GB2312"/>
          <w:b w:val="0"/>
          <w:bCs w:val="0"/>
          <w:sz w:val="32"/>
          <w:szCs w:val="32"/>
          <w:lang w:val="en-US" w:eastAsia="zh-CN"/>
        </w:rPr>
        <w:t>50</w:t>
      </w:r>
      <w:r>
        <w:rPr>
          <w:rFonts w:hint="default" w:ascii="仿宋_GB2312" w:hAnsi="仿宋_GB2312" w:eastAsia="仿宋_GB2312" w:cs="仿宋_GB2312"/>
          <w:b w:val="0"/>
          <w:bCs w:val="0"/>
          <w:sz w:val="32"/>
          <w:szCs w:val="32"/>
          <w:lang w:val="en-US" w:eastAsia="zh-CN"/>
        </w:rPr>
        <w:t>分）</w:t>
      </w:r>
    </w:p>
    <w:p w14:paraId="02B30A87">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w:t>
      </w:r>
      <w:r>
        <w:rPr>
          <w:rFonts w:hint="default"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，我市已在运政系统内（相关信息完整准确），且正常运营的二级客运站1个，为石狮服装城汽车站。</w:t>
      </w:r>
    </w:p>
    <w:p w14:paraId="218361ED">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2024年度及往年度，石狮服装城汽车站未出现未完成省级交通部门重点工作任务的情况。</w:t>
      </w:r>
    </w:p>
    <w:p w14:paraId="45739746">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2024年度内，石狮服装城汽车站未发生同等及以上安全生产责任事故。</w:t>
      </w:r>
    </w:p>
    <w:p w14:paraId="08F264CB">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5</w:t>
      </w:r>
    </w:p>
    <w:p w14:paraId="347C02C7">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综上，</w:t>
      </w:r>
      <w:r>
        <w:rPr>
          <w:rFonts w:hint="eastAsia" w:ascii="仿宋_GB2312" w:hAnsi="仿宋_GB2312" w:eastAsia="仿宋_GB2312" w:cs="仿宋_GB2312"/>
          <w:b w:val="0"/>
          <w:bCs w:val="0"/>
          <w:sz w:val="32"/>
          <w:szCs w:val="32"/>
          <w:lang w:val="en-US" w:eastAsia="zh-CN"/>
        </w:rPr>
        <w:t>石狮市</w:t>
      </w:r>
      <w:r>
        <w:rPr>
          <w:rFonts w:hint="default" w:ascii="仿宋_GB2312" w:hAnsi="仿宋_GB2312" w:eastAsia="仿宋_GB2312" w:cs="仿宋_GB2312"/>
          <w:b w:val="0"/>
          <w:bCs w:val="0"/>
          <w:sz w:val="32"/>
          <w:szCs w:val="32"/>
          <w:lang w:val="en-US" w:eastAsia="zh-CN"/>
        </w:rPr>
        <w:t>202</w:t>
      </w: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等级客运站</w:t>
      </w:r>
      <w:r>
        <w:rPr>
          <w:rFonts w:hint="default" w:ascii="仿宋_GB2312" w:hAnsi="仿宋_GB2312" w:eastAsia="仿宋_GB2312" w:cs="仿宋_GB2312"/>
          <w:b w:val="0"/>
          <w:bCs w:val="0"/>
          <w:sz w:val="32"/>
          <w:szCs w:val="32"/>
          <w:lang w:val="en-US" w:eastAsia="zh-CN"/>
        </w:rPr>
        <w:t>发展自评总分</w:t>
      </w: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分。</w:t>
      </w:r>
    </w:p>
    <w:p w14:paraId="11F22C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三、城市新能源公交车运营自评情况</w:t>
      </w:r>
    </w:p>
    <w:p w14:paraId="7A454E58">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（一）基本情况</w:t>
      </w:r>
    </w:p>
    <w:p w14:paraId="24B7F5F3">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截止2024年度12月31日，</w:t>
      </w:r>
      <w:r>
        <w:rPr>
          <w:rFonts w:hint="eastAsia" w:ascii="仿宋_GB2312" w:hAnsi="仿宋_GB2312" w:eastAsia="仿宋_GB2312" w:cs="仿宋_GB2312"/>
          <w:b w:val="0"/>
          <w:bCs w:val="0"/>
          <w:color w:val="auto"/>
          <w:sz w:val="32"/>
          <w:szCs w:val="32"/>
          <w:lang w:val="en-US" w:eastAsia="zh-CN"/>
        </w:rPr>
        <w:t>我市共有公共交通运输企业1家，在营运输车辆204辆，其中社区巴士18辆，新能源纯电车186辆。符合运营补贴条件的车辆数为186辆。</w:t>
      </w:r>
    </w:p>
    <w:p w14:paraId="2E5BB0A2">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（二）自评估工作开展情况</w:t>
      </w:r>
    </w:p>
    <w:p w14:paraId="126DB901">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根据《福建省财政厅福建省交通运输厅关于印发＜福建省农村道路客运和城市交通发展奖励涨价补贴资金管理办法＞的通知》（闽财规〔</w:t>
      </w:r>
      <w:r>
        <w:rPr>
          <w:rFonts w:hint="default"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〕8号）和《泉州市交通运输局 泉州市财政局关于印发＜泉州市农村道路客运和城市交通发展奖励涨价补贴资金使用管理实施细则＞的通知》（泉交规〔</w:t>
      </w:r>
      <w:r>
        <w:rPr>
          <w:rFonts w:hint="default"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7号）的文件精神，石狮市交通和港口发展局联合石狮市财政局结合本市公交行业管理工作实际情况进行了自评，并将自评表所列指标项相关佐证材料按照泉州统一要求进行收集、整理、审核，确保佐证材料的真实性。</w:t>
      </w:r>
    </w:p>
    <w:p w14:paraId="33BC7680">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（三）自评得分情况</w:t>
      </w:r>
    </w:p>
    <w:p w14:paraId="24BBF8A4">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1、出台城市公交成本规制财政补贴政策（本项满分50分）</w:t>
      </w:r>
    </w:p>
    <w:p w14:paraId="0816930F">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本市未出台城市公交成本规制财政补贴政策</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本项不得分。</w:t>
      </w:r>
    </w:p>
    <w:p w14:paraId="7C83619A">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0分</w:t>
      </w:r>
      <w:r>
        <w:rPr>
          <w:rFonts w:hint="default" w:ascii="仿宋_GB2312" w:hAnsi="仿宋_GB2312" w:eastAsia="仿宋_GB2312" w:cs="仿宋_GB2312"/>
          <w:b w:val="0"/>
          <w:bCs w:val="0"/>
          <w:sz w:val="32"/>
          <w:szCs w:val="32"/>
          <w:lang w:val="en-US" w:eastAsia="zh-CN"/>
        </w:rPr>
        <w:t xml:space="preserve"> </w:t>
      </w:r>
    </w:p>
    <w:p w14:paraId="3AA4C722">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2、开展城市公交成本评估测算（本项满分50分）</w:t>
      </w:r>
    </w:p>
    <w:p w14:paraId="1BEDDFBC">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本市2024</w:t>
      </w:r>
      <w:r>
        <w:rPr>
          <w:rFonts w:hint="default"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未</w:t>
      </w:r>
      <w:r>
        <w:rPr>
          <w:rFonts w:hint="default" w:ascii="仿宋_GB2312" w:hAnsi="仿宋_GB2312" w:eastAsia="仿宋_GB2312" w:cs="仿宋_GB2312"/>
          <w:b w:val="0"/>
          <w:bCs w:val="0"/>
          <w:sz w:val="32"/>
          <w:szCs w:val="32"/>
          <w:lang w:val="en-US" w:eastAsia="zh-CN"/>
        </w:rPr>
        <w:t>开展城市公交成本评估测算</w:t>
      </w:r>
      <w:r>
        <w:rPr>
          <w:rFonts w:hint="eastAsia" w:ascii="仿宋_GB2312" w:hAnsi="仿宋_GB2312" w:eastAsia="仿宋_GB2312" w:cs="仿宋_GB2312"/>
          <w:b w:val="0"/>
          <w:bCs w:val="0"/>
          <w:sz w:val="32"/>
          <w:szCs w:val="32"/>
          <w:lang w:val="en-US" w:eastAsia="zh-CN"/>
        </w:rPr>
        <w:t>。本项不得分。</w:t>
      </w:r>
    </w:p>
    <w:p w14:paraId="54F9640D">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0分</w:t>
      </w:r>
    </w:p>
    <w:p w14:paraId="6AA21D5A">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上年度城市公交成本规制财政补贴兑现率（本项满分20</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lang w:val="en-US" w:eastAsia="zh-CN"/>
        </w:rPr>
        <w:t>分）</w:t>
      </w:r>
    </w:p>
    <w:p w14:paraId="785E9FFD">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本市未出台城市公交成本规制财政补贴政策</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本项不得分。</w:t>
      </w:r>
    </w:p>
    <w:p w14:paraId="798D611C">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本项自评得分：0</w:t>
      </w:r>
      <w:r>
        <w:rPr>
          <w:rFonts w:hint="eastAsia" w:ascii="仿宋_GB2312" w:hAnsi="仿宋_GB2312" w:eastAsia="仿宋_GB2312" w:cs="仿宋_GB2312"/>
          <w:b w:val="0"/>
          <w:bCs w:val="0"/>
          <w:sz w:val="32"/>
          <w:szCs w:val="32"/>
          <w:lang w:val="en-US" w:eastAsia="zh-CN"/>
        </w:rPr>
        <w:t>分</w:t>
      </w:r>
    </w:p>
    <w:p w14:paraId="0E39284D">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新能源公交车推广运用情况（本项满分</w:t>
      </w: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lang w:val="en-US" w:eastAsia="zh-CN"/>
        </w:rPr>
        <w:t>分）</w:t>
      </w:r>
    </w:p>
    <w:p w14:paraId="5313DA46">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本市2024年度在营公交车辆数204辆，其中</w:t>
      </w:r>
      <w:r>
        <w:rPr>
          <w:rFonts w:hint="eastAsia" w:ascii="仿宋_GB2312" w:hAnsi="仿宋_GB2312" w:eastAsia="仿宋_GB2312" w:cs="仿宋_GB2312"/>
          <w:b w:val="0"/>
          <w:bCs w:val="0"/>
          <w:color w:val="auto"/>
          <w:sz w:val="32"/>
          <w:szCs w:val="32"/>
          <w:lang w:val="en-US" w:eastAsia="zh-CN"/>
        </w:rPr>
        <w:t>社区巴士18辆</w:t>
      </w:r>
      <w:r>
        <w:rPr>
          <w:rFonts w:hint="eastAsia" w:ascii="仿宋_GB2312" w:hAnsi="仿宋_GB2312" w:eastAsia="仿宋_GB2312" w:cs="仿宋_GB2312"/>
          <w:b w:val="0"/>
          <w:bCs w:val="0"/>
          <w:sz w:val="32"/>
          <w:szCs w:val="32"/>
          <w:lang w:val="en-US" w:eastAsia="zh-CN"/>
        </w:rPr>
        <w:t>，新能源公交车186辆。按照新能源汽车比例达到90%的，得90分，每提高1%的，加1分自评标准，本市新能源车比例为100%。</w:t>
      </w:r>
    </w:p>
    <w:p w14:paraId="58064728">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100分</w:t>
      </w:r>
    </w:p>
    <w:p w14:paraId="28E0EEFD">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国家示范工程创建城市情况（本项满分50分）</w:t>
      </w:r>
    </w:p>
    <w:p w14:paraId="221EA01F">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本市未</w:t>
      </w:r>
      <w:r>
        <w:rPr>
          <w:rFonts w:hint="default" w:ascii="仿宋_GB2312" w:hAnsi="仿宋_GB2312" w:eastAsia="仿宋_GB2312" w:cs="仿宋_GB2312"/>
          <w:b w:val="0"/>
          <w:bCs w:val="0"/>
          <w:sz w:val="32"/>
          <w:szCs w:val="32"/>
          <w:lang w:val="en-US" w:eastAsia="zh-CN"/>
        </w:rPr>
        <w:t>开展国家公交都市建设示范城市或绿色出行城市创建工作</w:t>
      </w:r>
      <w:r>
        <w:rPr>
          <w:rFonts w:hint="eastAsia" w:ascii="仿宋_GB2312" w:hAnsi="仿宋_GB2312" w:eastAsia="仿宋_GB2312" w:cs="仿宋_GB2312"/>
          <w:b w:val="0"/>
          <w:bCs w:val="0"/>
          <w:sz w:val="32"/>
          <w:szCs w:val="32"/>
          <w:lang w:val="en-US" w:eastAsia="zh-CN"/>
        </w:rPr>
        <w:t>，本项不得分。</w:t>
      </w:r>
    </w:p>
    <w:p w14:paraId="4BB48033">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0分</w:t>
      </w:r>
    </w:p>
    <w:p w14:paraId="06B161CB">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val="en-US" w:eastAsia="zh-CN"/>
        </w:rPr>
        <w:t>新能源公交车数量情况（每标台得0.1分</w:t>
      </w:r>
      <w:r>
        <w:rPr>
          <w:rFonts w:hint="eastAsia" w:ascii="仿宋_GB2312" w:hAnsi="仿宋_GB2312" w:eastAsia="仿宋_GB2312" w:cs="仿宋_GB2312"/>
          <w:b w:val="0"/>
          <w:bCs w:val="0"/>
          <w:sz w:val="32"/>
          <w:szCs w:val="32"/>
          <w:lang w:val="en-US" w:eastAsia="zh-CN"/>
        </w:rPr>
        <w:t>，按实际车辆数计分</w:t>
      </w:r>
      <w:r>
        <w:rPr>
          <w:rFonts w:hint="default" w:ascii="仿宋_GB2312" w:hAnsi="仿宋_GB2312" w:eastAsia="仿宋_GB2312" w:cs="仿宋_GB2312"/>
          <w:b w:val="0"/>
          <w:bCs w:val="0"/>
          <w:sz w:val="32"/>
          <w:szCs w:val="32"/>
          <w:lang w:val="en-US" w:eastAsia="zh-CN"/>
        </w:rPr>
        <w:t>）</w:t>
      </w:r>
    </w:p>
    <w:p w14:paraId="2DCB3272">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本市2024年度在营公交车数204辆，符合补贴条件的新能源纯电公交车186辆</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其中车长6.64米的42辆×0.7标台、车长8.04米的55辆×1标台、车长8.05米</w:t>
      </w:r>
      <w:bookmarkStart w:id="0" w:name="_GoBack"/>
      <w:bookmarkEnd w:id="0"/>
      <w:r>
        <w:rPr>
          <w:rFonts w:hint="eastAsia" w:ascii="仿宋_GB2312" w:hAnsi="仿宋_GB2312" w:eastAsia="仿宋_GB2312" w:cs="仿宋_GB2312"/>
          <w:b w:val="0"/>
          <w:bCs w:val="0"/>
          <w:sz w:val="32"/>
          <w:szCs w:val="32"/>
          <w:lang w:val="en-US" w:eastAsia="zh-CN"/>
        </w:rPr>
        <w:t>的34辆×1标台、车长8.19米的55辆×1标台，合计共173.4标台。</w:t>
      </w:r>
    </w:p>
    <w:p w14:paraId="0B896790">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本项自评得分：</w:t>
      </w:r>
      <w:r>
        <w:rPr>
          <w:rFonts w:hint="eastAsia" w:ascii="仿宋_GB2312" w:hAnsi="仿宋_GB2312" w:eastAsia="仿宋_GB2312" w:cs="仿宋_GB2312"/>
          <w:b w:val="0"/>
          <w:bCs w:val="0"/>
          <w:sz w:val="32"/>
          <w:szCs w:val="32"/>
          <w:lang w:val="en-US" w:eastAsia="zh-CN"/>
        </w:rPr>
        <w:t>17.34分</w:t>
      </w:r>
    </w:p>
    <w:p w14:paraId="021A0F0E">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综上，石狮市2024年度城市新能源公交车运营补贴资金考核</w:t>
      </w:r>
      <w:r>
        <w:rPr>
          <w:rFonts w:hint="eastAsia" w:ascii="仿宋_GB2312" w:hAnsi="仿宋_GB2312" w:eastAsia="仿宋_GB2312" w:cs="仿宋_GB2312"/>
          <w:b w:val="0"/>
          <w:bCs w:val="0"/>
          <w:color w:val="auto"/>
          <w:sz w:val="32"/>
          <w:szCs w:val="32"/>
          <w:lang w:val="en-US" w:eastAsia="zh-CN"/>
        </w:rPr>
        <w:t>自评总分117.34分。</w:t>
      </w:r>
    </w:p>
    <w:p w14:paraId="501351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四、出租车电动化自评情况</w:t>
      </w:r>
    </w:p>
    <w:p w14:paraId="2207A379">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（一）基本情况</w:t>
      </w:r>
    </w:p>
    <w:p w14:paraId="5E4D14C7">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截止2024年度12月31日，我市共有巡游出租车企业1家，</w:t>
      </w:r>
      <w:r>
        <w:rPr>
          <w:rFonts w:hint="eastAsia" w:ascii="仿宋_GB2312" w:hAnsi="仿宋_GB2312" w:eastAsia="仿宋_GB2312" w:cs="仿宋_GB2312"/>
          <w:b w:val="0"/>
          <w:bCs w:val="0"/>
          <w:color w:val="auto"/>
          <w:sz w:val="32"/>
          <w:szCs w:val="32"/>
          <w:lang w:val="en-US" w:eastAsia="zh-CN"/>
        </w:rPr>
        <w:t>在册车辆192辆，本年度更新新能源纯电车7辆。</w:t>
      </w:r>
    </w:p>
    <w:p w14:paraId="4308DA25">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（二）自评估工作开展情况</w:t>
      </w:r>
    </w:p>
    <w:p w14:paraId="3FAEC817">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根据《福建省财政厅福建省交通运输厅关于印发＜福建省农村道路客运和城市交通发展奖励涨价补贴资金管理办法＞的通知》（闽财规〔</w:t>
      </w:r>
      <w:r>
        <w:rPr>
          <w:rFonts w:hint="default"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〕8号）和《泉州市交通运输局 泉州市财政局关于印发＜泉州市农村道路客运和城市交通发展奖励涨价补贴资金使用管理实施细则＞的通知》（泉交规〔</w:t>
      </w:r>
      <w:r>
        <w:rPr>
          <w:rFonts w:hint="default"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7号）的文件精神，石狮市交通和港口发展局联合石狮市财政局结合本市出租行业管理工作实际情况进行了自评，并将自评表所列指标项相关佐证材料按照泉州统一要求进行收集、整理、审核，确保佐证材料的真实性。</w:t>
      </w:r>
    </w:p>
    <w:p w14:paraId="6C342AB3">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（三）自评得分情况</w:t>
      </w:r>
    </w:p>
    <w:p w14:paraId="475A591E">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1、地方财政扶持政策情况（100分）</w:t>
      </w:r>
    </w:p>
    <w:p w14:paraId="42510A9B">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本市未出台并落实新能源巡游出租汽车运营补助扶持政策的，不得分。</w:t>
      </w:r>
    </w:p>
    <w:p w14:paraId="6B385FF4">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此项得分：0分</w:t>
      </w:r>
    </w:p>
    <w:p w14:paraId="3DEC2D36">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2、巡游出租车数量情况（根据实际车辆数得分）</w:t>
      </w:r>
    </w:p>
    <w:p w14:paraId="17E84C9F">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根据福建省交通运输统计信息管理系统年报数据，截止2024年12月31日，</w:t>
      </w:r>
      <w:r>
        <w:rPr>
          <w:rFonts w:hint="eastAsia" w:ascii="仿宋_GB2312" w:hAnsi="仿宋_GB2312" w:eastAsia="仿宋_GB2312" w:cs="仿宋_GB2312"/>
          <w:b w:val="0"/>
          <w:bCs w:val="0"/>
          <w:color w:val="auto"/>
          <w:sz w:val="32"/>
          <w:szCs w:val="32"/>
          <w:lang w:val="en-US" w:eastAsia="zh-CN"/>
        </w:rPr>
        <w:t>在册巡游出租车车辆总数192辆。每辆车得分按0.1计算。</w:t>
      </w:r>
    </w:p>
    <w:p w14:paraId="7DA019BA">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此项得分：19.2分</w:t>
      </w:r>
    </w:p>
    <w:p w14:paraId="5F6CE23F">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3、新能源巡游出租汽车推广应用情况（200分）</w:t>
      </w:r>
    </w:p>
    <w:p w14:paraId="4153FB3C">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2024年度内本市更新巡游出租车7辆，均为新能源纯电车，占更新车辆比100%。按照新增或更新车辆中新能源汽车比例不低于80%的，得200分。</w:t>
      </w:r>
    </w:p>
    <w:p w14:paraId="3AE4C394">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此项得分：200分</w:t>
      </w:r>
    </w:p>
    <w:p w14:paraId="014BF72C">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4、深化出租汽车行业改革组织领导情况（100分）</w:t>
      </w:r>
    </w:p>
    <w:p w14:paraId="53ADAB6C">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本市未建立深化出租汽车行业改革或交通运输新业态协同监管的多部门联合工作机制，不得分。</w:t>
      </w:r>
    </w:p>
    <w:p w14:paraId="4F59FC5C">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此项得分：0分</w:t>
      </w:r>
    </w:p>
    <w:p w14:paraId="2571C703">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5、巡游出租车运价动态调整机制情况（100分）</w:t>
      </w:r>
    </w:p>
    <w:p w14:paraId="53D4DD71">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本市自2018年1月30日开始执行由地市制定的《泉州市物价局 泉州市交通运输委员会关于泉州市巡游出租车运价有关问题的通知》（泉价〔</w:t>
      </w:r>
      <w:r>
        <w:rPr>
          <w:rFonts w:hint="default"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val="en-US" w:eastAsia="zh-CN"/>
        </w:rPr>
        <w:t>18〕13号）的相关规定，实施巡游出租汽车运价政府指导价或动态调整机制。</w:t>
      </w:r>
    </w:p>
    <w:p w14:paraId="13BEA138">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此项得分：100分</w:t>
      </w:r>
    </w:p>
    <w:p w14:paraId="2B91E2AB">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6、出租车行业文明创建情况（100分）</w:t>
      </w:r>
    </w:p>
    <w:p w14:paraId="51988421">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本市未展出租汽车行业文明创建活动或优秀典型推选宣传活动并建立和落实奖励机制，不得分。</w:t>
      </w:r>
    </w:p>
    <w:p w14:paraId="117B7FF9">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此项得分：0分</w:t>
      </w:r>
    </w:p>
    <w:p w14:paraId="7473DCDB">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7、95128约车服务电话推广应用情况（100分）</w:t>
      </w:r>
    </w:p>
    <w:p w14:paraId="5ECDACC1">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出租企业积极参加“交通运输部95128全国统一出租汽车电召服务-泉州启动仪式”，并采用在车辆外观张贴热线号码、在车内展示电召二维码等形式推广95128约车服务，便利老年人打车出行。企业同时如实记录包括接单车号、时间、驾驶员名称等信息的工作台账。</w:t>
      </w:r>
    </w:p>
    <w:p w14:paraId="74733335">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此项得分：100分</w:t>
      </w:r>
    </w:p>
    <w:p w14:paraId="6CE1B078">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8、出租车行业监管能力建设情况（100分）</w:t>
      </w:r>
    </w:p>
    <w:p w14:paraId="1FC9E782">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本市交通主管部门通过泉州市道路运输管理系统、道路运输车辆卫星定位公共服平台、安全标准化建设平台等信息化手段归集出租汽车行业运营数据，并开展监管或执法。</w:t>
      </w:r>
    </w:p>
    <w:p w14:paraId="78445078">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此项得分：100分</w:t>
      </w:r>
    </w:p>
    <w:p w14:paraId="75AE1127">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9、出租车行业信用监管情况（100分）</w:t>
      </w:r>
    </w:p>
    <w:p w14:paraId="3E7CACF0">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本市出租企业已纳入本地信用体系实施监管，并在“信用泉州”可查询其相关的公示信息。</w:t>
      </w:r>
    </w:p>
    <w:p w14:paraId="79BEDAB7">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此项得分：100分</w:t>
      </w:r>
    </w:p>
    <w:p w14:paraId="4B255436">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10、出租车行业稳定情况（100分）</w:t>
      </w:r>
    </w:p>
    <w:p w14:paraId="03409C89">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本市2024年出租汽车行业相对稳定，未出现大规模的停运罢运和极端冲突事件、大规模司机聚集上访事件、进京上访事件、网上大规模传谣信谣的恶性事件等不稳定现象。</w:t>
      </w:r>
    </w:p>
    <w:p w14:paraId="21894E30">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此项得分：100分</w:t>
      </w:r>
    </w:p>
    <w:p w14:paraId="7B81543F">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综上，</w:t>
      </w:r>
      <w:r>
        <w:rPr>
          <w:rFonts w:hint="eastAsia" w:ascii="仿宋_GB2312" w:hAnsi="仿宋_GB2312" w:eastAsia="仿宋_GB2312" w:cs="仿宋_GB2312"/>
          <w:b w:val="0"/>
          <w:bCs w:val="0"/>
          <w:sz w:val="32"/>
          <w:szCs w:val="32"/>
          <w:lang w:val="en-US" w:eastAsia="zh-CN"/>
        </w:rPr>
        <w:t>石狮市</w:t>
      </w:r>
      <w:r>
        <w:rPr>
          <w:rFonts w:hint="default" w:ascii="仿宋_GB2312" w:hAnsi="仿宋_GB2312" w:eastAsia="仿宋_GB2312" w:cs="仿宋_GB2312"/>
          <w:b w:val="0"/>
          <w:bCs w:val="0"/>
          <w:sz w:val="32"/>
          <w:szCs w:val="32"/>
          <w:lang w:val="en-US" w:eastAsia="zh-CN"/>
        </w:rPr>
        <w:t>202</w:t>
      </w: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val="en-US" w:eastAsia="zh-CN"/>
        </w:rPr>
        <w:t>城市交通发展奖励出租车电动化补贴资金考核</w:t>
      </w:r>
      <w:r>
        <w:rPr>
          <w:rFonts w:hint="default" w:ascii="仿宋_GB2312" w:hAnsi="仿宋_GB2312" w:eastAsia="仿宋_GB2312" w:cs="仿宋_GB2312"/>
          <w:b w:val="0"/>
          <w:bCs w:val="0"/>
          <w:color w:val="auto"/>
          <w:sz w:val="32"/>
          <w:szCs w:val="32"/>
          <w:lang w:val="en-US" w:eastAsia="zh-CN"/>
        </w:rPr>
        <w:t>自评总分</w:t>
      </w:r>
      <w:r>
        <w:rPr>
          <w:rFonts w:hint="eastAsia" w:ascii="仿宋_GB2312" w:hAnsi="仿宋_GB2312" w:eastAsia="仿宋_GB2312" w:cs="仿宋_GB2312"/>
          <w:b w:val="0"/>
          <w:bCs w:val="0"/>
          <w:color w:val="auto"/>
          <w:sz w:val="32"/>
          <w:szCs w:val="32"/>
          <w:lang w:val="en-US" w:eastAsia="zh-CN"/>
        </w:rPr>
        <w:t>719.2</w:t>
      </w:r>
      <w:r>
        <w:rPr>
          <w:rFonts w:hint="default" w:ascii="仿宋_GB2312" w:hAnsi="仿宋_GB2312" w:eastAsia="仿宋_GB2312" w:cs="仿宋_GB2312"/>
          <w:b w:val="0"/>
          <w:bCs w:val="0"/>
          <w:color w:val="auto"/>
          <w:sz w:val="32"/>
          <w:szCs w:val="32"/>
          <w:lang w:val="en-US" w:eastAsia="zh-CN"/>
        </w:rPr>
        <w:t>分</w:t>
      </w:r>
      <w:r>
        <w:rPr>
          <w:rFonts w:hint="eastAsia" w:ascii="仿宋_GB2312" w:hAnsi="仿宋_GB2312" w:eastAsia="仿宋_GB2312" w:cs="仿宋_GB2312"/>
          <w:b w:val="0"/>
          <w:bCs w:val="0"/>
          <w:sz w:val="32"/>
          <w:szCs w:val="32"/>
          <w:lang w:val="en-US" w:eastAsia="zh-CN"/>
        </w:rPr>
        <w:t>。</w:t>
      </w:r>
    </w:p>
    <w:p w14:paraId="23EF580D">
      <w:pPr>
        <w:pStyle w:val="5"/>
        <w:keepNext w:val="0"/>
        <w:keepLines w:val="0"/>
        <w:pageBreakBefore w:val="0"/>
        <w:widowControl w:val="0"/>
        <w:kinsoku/>
        <w:wordWrap/>
        <w:overflowPunct/>
        <w:topLinePunct w:val="0"/>
        <w:autoSpaceDE/>
        <w:autoSpaceDN/>
        <w:bidi w:val="0"/>
        <w:adjustRightInd/>
        <w:snapToGrid/>
        <w:spacing w:line="520" w:lineRule="exact"/>
        <w:ind w:left="1918" w:leftChars="304" w:hanging="1280" w:hangingChars="400"/>
        <w:textAlignment w:val="auto"/>
        <w:rPr>
          <w:rFonts w:hint="eastAsia" w:ascii="仿宋_GB2312" w:hAnsi="仿宋_GB2312" w:eastAsia="仿宋_GB2312" w:cs="仿宋_GB2312"/>
          <w:b w:val="0"/>
          <w:bCs w:val="0"/>
          <w:sz w:val="32"/>
          <w:szCs w:val="32"/>
          <w:lang w:val="en-US" w:eastAsia="zh-CN"/>
        </w:rPr>
      </w:pPr>
    </w:p>
    <w:p w14:paraId="75F4A971">
      <w:pPr>
        <w:pStyle w:val="5"/>
        <w:keepNext w:val="0"/>
        <w:keepLines w:val="0"/>
        <w:pageBreakBefore w:val="0"/>
        <w:widowControl w:val="0"/>
        <w:kinsoku/>
        <w:wordWrap/>
        <w:overflowPunct/>
        <w:topLinePunct w:val="0"/>
        <w:autoSpaceDE/>
        <w:autoSpaceDN/>
        <w:bidi w:val="0"/>
        <w:adjustRightInd/>
        <w:snapToGrid/>
        <w:spacing w:line="520" w:lineRule="exact"/>
        <w:ind w:left="1918" w:leftChars="304" w:hanging="1280" w:hangingChars="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r>
        <w:rPr>
          <w:rFonts w:hint="eastAsia" w:ascii="仿宋_GB2312" w:hAnsi="仿宋_GB2312" w:eastAsia="仿宋_GB2312" w:cs="仿宋_GB2312"/>
          <w:b w:val="0"/>
          <w:bCs w:val="0"/>
          <w:spacing w:val="-6"/>
          <w:sz w:val="32"/>
          <w:szCs w:val="32"/>
          <w:lang w:val="en-US" w:eastAsia="zh-CN"/>
        </w:rPr>
        <w:t>2024年度农村客运发展奖励涨价补贴资金考核评分表</w:t>
      </w:r>
    </w:p>
    <w:p w14:paraId="2AA4F2F4">
      <w:pPr>
        <w:pStyle w:val="5"/>
        <w:keepNext w:val="0"/>
        <w:keepLines w:val="0"/>
        <w:pageBreakBefore w:val="0"/>
        <w:widowControl w:val="0"/>
        <w:kinsoku/>
        <w:wordWrap/>
        <w:overflowPunct/>
        <w:topLinePunct w:val="0"/>
        <w:autoSpaceDE/>
        <w:autoSpaceDN/>
        <w:bidi w:val="0"/>
        <w:adjustRightInd/>
        <w:snapToGrid/>
        <w:spacing w:line="520" w:lineRule="exact"/>
        <w:ind w:left="1916" w:leftChars="760" w:hanging="320" w:hanging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2.2024</w:t>
      </w:r>
      <w:r>
        <w:rPr>
          <w:rFonts w:hint="default" w:ascii="Times New Roman" w:hAnsi="Times New Roman" w:eastAsia="仿宋_GB2312" w:cs="Times New Roman"/>
          <w:sz w:val="32"/>
          <w:szCs w:val="32"/>
        </w:rPr>
        <w:t>年度等级客运站发展补贴资金考核评分表</w:t>
      </w:r>
    </w:p>
    <w:p w14:paraId="014051F6">
      <w:pPr>
        <w:pStyle w:val="5"/>
        <w:keepNext w:val="0"/>
        <w:keepLines w:val="0"/>
        <w:pageBreakBefore w:val="0"/>
        <w:widowControl w:val="0"/>
        <w:kinsoku/>
        <w:wordWrap/>
        <w:overflowPunct/>
        <w:topLinePunct w:val="0"/>
        <w:autoSpaceDE/>
        <w:autoSpaceDN/>
        <w:bidi w:val="0"/>
        <w:adjustRightInd/>
        <w:snapToGrid/>
        <w:spacing w:line="520" w:lineRule="exact"/>
        <w:ind w:left="1916" w:leftChars="760" w:hanging="320" w:hangingChars="100"/>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pacing w:val="-6"/>
          <w:sz w:val="32"/>
          <w:szCs w:val="32"/>
          <w:lang w:val="en-US" w:eastAsia="zh-CN"/>
        </w:rPr>
        <w:t>2024</w:t>
      </w:r>
      <w:r>
        <w:rPr>
          <w:rFonts w:hint="default" w:ascii="仿宋_GB2312" w:hAnsi="仿宋_GB2312" w:eastAsia="仿宋_GB2312" w:cs="仿宋_GB2312"/>
          <w:b w:val="0"/>
          <w:bCs w:val="0"/>
          <w:spacing w:val="-6"/>
          <w:sz w:val="32"/>
          <w:szCs w:val="32"/>
          <w:lang w:val="en-US" w:eastAsia="zh-CN"/>
        </w:rPr>
        <w:t>年度城市新能源公交车运营补贴资金考核评分表</w:t>
      </w:r>
    </w:p>
    <w:p w14:paraId="42703F4D">
      <w:pPr>
        <w:pStyle w:val="5"/>
        <w:keepNext w:val="0"/>
        <w:keepLines w:val="0"/>
        <w:pageBreakBefore w:val="0"/>
        <w:widowControl w:val="0"/>
        <w:kinsoku/>
        <w:wordWrap/>
        <w:overflowPunct/>
        <w:topLinePunct w:val="0"/>
        <w:autoSpaceDE/>
        <w:autoSpaceDN/>
        <w:bidi w:val="0"/>
        <w:adjustRightInd/>
        <w:snapToGrid/>
        <w:spacing w:line="520" w:lineRule="exact"/>
        <w:ind w:left="1916" w:leftChars="760" w:hanging="320" w:hangingChars="1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val="0"/>
          <w:bCs w:val="0"/>
          <w:sz w:val="32"/>
          <w:szCs w:val="32"/>
          <w:lang w:val="en-US" w:eastAsia="zh-CN"/>
        </w:rPr>
        <w:t>4.2024</w:t>
      </w:r>
      <w:r>
        <w:rPr>
          <w:rFonts w:hint="default" w:ascii="Times New Roman" w:hAnsi="Times New Roman" w:eastAsia="仿宋_GB2312" w:cs="Times New Roman"/>
          <w:sz w:val="32"/>
          <w:szCs w:val="32"/>
        </w:rPr>
        <w:t>年度城市交通发展奖励出租车电动化补贴资金考核评分表</w:t>
      </w:r>
    </w:p>
    <w:p w14:paraId="03E1B612">
      <w:pPr>
        <w:rPr>
          <w:rFonts w:hint="eastAsia" w:eastAsia="仿宋_GB2312"/>
          <w:lang w:val="en-US" w:eastAsia="zh-CN"/>
        </w:rPr>
      </w:pPr>
    </w:p>
    <w:p w14:paraId="6DB4BD4A">
      <w:pPr>
        <w:pStyle w:val="5"/>
        <w:rPr>
          <w:rFonts w:hint="eastAsia"/>
          <w:lang w:val="en-US" w:eastAsia="zh-CN"/>
        </w:rPr>
      </w:pPr>
    </w:p>
    <w:p w14:paraId="0E262CCB">
      <w:pPr>
        <w:numPr>
          <w:ilvl w:val="0"/>
          <w:numId w:val="0"/>
        </w:numPr>
        <w:ind w:firstLine="4480" w:firstLineChars="14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石狮市交通和港口发展局</w:t>
      </w:r>
    </w:p>
    <w:p w14:paraId="7F113D2F">
      <w:pPr>
        <w:pStyle w:val="5"/>
        <w:ind w:left="0" w:leftChars="0" w:firstLine="0" w:firstLineChars="0"/>
        <w:rPr>
          <w:rFonts w:hint="default"/>
          <w:lang w:val="en-US" w:eastAsia="zh-CN"/>
        </w:rPr>
      </w:pPr>
      <w:r>
        <w:rPr>
          <w:rFonts w:hint="eastAsia" w:ascii="仿宋_GB2312" w:hAnsi="仿宋_GB2312" w:eastAsia="仿宋_GB2312" w:cs="仿宋_GB2312"/>
          <w:b w:val="0"/>
          <w:bCs w:val="0"/>
          <w:sz w:val="32"/>
          <w:szCs w:val="32"/>
          <w:lang w:val="en-US" w:eastAsia="zh-CN"/>
        </w:rPr>
        <w:t xml:space="preserve">                                2025年1月7日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B749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C82EA">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EC82EA">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WUwYzg0OWZlNWIyOWEyNjE1Y2M1NDhhZWVhZTQifQ=="/>
  </w:docVars>
  <w:rsids>
    <w:rsidRoot w:val="143F5C21"/>
    <w:rsid w:val="049F79D7"/>
    <w:rsid w:val="05874A1E"/>
    <w:rsid w:val="089D7E02"/>
    <w:rsid w:val="0A981DFD"/>
    <w:rsid w:val="0AF72B19"/>
    <w:rsid w:val="0B9B07A7"/>
    <w:rsid w:val="105666BF"/>
    <w:rsid w:val="129B2449"/>
    <w:rsid w:val="143F5C21"/>
    <w:rsid w:val="18390317"/>
    <w:rsid w:val="19A91329"/>
    <w:rsid w:val="1DC0103A"/>
    <w:rsid w:val="1FF97A4C"/>
    <w:rsid w:val="22571DFF"/>
    <w:rsid w:val="26E31B32"/>
    <w:rsid w:val="2FAB42DC"/>
    <w:rsid w:val="3612133A"/>
    <w:rsid w:val="37555B6E"/>
    <w:rsid w:val="3BF14431"/>
    <w:rsid w:val="3D527F6C"/>
    <w:rsid w:val="3EFF3333"/>
    <w:rsid w:val="3FFFD9D0"/>
    <w:rsid w:val="40CC4168"/>
    <w:rsid w:val="455D18A7"/>
    <w:rsid w:val="46FB0FC6"/>
    <w:rsid w:val="49B37AF6"/>
    <w:rsid w:val="4BE35B11"/>
    <w:rsid w:val="4E5E3D22"/>
    <w:rsid w:val="50F46C1A"/>
    <w:rsid w:val="519F66A3"/>
    <w:rsid w:val="51FC313F"/>
    <w:rsid w:val="5B793CD8"/>
    <w:rsid w:val="5CA55020"/>
    <w:rsid w:val="5D700E85"/>
    <w:rsid w:val="5DCD5A7E"/>
    <w:rsid w:val="5DFF22B5"/>
    <w:rsid w:val="5E353A0A"/>
    <w:rsid w:val="637E9A70"/>
    <w:rsid w:val="659C28F5"/>
    <w:rsid w:val="686F084C"/>
    <w:rsid w:val="6CEC4142"/>
    <w:rsid w:val="6F132CD7"/>
    <w:rsid w:val="6FE361AF"/>
    <w:rsid w:val="709A3A81"/>
    <w:rsid w:val="7BCD5A96"/>
    <w:rsid w:val="7E226BEF"/>
    <w:rsid w:val="7EA5419C"/>
    <w:rsid w:val="7EB7F102"/>
    <w:rsid w:val="7EFF7656"/>
    <w:rsid w:val="7FB977D3"/>
    <w:rsid w:val="7FBF1C9A"/>
    <w:rsid w:val="7FFF2CC1"/>
    <w:rsid w:val="BFF5DAF3"/>
    <w:rsid w:val="D77ADAA5"/>
    <w:rsid w:val="EFBE078C"/>
    <w:rsid w:val="F6CF5D5E"/>
    <w:rsid w:val="FF6BBC9D"/>
    <w:rsid w:val="FFB976C1"/>
    <w:rsid w:val="FFEBD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Chars="0" w:firstLine="420" w:firstLineChars="200"/>
      <w:jc w:val="left"/>
    </w:pPr>
    <w:rPr>
      <w:rFonts w:ascii="Times New Roman" w:hAnsi="Times New Roman" w:eastAsia="宋体" w:cs="Times New Roman"/>
      <w:szCs w:val="24"/>
    </w:rPr>
  </w:style>
  <w:style w:type="paragraph" w:styleId="3">
    <w:name w:val="Body Text Indent"/>
    <w:basedOn w:val="1"/>
    <w:next w:val="1"/>
    <w:qFormat/>
    <w:uiPriority w:val="0"/>
    <w:pPr>
      <w:spacing w:after="120"/>
      <w:ind w:left="420"/>
      <w:jc w:val="left"/>
    </w:pPr>
    <w:rPr>
      <w:rFonts w:ascii="Times New Roman" w:hAnsi="Times New Roman" w:eastAsia="仿宋_GB2312" w:cs="Times New Roman"/>
      <w:sz w:val="32"/>
    </w:rPr>
  </w:style>
  <w:style w:type="paragraph" w:styleId="4">
    <w:name w:val="Body Text"/>
    <w:basedOn w:val="1"/>
    <w:next w:val="1"/>
    <w:qFormat/>
    <w:uiPriority w:val="0"/>
    <w:pPr>
      <w:spacing w:after="120"/>
    </w:pPr>
    <w:rPr>
      <w:rFonts w:ascii="Times New Roman" w:hAnsi="Times New Roman" w:eastAsia="宋体" w:cs="Times New Roman"/>
      <w:sz w:val="21"/>
      <w:szCs w:val="24"/>
    </w:rPr>
  </w:style>
  <w:style w:type="paragraph" w:styleId="5">
    <w:name w:val="Body Text Indent 2"/>
    <w:basedOn w:val="1"/>
    <w:next w:val="1"/>
    <w:qFormat/>
    <w:uiPriority w:val="0"/>
    <w:pPr>
      <w:spacing w:after="120" w:line="480" w:lineRule="auto"/>
      <w:ind w:left="420" w:leftChars="20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51"/>
    <w:basedOn w:val="10"/>
    <w:qFormat/>
    <w:uiPriority w:val="0"/>
    <w:rPr>
      <w:rFonts w:hint="default" w:ascii="方正小标宋简体" w:hAnsi="方正小标宋简体" w:eastAsia="方正小标宋简体" w:cs="方正小标宋简体"/>
      <w:color w:val="000000"/>
      <w:sz w:val="32"/>
      <w:szCs w:val="32"/>
      <w:u w:val="none"/>
    </w:rPr>
  </w:style>
  <w:style w:type="character" w:customStyle="1" w:styleId="12">
    <w:name w:val="font61"/>
    <w:basedOn w:val="10"/>
    <w:qFormat/>
    <w:uiPriority w:val="0"/>
    <w:rPr>
      <w:rFonts w:hint="default" w:ascii="方正小标宋简体" w:hAnsi="方正小标宋简体" w:eastAsia="方正小标宋简体" w:cs="方正小标宋简体"/>
      <w:color w:val="000000"/>
      <w:sz w:val="32"/>
      <w:szCs w:val="32"/>
      <w:u w:val="single"/>
    </w:rPr>
  </w:style>
  <w:style w:type="character" w:customStyle="1" w:styleId="13">
    <w:name w:val="font41"/>
    <w:basedOn w:val="10"/>
    <w:qFormat/>
    <w:uiPriority w:val="0"/>
    <w:rPr>
      <w:rFonts w:hint="default" w:ascii="方正小标宋简体" w:hAnsi="方正小标宋简体" w:eastAsia="方正小标宋简体" w:cs="方正小标宋简体"/>
      <w:color w:val="000000"/>
      <w:sz w:val="32"/>
      <w:szCs w:val="32"/>
      <w:u w:val="none"/>
    </w:rPr>
  </w:style>
  <w:style w:type="character" w:customStyle="1" w:styleId="14">
    <w:name w:val="font81"/>
    <w:basedOn w:val="10"/>
    <w:qFormat/>
    <w:uiPriority w:val="0"/>
    <w:rPr>
      <w:rFonts w:hint="default" w:ascii="方正小标宋简体" w:hAnsi="方正小标宋简体" w:eastAsia="方正小标宋简体" w:cs="方正小标宋简体"/>
      <w:color w:val="000000"/>
      <w:sz w:val="32"/>
      <w:szCs w:val="3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3944</Words>
  <Characters>4260</Characters>
  <Lines>0</Lines>
  <Paragraphs>0</Paragraphs>
  <TotalTime>936</TotalTime>
  <ScaleCrop>false</ScaleCrop>
  <LinksUpToDate>false</LinksUpToDate>
  <CharactersWithSpaces>4302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2023-07-13T00:10:00Z</dcterms:created>
  <dc:creator>三旬老汉</dc:creator>
  <cp:lastModifiedBy>九云梦</cp:lastModifiedBy>
  <cp:lastPrinted>2025-01-07T00:57:00Z</cp:lastPrinted>
  <dcterms:modified xsi:type="dcterms:W3CDTF">2025-01-07T02:12:09Z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E8397717B93A471093E285FC542B25B1_13</vt:lpwstr>
  </property>
  <property fmtid="{D5CDD505-2E9C-101B-9397-08002B2CF9AE}" pid="4" name="KSOTemplateDocerSaveRecord">
    <vt:lpwstr>eyJoZGlkIjoiMjU3YWUwYzg0OWZlNWIyOWEyNjE1Y2M1NDhhZWVhZTQiLCJ1c2VySWQiOiIzNjUyODc0MjYifQ==</vt:lpwstr>
  </property>
</Properties>
</file>