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D1" w:rsidRDefault="00BE7DD1" w:rsidP="00BE7DD1">
      <w:pPr>
        <w:spacing w:line="4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附件1          </w:t>
      </w:r>
    </w:p>
    <w:p w:rsidR="00BE7DD1" w:rsidRDefault="00BE7DD1" w:rsidP="00BE7DD1">
      <w:pPr>
        <w:spacing w:beforeLines="50" w:before="156" w:line="400" w:lineRule="exact"/>
        <w:jc w:val="center"/>
        <w:rPr>
          <w:rFonts w:ascii="01大标宋简" w:eastAsia="01大标宋简" w:hint="eastAsia"/>
          <w:sz w:val="44"/>
          <w:szCs w:val="44"/>
        </w:rPr>
      </w:pPr>
      <w:r>
        <w:rPr>
          <w:rFonts w:ascii="01大标宋简" w:eastAsia="01大标宋简" w:hint="eastAsia"/>
          <w:sz w:val="44"/>
          <w:szCs w:val="44"/>
        </w:rPr>
        <w:t>五大工作机制任务分解表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48"/>
        <w:gridCol w:w="1385"/>
        <w:gridCol w:w="7435"/>
        <w:gridCol w:w="4706"/>
      </w:tblGrid>
      <w:tr w:rsidR="00BE7DD1" w:rsidTr="00C04714">
        <w:trPr>
          <w:cantSplit/>
          <w:tblHeader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目标任务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具   体   要   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责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任  单  位</w:t>
            </w:r>
          </w:p>
        </w:tc>
      </w:tr>
      <w:tr w:rsidR="00BE7DD1" w:rsidTr="00C04714">
        <w:trPr>
          <w:cantSplit/>
        </w:trPr>
        <w:tc>
          <w:tcPr>
            <w:tcW w:w="14174" w:type="dxa"/>
            <w:gridSpan w:val="4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健全完善道路交通安全管理责任机制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严格落实监管责任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认真落实党政领导干部安全生产责任制，将道路交通安全工作与经济建设和社会发展同部署、同落实。各相关部门主动履行道路交通安全监管责任，指导本行业开展道安综合整治工作，督促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安全生产主体责任落实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市道安工作领导小组各成员单位，各镇人民政府、街道办事处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加强工作考核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督导问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将道安工作成效纳入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平安建设、绩效、安全生产、精神文明建设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等考评体系，综合运用警示通报、约谈、挂牌督办等问责措施，压实道安工作责任。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市应急局、公安局等部门，各镇人民政府、街道办事处</w:t>
            </w:r>
          </w:p>
        </w:tc>
      </w:tr>
      <w:tr w:rsidR="00BE7DD1" w:rsidTr="00C04714">
        <w:trPr>
          <w:cantSplit/>
          <w:trHeight w:val="281"/>
        </w:trPr>
        <w:tc>
          <w:tcPr>
            <w:tcW w:w="14174" w:type="dxa"/>
            <w:gridSpan w:val="4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ind w:firstLineChars="2295" w:firstLine="4838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二、健全完善道路交通安全源头监管机制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推进营运车辆安全技术应用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推广应用“两客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危”车辆安装智能视频监控报警装置。根据公交车驾驶区域安全防护隔离设施标准，推动公交车驾驶室防护隔离设施的改造和增设工作。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市交通港口局、公安局等部门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强化车辆安全监管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机动车产品生产一致性和市场准入监管。贯彻落实全省加强电动自行车生产、销售、维修改装和使用管理有关规定。加强对低速电动车生产、销售、道路通行的安全监管。严格落实机动车检验、维修、报废等监管，严厉打击生产、销售不合标机动车、非法改装、拼装和逾期未检验、未报废等违法违规行为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市工信科技局、市场监管局、公安局、交通港口局等部门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加强重点营运车辆动态监管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督促企业规范监控平台使用与管理。构建覆盖全市的重点车辆联网联控系统，实现“两客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危”、校车、渣土车及重型货运车辆入网率达100%，“两客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危”及校车上线率、轨迹完整率和数据合格率均达95%以上。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市交通港口局、住建局、公安局、教育局等部门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强化驾驶人教育培训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制定机动车驾驶培训机构质量信誉考核办法，建立排名通报制度。推行大型客货车驾驶人职业教育。严格落实“两个教育”工作机制，提升重点驾驶人审验率、换证率和满分学习率。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市公安局、交通港口局等部门</w:t>
            </w:r>
          </w:p>
        </w:tc>
      </w:tr>
      <w:tr w:rsidR="00BE7DD1" w:rsidTr="00C04714">
        <w:trPr>
          <w:cantSplit/>
        </w:trPr>
        <w:tc>
          <w:tcPr>
            <w:tcW w:w="14174" w:type="dxa"/>
            <w:gridSpan w:val="4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ind w:firstLineChars="2265" w:firstLine="4775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三、健全完善道路交通安全隐患排查治理机制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完善道路交通安全设施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落实“三同时”制度，对新、改、扩建公路项目推广安全性评价，安全设施未验收或验收不合格的不得通车运行。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市交通港口局、应急局、住建局、公安局、公路分局等部门，福建石狮城市投资建设集团有限责任公司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深化城市道路交通文明畅通提升行动计划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加强城市道路提升改造和隐</w:t>
            </w:r>
            <w:r w:rsidRPr="00F15834">
              <w:rPr>
                <w:rFonts w:ascii="宋体" w:eastAsia="宋体" w:hAnsi="宋体" w:hint="eastAsia"/>
                <w:sz w:val="21"/>
                <w:szCs w:val="21"/>
              </w:rPr>
              <w:t>患整治，制定城市交通安全管理设施管理规定，落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实统一的归口管理和经费保障。完善城市建设项目交通影响评价体系，大型建设项目100%通过交通影响评价。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市公安局、住建局、城管局等部门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滚动排查治理道路隐患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加大对临水临崖、急弯陡坡、隧道桥梁、交叉路口的隐患排查，逐年将排查出的事故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多发和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危险隐患点段，按督办</w:t>
            </w:r>
            <w:r w:rsidRPr="00F15834">
              <w:rPr>
                <w:rFonts w:ascii="宋体" w:eastAsia="宋体" w:hAnsi="宋体" w:hint="eastAsia"/>
                <w:sz w:val="21"/>
                <w:szCs w:val="21"/>
              </w:rPr>
              <w:t>标准视情纳入为民办实事项目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，推动隐患整治措施落到实处。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市预防办、公安局、交通港口局、住建局、城管局等部门，各镇人民政府、街道办事处</w:t>
            </w:r>
          </w:p>
        </w:tc>
      </w:tr>
      <w:tr w:rsidR="00BE7DD1" w:rsidTr="00C04714">
        <w:trPr>
          <w:cantSplit/>
        </w:trPr>
        <w:tc>
          <w:tcPr>
            <w:tcW w:w="14174" w:type="dxa"/>
            <w:gridSpan w:val="4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ind w:firstLineChars="2336" w:firstLine="4925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四、健全完善公路交通安全防范管控机制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夯实农村基层基础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完善示范村居及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劝导站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建设，推进劝导工作向社区、厂区、景区及校园周边延伸。到2021年，每个村居配备不少于2名专兼职交通安全协管员，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国省县道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沿线村居主要出入口100%建成交通安全劝导站；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国省县道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沿线或双向4车道以上公路（含乡村道路）沿线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农村交叉口100%落实交通安全设施“五有工程”（有减速坎、警示牌、路中隔离、监控和路灯照明）。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市公安局、交通港口局、泉州市公路局石狮分局等部门，各镇人民政府、街道办事处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建设公路交通监控系统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加大普通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公路国省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县道沿线和交叉口的交通监控设施建设，整合公安、交通等部门道路视频监控资源和信息共享，逐步实现信号灯、电子警察、卡口监控覆盖县级以上（含）道路主要路口路段。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市公安局、交通港口局等部门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加强公路防控网建设。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推进实施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科技治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超、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科技治违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工作，推动我市纳入全省交通公安联合治超站（点）电子抓拍系统建设，引导货车主动进站接受检测。完善、优化高速公路“超限黑名单”工作机制，全面实施入口称重检测。全面建成高速公路和普通公路干线公安交通警察执法站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市交通港口局、公安局等部门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强化路面秩序管控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组织开展“两客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危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货”、校车、渣土车、摩托车等车辆专项整治。加大公安交通集成指挥平台推广应用。国家法定节假日、周末、重大活动期间组织开展“夜查”行动，严厉查处酒醉驾、三超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疲劳及非法营运等违法违规行为。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市公安局、交通港口局、住建局、教育局等部门</w:t>
            </w:r>
          </w:p>
        </w:tc>
      </w:tr>
      <w:tr w:rsidR="00BE7DD1" w:rsidTr="00C04714">
        <w:trPr>
          <w:cantSplit/>
        </w:trPr>
        <w:tc>
          <w:tcPr>
            <w:tcW w:w="14174" w:type="dxa"/>
            <w:gridSpan w:val="4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ind w:firstLineChars="2319" w:firstLine="4889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五、健全完善道路交通安全宣传教育机制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健全交通安全宣教机制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推动新闻媒体常态化刊播交通安全公益广告。实行交通违法群众举报奖励制度。推进乡镇组建交通安全宣传队伍。落实单位、企业和农村“五长一员”（派出所所长、交警中队长、</w:t>
            </w:r>
            <w:r w:rsidRPr="00F15834">
              <w:rPr>
                <w:rFonts w:ascii="宋体" w:eastAsia="宋体" w:hAnsi="宋体" w:hint="eastAsia"/>
                <w:sz w:val="21"/>
                <w:szCs w:val="21"/>
              </w:rPr>
              <w:t>镇长、村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长、中小学校校长和交通安全员）交通安全宣传责任。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市道安工作领导小组各成员单位，各镇人民政府、街道办事处</w:t>
            </w:r>
          </w:p>
        </w:tc>
      </w:tr>
      <w:tr w:rsidR="00BE7DD1" w:rsidTr="00C04714">
        <w:trPr>
          <w:cantSplit/>
        </w:trPr>
        <w:tc>
          <w:tcPr>
            <w:tcW w:w="648" w:type="dxa"/>
            <w:vAlign w:val="center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38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开展文明交通素质教育</w:t>
            </w:r>
          </w:p>
        </w:tc>
        <w:tc>
          <w:tcPr>
            <w:tcW w:w="7435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展交通安全宣传“七进”（进企业、校园、机关、社区、农村、家庭、公共场所）活动。严格落实各中小学交通安全教育地方课程表，确保每年不少于4个课时。开展“零酒驾”乡镇（街道）、村居创建和文明交通进驾校“五个一”活动。建立交通安全信用体系，推动将严重交通违法、责任事故等信息纳入个人征信记录并提供共享服务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市公安局、交通港口局、教育局等部门，各镇人民政府、街道办事处</w:t>
            </w:r>
          </w:p>
        </w:tc>
      </w:tr>
      <w:tr w:rsidR="00BE7DD1" w:rsidTr="00C04714">
        <w:trPr>
          <w:cantSplit/>
        </w:trPr>
        <w:tc>
          <w:tcPr>
            <w:tcW w:w="648" w:type="dxa"/>
          </w:tcPr>
          <w:p w:rsidR="00BE7DD1" w:rsidRDefault="00BE7DD1" w:rsidP="00C04714">
            <w:pPr>
              <w:spacing w:line="2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385" w:type="dxa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推进交通宣传载体建设</w:t>
            </w:r>
          </w:p>
        </w:tc>
        <w:tc>
          <w:tcPr>
            <w:tcW w:w="7435" w:type="dxa"/>
          </w:tcPr>
          <w:p w:rsidR="00BE7DD1" w:rsidRDefault="00BE7DD1" w:rsidP="00C04714">
            <w:pPr>
              <w:adjustRightInd w:val="0"/>
              <w:snapToGrid w:val="0"/>
              <w:spacing w:line="26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到2021年，至少建成2个农村专项宣教基地、配备1台多功能交通安全LED流动宣传车。</w:t>
            </w:r>
          </w:p>
        </w:tc>
        <w:tc>
          <w:tcPr>
            <w:tcW w:w="4706" w:type="dxa"/>
            <w:vAlign w:val="center"/>
          </w:tcPr>
          <w:p w:rsidR="00BE7DD1" w:rsidRDefault="00BE7DD1" w:rsidP="00C04714">
            <w:pPr>
              <w:spacing w:line="2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市公安局，各有关镇人民政府、街道办事处</w:t>
            </w:r>
          </w:p>
        </w:tc>
      </w:tr>
    </w:tbl>
    <w:p w:rsidR="00BE7DD1" w:rsidRDefault="00BE7DD1" w:rsidP="00BE7DD1">
      <w:pPr>
        <w:spacing w:line="260" w:lineRule="exact"/>
        <w:rPr>
          <w:rFonts w:ascii="黑体" w:eastAsia="黑体" w:hint="eastAsia"/>
          <w:sz w:val="21"/>
          <w:szCs w:val="21"/>
        </w:rPr>
      </w:pPr>
    </w:p>
    <w:p w:rsidR="00BE7DD1" w:rsidRDefault="00BE7DD1" w:rsidP="00BE7DD1">
      <w:pPr>
        <w:rPr>
          <w:rFonts w:ascii="黑体" w:eastAsia="黑体" w:hint="eastAsia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BE7DD1" w:rsidRDefault="00BE7DD1" w:rsidP="00BE7DD1">
      <w:pPr>
        <w:tabs>
          <w:tab w:val="left" w:pos="5009"/>
        </w:tabs>
        <w:jc w:val="center"/>
        <w:rPr>
          <w:rFonts w:ascii="01大标宋简" w:eastAsia="01大标宋简" w:hint="eastAsia"/>
          <w:sz w:val="44"/>
          <w:szCs w:val="44"/>
        </w:rPr>
      </w:pPr>
      <w:r>
        <w:rPr>
          <w:rFonts w:ascii="01大标宋简" w:eastAsia="01大标宋简" w:hint="eastAsia"/>
          <w:sz w:val="44"/>
          <w:szCs w:val="44"/>
        </w:rPr>
        <w:t>十一个“市局行动”任务分解表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28"/>
        <w:gridCol w:w="2119"/>
        <w:gridCol w:w="8861"/>
        <w:gridCol w:w="2366"/>
      </w:tblGrid>
      <w:tr w:rsidR="00BE7DD1" w:rsidTr="00C04714">
        <w:trPr>
          <w:cantSplit/>
          <w:tblHeader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 号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任 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务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计 划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具  体  要  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时 限 要 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市教育局牵头校园及周边道路交通环境提升行动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加强和规范校车管理，逐年排查县道及以上公路（或城区主干道）沿线校园及周边道路安全隐患，按照“一校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策”制定并落实标志标线完善、交通乱象整治、上下学高峰期交通组织等交通环境提升行动方案；开展“小手拉大手”等交通安全主题宣教活动。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逐年排查、逐年制定“一校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策”；定期开展交通安全主题宣教活动。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119" w:type="dxa"/>
            <w:vAlign w:val="center"/>
          </w:tcPr>
          <w:p w:rsidR="00BE7DD1" w:rsidRPr="00F15834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F15834">
              <w:rPr>
                <w:rFonts w:ascii="宋体" w:eastAsia="宋体" w:hAnsi="宋体" w:hint="eastAsia"/>
                <w:sz w:val="21"/>
                <w:szCs w:val="21"/>
              </w:rPr>
              <w:t>市工信科技局牵头强化车辆生产企业的准入及安全监管行动</w:t>
            </w:r>
          </w:p>
        </w:tc>
        <w:tc>
          <w:tcPr>
            <w:tcW w:w="8861" w:type="dxa"/>
            <w:vAlign w:val="center"/>
          </w:tcPr>
          <w:p w:rsidR="00BE7DD1" w:rsidRPr="00F15834" w:rsidRDefault="00BE7DD1" w:rsidP="00C04714">
            <w:pPr>
              <w:adjustRightInd w:val="0"/>
              <w:snapToGrid w:val="0"/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F15834">
              <w:rPr>
                <w:rFonts w:ascii="宋体" w:eastAsia="宋体" w:hAnsi="宋体" w:hint="eastAsia"/>
                <w:sz w:val="21"/>
                <w:szCs w:val="21"/>
              </w:rPr>
              <w:t>配合落实</w:t>
            </w:r>
            <w:proofErr w:type="gramStart"/>
            <w:r w:rsidRPr="00F15834">
              <w:rPr>
                <w:rFonts w:ascii="宋体" w:eastAsia="宋体" w:hAnsi="宋体" w:hint="eastAsia"/>
                <w:sz w:val="21"/>
                <w:szCs w:val="21"/>
              </w:rPr>
              <w:t>省工信厅编制</w:t>
            </w:r>
            <w:proofErr w:type="gramEnd"/>
            <w:r w:rsidRPr="00F15834">
              <w:rPr>
                <w:rFonts w:ascii="宋体" w:eastAsia="宋体" w:hAnsi="宋体" w:hint="eastAsia"/>
                <w:sz w:val="21"/>
                <w:szCs w:val="21"/>
              </w:rPr>
              <w:t>的非机动车产品目录，指导电动自行车生产企业落实《电动自行车安全技术规范》（GB17761-2018）。2019-2020年，按照低速电动车规范管理和相关技术标准要求，引导有条件的低速电动车企业转型升级。2020-2021年，按照新能源汽车安全技术标准，指导新能源汽车生产企业做好工作落实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按省里部署要求和时限开展相关工作。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市公安局牵头开展交通文明安全意识提升行动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定期分析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研判交通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形势，推行“532”道路交通管理模式，紧盯重点人、车、路和重点违法，加强路面管控，严查严重交通违法。加强警示宣传教育，积极策划和组织文明交通系列宣传报道，推广微博、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微信和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手机客户端等新媒体作用，组织开展文明交通宣传作品评选活动。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长期工作，定期开展。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市住建局牵头开展渣土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车综合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监管行动</w:t>
            </w:r>
          </w:p>
        </w:tc>
        <w:tc>
          <w:tcPr>
            <w:tcW w:w="8861" w:type="dxa"/>
            <w:vAlign w:val="center"/>
          </w:tcPr>
          <w:p w:rsidR="00BE7DD1" w:rsidRPr="00F15834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F15834">
              <w:rPr>
                <w:rFonts w:ascii="宋体" w:eastAsia="宋体" w:hAnsi="宋体" w:hint="eastAsia"/>
                <w:sz w:val="21"/>
                <w:szCs w:val="21"/>
              </w:rPr>
              <w:t>深化渣土车等工程类重型货车综合管理，推广使用符合泉州市渣土车专用技术标准的新型车辆，建立石狮市新型渣土车推荐目录，进一步加强渣土车管控平台的监督管理和指导，做好建设项目渣土车运输源头管理，督促工程建设、施工单位严格执行建筑垃圾和渣土处置管理规定。</w:t>
            </w:r>
          </w:p>
        </w:tc>
        <w:tc>
          <w:tcPr>
            <w:tcW w:w="2366" w:type="dxa"/>
            <w:vAlign w:val="center"/>
          </w:tcPr>
          <w:p w:rsidR="00BE7DD1" w:rsidRPr="00F15834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F15834">
              <w:rPr>
                <w:rFonts w:ascii="宋体" w:eastAsia="宋体" w:hAnsi="宋体" w:hint="eastAsia"/>
                <w:sz w:val="21"/>
                <w:szCs w:val="21"/>
              </w:rPr>
              <w:t>2019底前制定推广方案，并建立推荐目录。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市城管局牵头开展城市道路提升行动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全面加强城市道路隐患治理，定期开展摆摊设点、占道经营、违规安装广告牌匾等影响交通行为专项整治，逐年优化城市道路网和交通安全防护设施。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每月开展不少于1次专项整治。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市交通港口局牵头开展道路运输安全提升行动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依托省级卫星定位公共服务平台，落实道路运输车辆动态监督管理和定期考核制度，规范违规和异常数据的发现、反馈、处置等闭环流程。加大打击非法营运工作力度。推进开展公路工程隐患排查治理，加强日常监管和审核验收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长期工作，定期开展。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市农业农村局牵头开展“平安农机”示范创建行动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持续开展“平安农机”示范创建活动，重点抓好1个“平安农机”示范乡镇创建。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按泉州市农业农村局部署要求和时限开展相关工作。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市文体旅游局牵头开展旅行社租赁旅游包车治理行动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加强旅行社购买交通服务环节的管理，加大旅游交通安全宣传和教育培训，督促其租赁有资质的旅游车辆，为游客提供有效安全保障。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长期工作，定期开展。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应急局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牵头开展应急救援提升行动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指导相关成员单位开展应急演练和事故应急处置工作，督促修订完善各类应急预案，提高应急处置应对能力和水平。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每年组织开展不少于一次的重特大交通应急处置预案综合演练。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市市场监管局牵头开展车辆经营销售领域监管行动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2019年以电动自行车为重点、2020年以低速电动车为重点、2021年以机动车为重点，部署开展销售领域专项整治行动，严厉打击销售非法改装、拼装以及不符合国家标准等违法违规行为。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根据重点，逐年开展专项整治。</w:t>
            </w:r>
          </w:p>
        </w:tc>
      </w:tr>
      <w:tr w:rsidR="00BE7DD1" w:rsidTr="00C04714">
        <w:trPr>
          <w:cantSplit/>
        </w:trPr>
        <w:tc>
          <w:tcPr>
            <w:tcW w:w="828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2119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市气象局牵头开展交通气象服务提升行动</w:t>
            </w:r>
          </w:p>
        </w:tc>
        <w:tc>
          <w:tcPr>
            <w:tcW w:w="8861" w:type="dxa"/>
            <w:vAlign w:val="center"/>
          </w:tcPr>
          <w:p w:rsidR="00BE7DD1" w:rsidRDefault="00BE7DD1" w:rsidP="00C04714">
            <w:pPr>
              <w:adjustRightInd w:val="0"/>
              <w:snapToGrid w:val="0"/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2019年，加强恶劣天气预警信息发布系统在交通领域的对接应用。2020年，依托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省级交通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气象服务平台，开展风险预警、应急管理、信息发布等交通气象服务。2021年，建立健全交通管制气象风险指标体系。</w:t>
            </w:r>
          </w:p>
        </w:tc>
        <w:tc>
          <w:tcPr>
            <w:tcW w:w="2366" w:type="dxa"/>
            <w:vAlign w:val="center"/>
          </w:tcPr>
          <w:p w:rsidR="00BE7DD1" w:rsidRDefault="00BE7DD1" w:rsidP="00C04714">
            <w:pPr>
              <w:tabs>
                <w:tab w:val="left" w:pos="5009"/>
              </w:tabs>
              <w:spacing w:line="32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根据任务重点，逐年落实相关措施。</w:t>
            </w:r>
          </w:p>
        </w:tc>
      </w:tr>
    </w:tbl>
    <w:p w:rsidR="00BE7DD1" w:rsidRDefault="00BE7DD1" w:rsidP="00BE7DD1">
      <w:pPr>
        <w:rPr>
          <w:rFonts w:hint="eastAsia"/>
        </w:rPr>
        <w:sectPr w:rsidR="00BE7DD1">
          <w:footerReference w:type="even" r:id="rId6"/>
          <w:footerReference w:type="default" r:id="rId7"/>
          <w:pgSz w:w="16838" w:h="11906" w:orient="landscape"/>
          <w:pgMar w:top="1418" w:right="1440" w:bottom="1418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C52DAA" w:rsidRPr="00BE7DD1" w:rsidRDefault="00C52DAA" w:rsidP="00BE7DD1">
      <w:pPr>
        <w:rPr>
          <w:rFonts w:hint="eastAsia"/>
        </w:rPr>
      </w:pPr>
    </w:p>
    <w:sectPr w:rsidR="00C52DAA" w:rsidRPr="00BE7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D5" w:rsidRDefault="006A7CD5" w:rsidP="00BE7DD1">
      <w:r>
        <w:separator/>
      </w:r>
    </w:p>
  </w:endnote>
  <w:endnote w:type="continuationSeparator" w:id="0">
    <w:p w:rsidR="006A7CD5" w:rsidRDefault="006A7CD5" w:rsidP="00BE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01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DD1" w:rsidRDefault="00BE7DD1">
    <w:pPr>
      <w:pStyle w:val="a4"/>
      <w:jc w:val="center"/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DD1" w:rsidRDefault="00BE7DD1">
    <w:pPr>
      <w:pStyle w:val="a4"/>
      <w:jc w:val="center"/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D5" w:rsidRDefault="006A7CD5" w:rsidP="00BE7DD1">
      <w:r>
        <w:separator/>
      </w:r>
    </w:p>
  </w:footnote>
  <w:footnote w:type="continuationSeparator" w:id="0">
    <w:p w:rsidR="006A7CD5" w:rsidRDefault="006A7CD5" w:rsidP="00BE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0A"/>
    <w:rsid w:val="006A7CD5"/>
    <w:rsid w:val="0090500A"/>
    <w:rsid w:val="00BE7DD1"/>
    <w:rsid w:val="00C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1ADAB-D106-4CDF-9BFB-F4A5CE7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D1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DD1"/>
    <w:rPr>
      <w:sz w:val="18"/>
      <w:szCs w:val="18"/>
    </w:rPr>
  </w:style>
  <w:style w:type="paragraph" w:styleId="a4">
    <w:name w:val="footer"/>
    <w:basedOn w:val="a"/>
    <w:link w:val="Char0"/>
    <w:unhideWhenUsed/>
    <w:rsid w:val="00BE7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DD1"/>
    <w:rPr>
      <w:sz w:val="18"/>
      <w:szCs w:val="18"/>
    </w:rPr>
  </w:style>
  <w:style w:type="character" w:styleId="a5">
    <w:name w:val="page number"/>
    <w:basedOn w:val="a0"/>
    <w:rsid w:val="00BE7DD1"/>
  </w:style>
  <w:style w:type="paragraph" w:customStyle="1" w:styleId="DefaultParagraphFontParaChar">
    <w:name w:val="Default Paragraph Font Para Char"/>
    <w:basedOn w:val="a"/>
    <w:rsid w:val="00BE7DD1"/>
    <w:pPr>
      <w:widowControl/>
      <w:spacing w:after="160" w:line="400" w:lineRule="exact"/>
      <w:jc w:val="left"/>
    </w:pPr>
    <w:rPr>
      <w:rFonts w:eastAsia="宋体"/>
      <w:sz w:val="21"/>
      <w:szCs w:val="20"/>
    </w:rPr>
  </w:style>
  <w:style w:type="table" w:styleId="a6">
    <w:name w:val="Table Grid"/>
    <w:basedOn w:val="a1"/>
    <w:rsid w:val="00BE7D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3295</Characters>
  <Application>Microsoft Office Word</Application>
  <DocSecurity>0</DocSecurity>
  <Lines>27</Lines>
  <Paragraphs>7</Paragraphs>
  <ScaleCrop>false</ScaleCrop>
  <Company>微软中国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信息公开办</dc:creator>
  <cp:keywords/>
  <dc:description/>
  <cp:lastModifiedBy>信息公开办</cp:lastModifiedBy>
  <cp:revision>2</cp:revision>
  <dcterms:created xsi:type="dcterms:W3CDTF">2019-06-20T02:34:00Z</dcterms:created>
  <dcterms:modified xsi:type="dcterms:W3CDTF">2019-06-20T02:35:00Z</dcterms:modified>
</cp:coreProperties>
</file>