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beforeAutospacing="0"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附件１</w:t>
      </w:r>
    </w:p>
    <w:p>
      <w:pPr>
        <w:keepNext w:val="0"/>
        <w:keepLines w:val="0"/>
        <w:pageBreakBefore w:val="0"/>
        <w:numPr>
          <w:ilvl w:val="0"/>
          <w:numId w:val="0"/>
        </w:numPr>
        <w:kinsoku/>
        <w:wordWrap/>
        <w:overflowPunct/>
        <w:topLinePunct w:val="0"/>
        <w:autoSpaceDE/>
        <w:autoSpaceDN/>
        <w:bidi w:val="0"/>
        <w:adjustRightInd/>
        <w:spacing w:beforeAutospacing="0" w:line="560" w:lineRule="exact"/>
        <w:ind w:firstLine="883" w:firstLineChars="200"/>
        <w:jc w:val="center"/>
        <w:textAlignment w:val="auto"/>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eastAsia="zh-CN"/>
        </w:rPr>
        <w:t>技术和服务要求</w:t>
      </w:r>
    </w:p>
    <w:bookmarkEnd w:id="0"/>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防控技术要求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应设立固定办公点与储药仓库，派驻技术人员，投入足够人力，抓住秋季红火蚁防控的关键季节开展集中防控。防控期间在长期驻点固定技术人员不得少于3名。</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应抓住最佳时期组织开展集中防控分片、分区开展网格化施药扑杀，</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根据实际情况合理安排防控时间。防控期间在防控区域内实施的防控施工（投药+监测）不少于2遍，原始调查中发现的高等级为害区域防控施工不少于3遍。每遍防控范围应做到全覆盖。监理单位将根据原始调查发生范围和防控单位上传的防控数据评估防控工作量是否达标。</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防治药剂以饵剂为主，在许可的情况下可使用粉剂进行应急消杀。所有使用药剂都必须在中国农药信息网能够查询到登记信息且防治对象为红火蚁。</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应根据防治区域的天气、环境、农业耕作等情况，选备</w:t>
      </w:r>
      <w:r>
        <w:rPr>
          <w:rFonts w:hint="eastAsia" w:ascii="仿宋_GB2312" w:hAnsi="仿宋_GB2312" w:eastAsia="仿宋_GB2312" w:cs="仿宋_GB2312"/>
          <w:color w:val="auto"/>
          <w:sz w:val="32"/>
          <w:szCs w:val="32"/>
          <w:highlight w:val="none"/>
        </w:rPr>
        <w:t>2种以上成分，3家厂商</w:t>
      </w:r>
      <w:r>
        <w:rPr>
          <w:rFonts w:hint="eastAsia" w:ascii="仿宋_GB2312" w:hAnsi="仿宋_GB2312" w:eastAsia="仿宋_GB2312" w:cs="仿宋_GB2312"/>
          <w:color w:val="auto"/>
          <w:sz w:val="32"/>
          <w:szCs w:val="32"/>
        </w:rPr>
        <w:t>以上的防治饵剂以便更换。在不同防治季应根据防控需要更换使用药剂，避免单一药剂药效下降影响防效。</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防治初期蚁巢密度较大，蚁巢较容易踏查，可采用广泛施撒饵剂，达到快速压制红火蚁发生程度的目标。当防控区域红火蚁蚁巢数量降低且较为隐蔽，难以踏查搜寻时，应采用诱集的方式先明确防控区域内的红火蚁发生情况，根据诱集结果采用针对性的精准施药。</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建立药效检查机制，药剂防治7-10天后采用挖槽或火腿肠诱集的方式检测药效，如果发现未达到防控要求应及时补施药。</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必须积极配合监理单位要求的技术手段，认真做好防控信息的采集工作，通过“云采集”手机软件准确记录每个施药点的时间、位置、蚁巢大小、扑杀场景图片等数据并及时上传。这些数据将做为药品投入、防控面积估算、防控成效评估与考核的重要依据。由于信息采集不完整或未及时上传数据造成评估不准确，责任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在防控区域内公布</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24小时应急电话，确保在接到红火蚁疫情应急处理通知后，保证24小时内派员到现场进行处理。超过一天后才到达的，按每超一天扣罚200元进行累加扣罚。</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应购置一定数量防治被红火蚁叮咬的药剂，用于现场应急处理。</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防控宣传技术培训要求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鉴于采购社会化服务开展红火蚁防控属于政府公益性事业，为保证防控区域内民众能够切实得到良好的服务，体现防控的成效，</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应做好防控宣传与技术培训。</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应与防控区域内的街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村农技干部建立有效的信息沟通机制，及时反馈防控进展，了解防控区域民众对防控服务的要求。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采用粘贴宣传彩页、分发防控联系小卡片的方式，做好防控区域内各村落红火蚁危害与防范宣传科普。在村落公开宣传栏与人流密集区粘贴宣传彩页，保证宣传到位。</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负责防控区域内红火蚁疫情应急处理和技术指导。</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供应方</w:t>
      </w:r>
      <w:r>
        <w:rPr>
          <w:rFonts w:hint="eastAsia" w:ascii="仿宋_GB2312" w:hAnsi="仿宋_GB2312" w:eastAsia="仿宋_GB2312" w:cs="仿宋_GB2312"/>
          <w:b/>
          <w:bCs/>
          <w:color w:val="auto"/>
          <w:sz w:val="32"/>
          <w:szCs w:val="32"/>
        </w:rPr>
        <w:t>人员配备要求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为保证防控质量，</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需针对本项目成立项目组，并配备项目负责人1名及不少于2名（含2人）的技术负责人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防治人员应确认到位，项目负责人在承包期间原则上不得更换。若因特殊原因（主要为采购人要求更换该项目负责人或该项目负责人发生重大疾病、伤亡或其它不可抗力因素）在承包期间本项目负责人需更换，必须报经采购人同意，才予更换。</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服务期间若采购人根据项目需要召开会议，项目负责人必须准时参加。</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安排的每位员工每周的工作时长、员工薪酬待遇等须符合劳动法等法律法规规定。若</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与其雇员产生劳动纠纷或其他不符合劳动法等法律法规规定的，一切责任由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自行承担，造成采购人负面影响的，采购人有权解除合同并追究</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的违约责任。</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须提供每周的人员工作安排计划表。</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过程监理与防效自检</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由采购人聘请监理单位对施工单位进行全程数字化监督，</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需接受监理单位的监督。监理单位负责跟踪检查项目组织管理制度落实情况、项目人员到位情况，以及巡查、监测、防治、应急处理等各项工作实施力度、进度是否符合该合同和实施方案要求；检查该项目各类相关文件档案、数据、资料等是否完整、齐备。</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防控开始前，</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需向采购人、监理单位提供人员配备、防治药品储备、办公地点设置、防控计划、培训计划等情况的自查报告。</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秋季集中防控结束后，监理单位将指导</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进行防效自检。</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需根据监理单位规划的监测点位置，定点定位做好防效自检工作。防效自检采用诱集监测法，自检监测点数量不少于10个，每个监测点放置不少于20个猪肉火腿肠诱饵，每个诱饵之间距离10米以上，监测时间不少于30分钟，</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需用“云采集”软件详细记录防效自检监测数据。监理单位根据</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上传的监测数据测算企业自检防治率。</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自检的防治率须达到90%以上，才能提请验收申请。如发现</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在防效自检中弄虚作假，不按监测规程进行操作，一经核实，采购人有权让</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重新进行防效自检，因此造成的项目延期及其他不良后果由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项目实施期间，监理单位将阶段性向采购人汇报防控进展情况。一经发现</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所采取的防控措施或防控进度不符合投标文件做出的承诺或不能满足项目实施要求，采购人或监理单位将向</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发出整改通知书，并责令限期整改。限期仍未整改到位的，采购人有权书面约谈</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药剂选用要求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使用的防治药剂剂型为饵剂，药剂必须是高效低毒，对人畜、水体、土壤及周边环境无害，符合环境要求，且有效成份不含氟虫腈，大田限用和禁用药物除外（部分区域施药可参照卫生害虫防治方法），防治对象为红火蚁，药剂必须取得农药登记证、生产许可证或生产批准证书、农药企业标准，能在中国农药信息网进行有效查询。</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须提供红火蚁防控专用药剂至指定地点，作为防控用药及储备药，进场储备总量不得少于每轮防控用药总量的60%（含）。</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应根据药品使用说明书要求，结合防控区域农业生产周期、疫情发生情况、气候条件、环境等因素，合理安排施药间隔期、科学施药，保证防控效果。</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应做到精准施药，注意控制药剂的用量，不可盲目的投放药剂造成防控区域的二次污染。如发现违规用药或造成重大安全事故，责任由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承担，采购人有权终止合同。</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可根据防控情况添加药品种类，添加的药品必须满足项目招标要求。</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经监理单位同意后向采购人提出申请，由采购人审批后方可使用。</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如遇特殊情况或重大疫情，需要辅助使用粉剂的，</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经监理单位同意后向采购人提出申请，由采购人审批后方可使用。粉剂药剂必须是高效低毒，对人畜、水体、土壤及周边环境无害，符合环境要求，且有效成份不含氟虫腈，大田限用和禁用药物除外（部分区域施药可参照卫生害虫防治方法），防治对象为红火蚁，药剂必须取得农药登记证、生产许可证或生产批准证书、农药企业标准，能在中国农药信息网进行有效查询。未经批准违规使用粉剂，发生事故责任由</w:t>
      </w:r>
      <w:r>
        <w:rPr>
          <w:rFonts w:hint="eastAsia" w:ascii="仿宋_GB2312" w:hAnsi="仿宋_GB2312" w:eastAsia="仿宋_GB2312" w:cs="仿宋_GB2312"/>
          <w:color w:val="auto"/>
          <w:sz w:val="32"/>
          <w:szCs w:val="32"/>
          <w:lang w:eastAsia="zh-CN"/>
        </w:rPr>
        <w:t>成交供应商</w:t>
      </w:r>
      <w:r>
        <w:rPr>
          <w:rFonts w:hint="eastAsia" w:ascii="仿宋_GB2312" w:hAnsi="仿宋_GB2312" w:eastAsia="仿宋_GB2312" w:cs="仿宋_GB2312"/>
          <w:color w:val="auto"/>
          <w:sz w:val="32"/>
          <w:szCs w:val="32"/>
        </w:rPr>
        <w:t>承担，采购人有权终止合同。</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应建立农药包装废弃物回收机制</w:t>
      </w:r>
      <w:r>
        <w:rPr>
          <w:rFonts w:hint="eastAsia" w:ascii="仿宋_GB2312" w:hAnsi="仿宋_GB2312" w:eastAsia="仿宋_GB2312" w:cs="仿宋_GB2312"/>
          <w:color w:val="auto"/>
          <w:sz w:val="32"/>
          <w:szCs w:val="32"/>
          <w:highlight w:val="none"/>
        </w:rPr>
        <w:t>，农药包装废弃物回收率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保证防治药剂包装袋不被丢弃在防控现场，采用集中回收统一处置的方式，定期对药剂包装袋进行无害化处置，建立完善的药剂包装袋回收处置台账。</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验收及付款方式</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6.1</w:t>
      </w:r>
      <w:r>
        <w:rPr>
          <w:rFonts w:hint="eastAsia" w:ascii="仿宋_GB2312" w:hAnsi="仿宋_GB2312" w:eastAsia="仿宋_GB2312" w:cs="仿宋_GB2312"/>
          <w:b/>
          <w:bCs/>
          <w:color w:val="auto"/>
          <w:sz w:val="32"/>
          <w:szCs w:val="32"/>
        </w:rPr>
        <w:t>验收</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6.1.1</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完成项目防控工作后，采购人将组织验收专家组进行防效考核。考核形式包括书面资料审查和实地防效考核。书面资料包括：防控总结、调查监测数据汇总、培训资料汇总等。</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6.1.2</w:t>
      </w:r>
      <w:r>
        <w:rPr>
          <w:rFonts w:hint="eastAsia" w:ascii="仿宋_GB2312" w:hAnsi="仿宋_GB2312" w:eastAsia="仿宋_GB2312" w:cs="仿宋_GB2312"/>
          <w:b/>
          <w:bCs/>
          <w:color w:val="auto"/>
          <w:sz w:val="32"/>
          <w:szCs w:val="32"/>
        </w:rPr>
        <w:t>防效评价方法</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通过综合防治率评价专业化防控项目的防效，计算公式如下：</w:t>
      </w:r>
    </w:p>
    <w:p>
      <w:pPr>
        <w:pStyle w:val="6"/>
        <w:keepNext w:val="0"/>
        <w:keepLines w:val="0"/>
        <w:pageBreakBefore w:val="0"/>
        <w:kinsoku/>
        <w:wordWrap/>
        <w:overflowPunct/>
        <w:topLinePunct w:val="0"/>
        <w:autoSpaceDE/>
        <w:autoSpaceDN/>
        <w:bidi w:val="0"/>
        <w:adjustRightInd/>
        <w:snapToGrid/>
        <w:spacing w:beforeAutospacing="0"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object>
          <v:shape id="_x0000_i1025" o:spt="75" type="#_x0000_t75" style="height:29.85pt;width:87.45pt;" o:ole="t" filled="f" o:preferrelative="t" stroked="f" coordsize="21600,21600">
            <v:path/>
            <v:fill on="f" focussize="0,0"/>
            <v:stroke on="f" joinstyle="miter"/>
            <v:imagedata r:id="rId5" o:title="7521950901595385558437"/>
            <o:lock v:ext="edit" aspectratio="t"/>
            <w10:wrap type="none"/>
            <w10:anchorlock/>
          </v:shape>
          <o:OLEObject Type="Embed" ProgID="Equation.3" ShapeID="_x0000_i1025" DrawAspect="Content" ObjectID="_1468075725" r:id="rId4">
            <o:LockedField>false</o:LockedField>
          </o:OLEObject>
        </w:objec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式（1）</w:t>
      </w:r>
    </w:p>
    <w:p>
      <w:pPr>
        <w:pStyle w:val="6"/>
        <w:keepNext w:val="0"/>
        <w:keepLines w:val="0"/>
        <w:pageBreakBefore w:val="0"/>
        <w:kinsoku/>
        <w:wordWrap/>
        <w:overflowPunct/>
        <w:topLinePunct w:val="0"/>
        <w:autoSpaceDE/>
        <w:autoSpaceDN/>
        <w:bidi w:val="0"/>
        <w:adjustRightInd/>
        <w:snapToGrid/>
        <w:spacing w:beforeAutospacing="0"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object>
          <v:shape id="_x0000_i1026" o:spt="75" alt="5119265481595385558452" type="#_x0000_t75" style="height:39.1pt;width:161.5pt;" o:ole="t" filled="f" o:preferrelative="t" stroked="f" coordsize="21600,21600">
            <v:path/>
            <v:fill on="f" focussize="0,0"/>
            <v:stroke on="f"/>
            <v:imagedata r:id="rId7" o:title="5119265481595385558452"/>
            <o:lock v:ext="edit" aspectratio="t"/>
            <w10:wrap type="none"/>
            <w10:anchorlock/>
          </v:shape>
          <o:OLEObject Type="Embed" ProgID="Equation.3" ShapeID="_x0000_i1026" DrawAspect="Content" ObjectID="_1468075726" r:id="rId6">
            <o:LockedField>false</o:LockedField>
          </o:OLEObject>
        </w:object>
      </w:r>
      <w:r>
        <w:rPr>
          <w:rFonts w:hint="eastAsia" w:ascii="仿宋_GB2312" w:hAnsi="仿宋_GB2312" w:eastAsia="仿宋_GB2312" w:cs="仿宋_GB2312"/>
          <w:color w:val="auto"/>
          <w:sz w:val="32"/>
          <w:szCs w:val="32"/>
        </w:rPr>
        <w:t>式（2）</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式（1）计算每个验收点的防治率，其中：</w:t>
      </w:r>
      <w:r>
        <w:rPr>
          <w:rFonts w:hint="eastAsia" w:ascii="仿宋_GB2312" w:hAnsi="仿宋_GB2312" w:eastAsia="仿宋_GB2312" w:cs="仿宋_GB2312"/>
          <w:color w:val="auto"/>
          <w:sz w:val="32"/>
          <w:szCs w:val="32"/>
        </w:rPr>
        <w:object>
          <v:shape id="_x0000_i1027" o:spt="75" type="#_x0000_t75" style="height:12.35pt;width:12.35pt;" o:ole="t" filled="f" o:preferrelative="t" stroked="f" coordsize="21600,21600">
            <v:path/>
            <v:fill on="f" focussize="0,0"/>
            <v:stroke on="f" joinstyle="miter"/>
            <v:imagedata r:id="rId9" o:title="3229296741595385558452"/>
            <o:lock v:ext="edit" aspectratio="t"/>
            <w10:wrap type="none"/>
            <w10:anchorlock/>
          </v:shape>
          <o:OLEObject Type="Embed" ProgID="Equation.3" ShapeID="_x0000_i1027" DrawAspect="Content" ObjectID="_1468075727" r:id="rId8">
            <o:LockedField>false</o:LockedField>
          </o:OLEObject>
        </w:object>
      </w:r>
      <w:r>
        <w:rPr>
          <w:rFonts w:hint="eastAsia" w:ascii="仿宋_GB2312" w:hAnsi="仿宋_GB2312" w:eastAsia="仿宋_GB2312" w:cs="仿宋_GB2312"/>
          <w:color w:val="auto"/>
          <w:sz w:val="32"/>
          <w:szCs w:val="32"/>
        </w:rPr>
        <w:t>表示验收点防治率，</w:t>
      </w:r>
      <w:r>
        <w:rPr>
          <w:rFonts w:hint="eastAsia" w:ascii="仿宋_GB2312" w:hAnsi="仿宋_GB2312" w:eastAsia="仿宋_GB2312" w:cs="仿宋_GB2312"/>
          <w:color w:val="auto"/>
          <w:sz w:val="32"/>
          <w:szCs w:val="32"/>
        </w:rPr>
        <w:object>
          <v:shape id="_x0000_i1028" o:spt="75" type="#_x0000_t75" style="height:12.35pt;width:9.25pt;" o:ole="t" filled="f" o:preferrelative="t" stroked="f" coordsize="21600,21600">
            <v:path/>
            <v:fill on="f" focussize="0,0"/>
            <v:stroke on="f" joinstyle="miter"/>
            <v:imagedata r:id="rId11" o:title="7823611131595385558452"/>
            <o:lock v:ext="edit" aspectratio="t"/>
            <w10:wrap type="none"/>
            <w10:anchorlock/>
          </v:shape>
          <o:OLEObject Type="Embed" ProgID="Equation.3" ShapeID="_x0000_i1028" DrawAspect="Content" ObjectID="_1468075728" r:id="rId10">
            <o:LockedField>false</o:LockedField>
          </o:OLEObject>
        </w:object>
      </w:r>
      <w:r>
        <w:rPr>
          <w:rFonts w:hint="eastAsia" w:ascii="仿宋_GB2312" w:hAnsi="仿宋_GB2312" w:eastAsia="仿宋_GB2312" w:cs="仿宋_GB2312"/>
          <w:color w:val="auto"/>
          <w:sz w:val="32"/>
          <w:szCs w:val="32"/>
        </w:rPr>
        <w:t>表示诱集发生样本数，</w:t>
      </w:r>
      <w:r>
        <w:rPr>
          <w:rFonts w:hint="eastAsia" w:ascii="仿宋_GB2312" w:hAnsi="仿宋_GB2312" w:eastAsia="仿宋_GB2312" w:cs="仿宋_GB2312"/>
          <w:color w:val="auto"/>
          <w:sz w:val="32"/>
          <w:szCs w:val="32"/>
        </w:rPr>
        <w:object>
          <v:shape id="_x0000_i1029" o:spt="75" type="#_x0000_t75" style="height:15.45pt;width:15.45pt;" o:ole="t" filled="f" o:preferrelative="t" stroked="f" coordsize="21600,21600">
            <v:path/>
            <v:fill on="f" focussize="0,0"/>
            <v:stroke on="f" joinstyle="miter"/>
            <v:imagedata r:id="rId13" o:title="5818232901595385558452"/>
            <o:lock v:ext="edit" aspectratio="t"/>
            <w10:wrap type="none"/>
            <w10:anchorlock/>
          </v:shape>
          <o:OLEObject Type="Embed" ProgID="Equation.3" ShapeID="_x0000_i1029" DrawAspect="Content" ObjectID="_1468075729" r:id="rId12">
            <o:LockedField>false</o:LockedField>
          </o:OLEObject>
        </w:object>
      </w:r>
      <w:r>
        <w:rPr>
          <w:rFonts w:hint="eastAsia" w:ascii="仿宋_GB2312" w:hAnsi="仿宋_GB2312" w:eastAsia="仿宋_GB2312" w:cs="仿宋_GB2312"/>
          <w:color w:val="auto"/>
          <w:sz w:val="32"/>
          <w:szCs w:val="32"/>
        </w:rPr>
        <w:t>表示验收点诱集样本总数。</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式（2）计算综合防治率，其中：</w:t>
      </w:r>
      <w:r>
        <w:rPr>
          <w:rFonts w:hint="eastAsia" w:ascii="仿宋_GB2312" w:hAnsi="仿宋_GB2312" w:eastAsia="仿宋_GB2312" w:cs="仿宋_GB2312"/>
          <w:color w:val="auto"/>
          <w:sz w:val="32"/>
          <w:szCs w:val="32"/>
        </w:rPr>
        <w:object>
          <v:shape id="_x0000_i1030" o:spt="75" type="#_x0000_t75" style="height:15.45pt;width:12.35pt;" o:ole="t" filled="f" o:preferrelative="t" stroked="f" coordsize="21600,21600">
            <v:path/>
            <v:fill on="f" focussize="0,0"/>
            <v:stroke on="f" joinstyle="miter"/>
            <v:imagedata r:id="rId15" o:title="6875445621595385558452"/>
            <o:lock v:ext="edit" aspectratio="t"/>
            <w10:wrap type="none"/>
            <w10:anchorlock/>
          </v:shape>
          <o:OLEObject Type="Embed" ProgID="Equation.3" ShapeID="_x0000_i1030" DrawAspect="Content" ObjectID="_1468075730" r:id="rId14">
            <o:LockedField>false</o:LockedField>
          </o:OLEObject>
        </w:object>
      </w:r>
      <w:r>
        <w:rPr>
          <w:rFonts w:hint="eastAsia" w:ascii="仿宋_GB2312" w:hAnsi="仿宋_GB2312" w:eastAsia="仿宋_GB2312" w:cs="仿宋_GB2312"/>
          <w:color w:val="auto"/>
          <w:sz w:val="32"/>
          <w:szCs w:val="32"/>
        </w:rPr>
        <w:t>表示综合防治率，∑表示验收点调查面积总和，</w:t>
      </w:r>
      <w:r>
        <w:rPr>
          <w:rFonts w:hint="eastAsia" w:ascii="仿宋_GB2312" w:hAnsi="仿宋_GB2312" w:eastAsia="仿宋_GB2312" w:cs="仿宋_GB2312"/>
          <w:color w:val="auto"/>
          <w:sz w:val="32"/>
          <w:szCs w:val="32"/>
        </w:rPr>
        <w:object>
          <v:shape id="_x0000_i1031" o:spt="75" type="#_x0000_t75" style="height:12.35pt;width:9.25pt;" o:ole="t" filled="f" o:preferrelative="t" stroked="f" coordsize="21600,21600">
            <v:path/>
            <v:fill on="f" focussize="0,0"/>
            <v:stroke on="f" joinstyle="miter"/>
            <v:imagedata r:id="rId17" o:title="5020370281595385558452"/>
            <o:lock v:ext="edit" aspectratio="t"/>
            <w10:wrap type="none"/>
            <w10:anchorlock/>
          </v:shape>
          <o:OLEObject Type="Embed" ProgID="Equation.3" ShapeID="_x0000_i1031" DrawAspect="Content" ObjectID="_1468075731" r:id="rId16">
            <o:LockedField>false</o:LockedField>
          </o:OLEObject>
        </w:object>
      </w:r>
      <w:r>
        <w:rPr>
          <w:rFonts w:hint="eastAsia" w:ascii="仿宋_GB2312" w:hAnsi="仿宋_GB2312" w:eastAsia="仿宋_GB2312" w:cs="仿宋_GB2312"/>
          <w:color w:val="auto"/>
          <w:sz w:val="32"/>
          <w:szCs w:val="32"/>
        </w:rPr>
        <w:t>表示验收点调查面积，K表示验收点数量，</w:t>
      </w:r>
      <w:r>
        <w:rPr>
          <w:rFonts w:hint="eastAsia" w:ascii="仿宋_GB2312" w:hAnsi="仿宋_GB2312" w:eastAsia="仿宋_GB2312" w:cs="仿宋_GB2312"/>
          <w:color w:val="auto"/>
          <w:sz w:val="32"/>
          <w:szCs w:val="32"/>
        </w:rPr>
        <w:object>
          <v:shape id="_x0000_i1032" o:spt="75" type="#_x0000_t75" style="height:12.35pt;width:12.35pt;" o:ole="t" filled="f" o:preferrelative="t" stroked="f" coordsize="21600,21600">
            <v:path/>
            <v:fill on="f" focussize="0,0"/>
            <v:stroke on="f" joinstyle="miter"/>
            <v:imagedata r:id="rId19" o:title="321920991595385558468"/>
            <o:lock v:ext="edit" aspectratio="t"/>
            <w10:wrap type="none"/>
            <w10:anchorlock/>
          </v:shape>
          <o:OLEObject Type="Embed" ProgID="Equation.3" ShapeID="_x0000_i1032" DrawAspect="Content" ObjectID="_1468075732" r:id="rId18">
            <o:LockedField>false</o:LockedField>
          </o:OLEObject>
        </w:object>
      </w:r>
      <w:r>
        <w:rPr>
          <w:rFonts w:hint="eastAsia" w:ascii="仿宋_GB2312" w:hAnsi="仿宋_GB2312" w:eastAsia="仿宋_GB2312" w:cs="仿宋_GB2312"/>
          <w:color w:val="auto"/>
          <w:sz w:val="32"/>
          <w:szCs w:val="32"/>
        </w:rPr>
        <w:t>表示验收点防治率。</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6.1.3</w:t>
      </w:r>
      <w:r>
        <w:rPr>
          <w:rFonts w:hint="eastAsia" w:ascii="仿宋_GB2312" w:hAnsi="仿宋_GB2312" w:eastAsia="仿宋_GB2312" w:cs="仿宋_GB2312"/>
          <w:color w:val="auto"/>
          <w:sz w:val="32"/>
          <w:szCs w:val="32"/>
        </w:rPr>
        <w:t>验收点布设综合考虑</w:t>
      </w:r>
      <w:r>
        <w:rPr>
          <w:rFonts w:hint="eastAsia" w:ascii="仿宋_GB2312" w:hAnsi="仿宋_GB2312" w:eastAsia="仿宋_GB2312" w:cs="仿宋_GB2312"/>
          <w:color w:val="auto"/>
          <w:sz w:val="32"/>
          <w:szCs w:val="32"/>
          <w:highlight w:val="none"/>
          <w:lang w:eastAsia="zh-CN"/>
        </w:rPr>
        <w:t>环境</w:t>
      </w:r>
      <w:r>
        <w:rPr>
          <w:rFonts w:hint="eastAsia" w:ascii="仿宋_GB2312" w:hAnsi="仿宋_GB2312" w:eastAsia="仿宋_GB2312" w:cs="仿宋_GB2312"/>
          <w:color w:val="auto"/>
          <w:sz w:val="32"/>
          <w:szCs w:val="32"/>
          <w:highlight w:val="none"/>
        </w:rPr>
        <w:t>类型</w:t>
      </w:r>
      <w:r>
        <w:rPr>
          <w:rFonts w:hint="eastAsia" w:ascii="仿宋_GB2312" w:hAnsi="仿宋_GB2312" w:eastAsia="仿宋_GB2312" w:cs="仿宋_GB2312"/>
          <w:color w:val="auto"/>
          <w:sz w:val="32"/>
          <w:szCs w:val="32"/>
        </w:rPr>
        <w:t>，原始红火蚁发生、施药次数、防效评估等因素，随机抽取不少于5个验收点。验收方法按照福建省植保植检总站印发的《关于印发&lt;福建省红火蚁防控社会化服务效果评价规范（试行）&gt;》（闽植保函﹝</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﹞12号）规定执行。在每个验收点放置不少于60个猪肉火腿肠诱饵进行诱集，每个诱饵之间距离10米以上，若发现蚁巢直接将诱饵放置于蚁巢上，监测时间不少于30分钟，记录每个诱饵上红火蚁数量。</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6.1.4</w:t>
      </w:r>
      <w:r>
        <w:rPr>
          <w:rFonts w:hint="eastAsia" w:ascii="仿宋_GB2312" w:hAnsi="仿宋_GB2312" w:eastAsia="仿宋_GB2312" w:cs="仿宋_GB2312"/>
          <w:color w:val="auto"/>
          <w:sz w:val="32"/>
          <w:szCs w:val="32"/>
        </w:rPr>
        <w:t>项目采用1次总验收的方式。即：秋季集中防控结束，验收前必须防效自检达标后，</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才能向采购人提出验收申请。采购人组织3-5名专家进行材料和现场验收。项目执行期间，验收所需一切费用由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6.1.5</w:t>
      </w:r>
      <w:r>
        <w:rPr>
          <w:rFonts w:hint="eastAsia" w:ascii="仿宋_GB2312" w:hAnsi="仿宋_GB2312" w:eastAsia="仿宋_GB2312" w:cs="仿宋_GB2312"/>
          <w:color w:val="auto"/>
          <w:sz w:val="32"/>
          <w:szCs w:val="32"/>
        </w:rPr>
        <w:t>在验收过程中，如发现</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故意干扰验收、弄虚作假、伪造诱集监测结果，一经发现核实，采购人有权终止验收，并判断不合格。</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6.1.6</w:t>
      </w:r>
      <w:r>
        <w:rPr>
          <w:rFonts w:hint="eastAsia" w:ascii="仿宋_GB2312" w:hAnsi="仿宋_GB2312" w:eastAsia="仿宋_GB2312" w:cs="仿宋_GB2312"/>
          <w:color w:val="auto"/>
          <w:sz w:val="32"/>
          <w:szCs w:val="32"/>
        </w:rPr>
        <w:t>项目总体验收不合格，采购人有权责令</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进行整改和补充防治，并根据补防情况再行组织验收。如果在规定的防控期限内未能再次组织验收或补防仍未能达到验收要求，则判定不合格，采购人有权扣除相应的防控经费。如连续2次验收不合格，采购人有权发放终止本项目施工通知，终止</w:t>
      </w:r>
      <w:r>
        <w:rPr>
          <w:rFonts w:hint="eastAsia" w:ascii="仿宋_GB2312" w:hAnsi="仿宋_GB2312" w:eastAsia="仿宋_GB2312" w:cs="仿宋_GB2312"/>
          <w:color w:val="auto"/>
          <w:sz w:val="32"/>
          <w:szCs w:val="32"/>
          <w:lang w:eastAsia="zh-CN"/>
        </w:rPr>
        <w:t>成交供应方</w:t>
      </w:r>
      <w:r>
        <w:rPr>
          <w:rFonts w:hint="eastAsia" w:ascii="仿宋_GB2312" w:hAnsi="仿宋_GB2312" w:eastAsia="仿宋_GB2312" w:cs="仿宋_GB2312"/>
          <w:color w:val="auto"/>
          <w:sz w:val="32"/>
          <w:szCs w:val="32"/>
        </w:rPr>
        <w:t>合同，并向</w:t>
      </w:r>
      <w:r>
        <w:rPr>
          <w:rFonts w:hint="eastAsia" w:ascii="仿宋_GB2312" w:hAnsi="仿宋_GB2312" w:eastAsia="仿宋_GB2312" w:cs="仿宋_GB2312"/>
          <w:color w:val="auto"/>
          <w:sz w:val="32"/>
          <w:szCs w:val="32"/>
          <w:lang w:eastAsia="zh-CN"/>
        </w:rPr>
        <w:t>成交供应方</w:t>
      </w:r>
      <w:r>
        <w:rPr>
          <w:rFonts w:hint="eastAsia" w:ascii="仿宋_GB2312" w:hAnsi="仿宋_GB2312" w:eastAsia="仿宋_GB2312" w:cs="仿宋_GB2312"/>
          <w:color w:val="auto"/>
          <w:sz w:val="32"/>
          <w:szCs w:val="32"/>
        </w:rPr>
        <w:t>追讨相应损失。</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6.2</w:t>
      </w:r>
      <w:r>
        <w:rPr>
          <w:rFonts w:hint="eastAsia" w:ascii="仿宋_GB2312" w:hAnsi="仿宋_GB2312" w:eastAsia="仿宋_GB2312" w:cs="仿宋_GB2312"/>
          <w:b/>
          <w:bCs/>
          <w:color w:val="auto"/>
          <w:sz w:val="32"/>
          <w:szCs w:val="32"/>
        </w:rPr>
        <w:t>付款</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验收合格后，凭正规发票、验收报告等材料一次性支付合同总价款。</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6.3</w:t>
      </w:r>
      <w:r>
        <w:rPr>
          <w:rFonts w:hint="eastAsia" w:ascii="仿宋_GB2312" w:hAnsi="仿宋_GB2312" w:eastAsia="仿宋_GB2312" w:cs="仿宋_GB2312"/>
          <w:b/>
          <w:bCs/>
          <w:color w:val="auto"/>
          <w:sz w:val="32"/>
          <w:szCs w:val="32"/>
        </w:rPr>
        <w:t>扣款项目</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6.3.1</w:t>
      </w:r>
      <w:r>
        <w:rPr>
          <w:rFonts w:hint="eastAsia" w:ascii="仿宋_GB2312" w:hAnsi="仿宋_GB2312" w:eastAsia="仿宋_GB2312" w:cs="仿宋_GB2312"/>
          <w:color w:val="auto"/>
          <w:sz w:val="32"/>
          <w:szCs w:val="32"/>
        </w:rPr>
        <w:t>应急响应未到位，按招标文件执行；</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6.3.2</w:t>
      </w:r>
      <w:r>
        <w:rPr>
          <w:rFonts w:hint="eastAsia" w:ascii="仿宋_GB2312" w:hAnsi="仿宋_GB2312" w:eastAsia="仿宋_GB2312" w:cs="仿宋_GB2312"/>
          <w:color w:val="auto"/>
          <w:sz w:val="32"/>
          <w:szCs w:val="32"/>
        </w:rPr>
        <w:t>在抽检或验收过程中，有群众投诉房前屋后防治不给药的情况，每例扣罚服务费100元；</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6.3.3</w:t>
      </w:r>
      <w:r>
        <w:rPr>
          <w:rFonts w:hint="eastAsia" w:ascii="仿宋_GB2312" w:hAnsi="仿宋_GB2312" w:eastAsia="仿宋_GB2312" w:cs="仿宋_GB2312"/>
          <w:color w:val="auto"/>
          <w:sz w:val="32"/>
          <w:szCs w:val="32"/>
        </w:rPr>
        <w:t>未执行农药包装废弃物回收机制或回收率低于50%的扣当次应付款总额3%，回收率未达到80%的扣当次应付款总额1%。</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6.3.4</w:t>
      </w:r>
      <w:r>
        <w:rPr>
          <w:rFonts w:hint="eastAsia" w:ascii="仿宋_GB2312" w:hAnsi="仿宋_GB2312" w:eastAsia="仿宋_GB2312" w:cs="仿宋_GB2312"/>
          <w:color w:val="auto"/>
          <w:sz w:val="32"/>
          <w:szCs w:val="32"/>
        </w:rPr>
        <w:t>项目实施期间，监理单位将阶段性向采购人汇报防控进展情况。一经发现</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所采取的防控措施或防控进度不符合投标文件做出的承诺或不能满足项目实施要求，采购人或监理单位将向</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发出整改通知书，并责令限期整改。限期仍未整改到位的，采购人有权书面约谈</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。凡被约谈一次扣罚防治经费的10%。</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6.4</w:t>
      </w:r>
      <w:r>
        <w:rPr>
          <w:rFonts w:hint="eastAsia" w:ascii="仿宋_GB2312" w:hAnsi="仿宋_GB2312" w:eastAsia="仿宋_GB2312" w:cs="仿宋_GB2312"/>
          <w:b/>
          <w:bCs/>
          <w:color w:val="auto"/>
          <w:sz w:val="32"/>
          <w:szCs w:val="32"/>
          <w:lang w:eastAsia="zh-CN"/>
        </w:rPr>
        <w:t>供应方</w:t>
      </w:r>
      <w:r>
        <w:rPr>
          <w:rFonts w:hint="eastAsia" w:ascii="仿宋_GB2312" w:hAnsi="仿宋_GB2312" w:eastAsia="仿宋_GB2312" w:cs="仿宋_GB2312"/>
          <w:b/>
          <w:bCs/>
          <w:color w:val="auto"/>
          <w:sz w:val="32"/>
          <w:szCs w:val="32"/>
        </w:rPr>
        <w:t>组织管理要求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6.4.1</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规范</w:t>
      </w:r>
      <w:r>
        <w:rPr>
          <w:rFonts w:hint="eastAsia" w:ascii="仿宋_GB2312" w:hAnsi="仿宋_GB2312" w:eastAsia="仿宋_GB2312" w:cs="仿宋_GB2312"/>
          <w:color w:val="auto"/>
          <w:sz w:val="32"/>
          <w:szCs w:val="32"/>
        </w:rPr>
        <w:t>红火蚁的发生、分布等</w:t>
      </w:r>
      <w:r>
        <w:rPr>
          <w:rFonts w:hint="eastAsia" w:ascii="仿宋_GB2312" w:hAnsi="仿宋_GB2312" w:eastAsia="仿宋_GB2312" w:cs="仿宋_GB2312"/>
          <w:color w:val="auto"/>
          <w:sz w:val="32"/>
          <w:szCs w:val="32"/>
          <w:lang w:eastAsia="zh-CN"/>
        </w:rPr>
        <w:t>普查信息管理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须签订保密责任书。</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6.4.2</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应提供本项目的防控组织实施方案，包括技术方案说明、组织实施、工作计划安排方案及进度计划，并对本方案中有不完善的地方进行补充和完善，保证防控工作的有序性与科学性。</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6.4.3</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提供的防控工艺、标准及技术规范等必须符合国家和行业规定标准、规范要求，技术指标要求不得低于项目提供的服务内容要求。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6.4.4</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应提供内部管理制度情况和安全保障措施。</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6.4.5</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应提供拟投入的药物情况，药物使用说明。</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6.4.6</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须提供拟投入的项目管理班子、相关专业人员名单以及人员排班计划，并附人员的从业经历、职称证书、资质证书等相关证明的有效复印件。</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6.4.7</w:t>
      </w:r>
      <w:r>
        <w:rPr>
          <w:rFonts w:hint="eastAsia" w:ascii="仿宋_GB2312" w:hAnsi="仿宋_GB2312" w:eastAsia="仿宋_GB2312" w:cs="仿宋_GB2312"/>
          <w:color w:val="auto"/>
          <w:sz w:val="32"/>
          <w:szCs w:val="32"/>
          <w:highlight w:val="none"/>
        </w:rPr>
        <w:t>本地区以外的</w:t>
      </w:r>
      <w:r>
        <w:rPr>
          <w:rFonts w:hint="eastAsia" w:ascii="仿宋_GB2312" w:hAnsi="仿宋_GB2312" w:eastAsia="仿宋_GB2312" w:cs="仿宋_GB2312"/>
          <w:color w:val="auto"/>
          <w:sz w:val="32"/>
          <w:szCs w:val="32"/>
          <w:highlight w:val="none"/>
          <w:lang w:eastAsia="zh-CN"/>
        </w:rPr>
        <w:t>供应方</w:t>
      </w:r>
      <w:r>
        <w:rPr>
          <w:rFonts w:hint="eastAsia" w:ascii="仿宋_GB2312" w:hAnsi="仿宋_GB2312" w:eastAsia="仿宋_GB2312" w:cs="仿宋_GB2312"/>
          <w:color w:val="auto"/>
          <w:sz w:val="32"/>
          <w:szCs w:val="32"/>
          <w:highlight w:val="none"/>
        </w:rPr>
        <w:t>，应提供在本地区的本地化服务，</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应承诺提供本地化的技术服务，应提供本地化服务和技术服务的承诺函。</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6.4.8</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可视自身能力，在</w:t>
      </w:r>
      <w:r>
        <w:rPr>
          <w:rFonts w:hint="eastAsia" w:ascii="仿宋_GB2312" w:hAnsi="仿宋_GB2312" w:eastAsia="仿宋_GB2312" w:cs="仿宋_GB2312"/>
          <w:color w:val="auto"/>
          <w:sz w:val="32"/>
          <w:szCs w:val="32"/>
          <w:lang w:eastAsia="zh-CN"/>
        </w:rPr>
        <w:t>响应</w:t>
      </w:r>
      <w:r>
        <w:rPr>
          <w:rFonts w:hint="eastAsia" w:ascii="仿宋_GB2312" w:hAnsi="仿宋_GB2312" w:eastAsia="仿宋_GB2312" w:cs="仿宋_GB2312"/>
          <w:color w:val="auto"/>
          <w:sz w:val="32"/>
          <w:szCs w:val="32"/>
        </w:rPr>
        <w:t>文件中提供更优、更合理的售后服务承诺。</w:t>
      </w:r>
    </w:p>
    <w:p>
      <w:pPr>
        <w:pStyle w:val="6"/>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6.5</w:t>
      </w:r>
      <w:r>
        <w:rPr>
          <w:rFonts w:hint="eastAsia" w:ascii="仿宋_GB2312" w:hAnsi="仿宋_GB2312" w:eastAsia="仿宋_GB2312" w:cs="仿宋_GB2312"/>
          <w:b/>
          <w:bCs/>
          <w:color w:val="auto"/>
          <w:sz w:val="32"/>
          <w:szCs w:val="32"/>
        </w:rPr>
        <w:t>其他要求</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6.5.1</w:t>
      </w:r>
      <w:r>
        <w:rPr>
          <w:rFonts w:hint="eastAsia" w:ascii="仿宋_GB2312" w:hAnsi="仿宋_GB2312" w:eastAsia="仿宋_GB2312" w:cs="仿宋_GB2312"/>
          <w:color w:val="auto"/>
          <w:sz w:val="32"/>
          <w:szCs w:val="32"/>
        </w:rPr>
        <w:t>防治人员须严格按照</w:t>
      </w:r>
      <w:r>
        <w:rPr>
          <w:rFonts w:hint="eastAsia" w:ascii="仿宋_GB2312" w:hAnsi="仿宋_GB2312" w:eastAsia="仿宋_GB2312" w:cs="仿宋_GB2312"/>
          <w:color w:val="auto"/>
          <w:sz w:val="32"/>
          <w:szCs w:val="32"/>
          <w:lang w:eastAsia="zh-CN"/>
        </w:rPr>
        <w:t>安全</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等相关</w:t>
      </w:r>
      <w:r>
        <w:rPr>
          <w:rFonts w:hint="eastAsia" w:ascii="仿宋_GB2312" w:hAnsi="仿宋_GB2312" w:eastAsia="仿宋_GB2312" w:cs="仿宋_GB2312"/>
          <w:color w:val="auto"/>
          <w:sz w:val="32"/>
          <w:szCs w:val="32"/>
        </w:rPr>
        <w:t>规定进行工作，</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须对其防治人员的工作负责。由于未遵守规定，不服从采购人管理造成项目延误或责任事故，违反相关法律法规及国家规则制度的，所产生的一切法律责任和经济损失均由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承担，造成采购人负面影响的，采购人有权解除合同并追究</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的违约责任。</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6.5.2</w:t>
      </w:r>
      <w:r>
        <w:rPr>
          <w:rFonts w:hint="eastAsia" w:ascii="仿宋_GB2312" w:hAnsi="仿宋_GB2312" w:eastAsia="仿宋_GB2312" w:cs="仿宋_GB2312"/>
          <w:color w:val="auto"/>
          <w:sz w:val="32"/>
          <w:szCs w:val="32"/>
        </w:rPr>
        <w:t>防治人员须严格遵守相关的法律法规，若在防控期内发生违法犯罪行为的，或因防治人员的行为给采购人造成负面影响，一切后果均由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承担，采购人均有权解除合同并追究</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的违约责任。</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6.5.3</w:t>
      </w:r>
      <w:r>
        <w:rPr>
          <w:rFonts w:hint="eastAsia" w:ascii="仿宋_GB2312" w:hAnsi="仿宋_GB2312" w:eastAsia="仿宋_GB2312" w:cs="仿宋_GB2312"/>
          <w:color w:val="auto"/>
          <w:sz w:val="32"/>
          <w:szCs w:val="32"/>
        </w:rPr>
        <w:t>防治人员在防治过程中要服从采购人的管理，接受采购人的监督。注意施工安全，防止发生火灾和人身意外事故。</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必须特别注意在林区施工时的森林防火安全，严禁在林区搭建临时食宿设施，严禁携带火种进入林区；同时不得对水源保护区造成污染，遵守有关安全保护规程，如有违反规定发生安全事故由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负全责。</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6.5.4</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必须为防治施工人员购买保险，服务期间发生的一切安全责任事故及造成第三者伤害责任的，均由</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承担相应的责任。提醒防治人员在施工过程中注意自身及周边安全，负责施工过程中所有事故的处理和费用。</w:t>
      </w:r>
    </w:p>
    <w:p>
      <w:pPr>
        <w:pStyle w:val="6"/>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6.5.5</w:t>
      </w:r>
      <w:r>
        <w:rPr>
          <w:rFonts w:hint="eastAsia" w:ascii="仿宋_GB2312" w:hAnsi="仿宋_GB2312" w:eastAsia="仿宋_GB2312" w:cs="仿宋_GB2312"/>
          <w:color w:val="auto"/>
          <w:sz w:val="32"/>
          <w:szCs w:val="32"/>
          <w:lang w:eastAsia="zh-CN"/>
        </w:rPr>
        <w:t>供应方</w:t>
      </w:r>
      <w:r>
        <w:rPr>
          <w:rFonts w:hint="eastAsia" w:ascii="仿宋_GB2312" w:hAnsi="仿宋_GB2312" w:eastAsia="仿宋_GB2312" w:cs="仿宋_GB2312"/>
          <w:color w:val="auto"/>
          <w:sz w:val="32"/>
          <w:szCs w:val="32"/>
        </w:rPr>
        <w:t>的服务费包含人工费、药品、辅助材料费、机械、技术服务、检验检测、劳保、税金、验收费用、验收专家费、相关伴随服务合同期间所可能发生的一切费用。</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DhlZmI4ZWY2MzJkYjI5MzM1YjJkOGM4N2MwYjQifQ=="/>
  </w:docVars>
  <w:rsids>
    <w:rsidRoot w:val="18E344D9"/>
    <w:rsid w:val="18E3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2022-10-11T07:24:00Z</dcterms:created>
  <dc:creator>市农业农村局</dc:creator>
  <cp:lastModifiedBy>市农业农村局</cp:lastModifiedBy>
  <dcterms:modified xsi:type="dcterms:W3CDTF">2022-10-11T07:37:27Z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A30D74688EF54C98AFB884E03C23D538</vt:lpwstr>
  </property>
</Properties>
</file>