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spacing w:val="0"/>
          <w:w w:val="100"/>
          <w:lang w:val="en-US" w:eastAsia="zh-CN"/>
        </w:rPr>
      </w:pPr>
      <w:r>
        <w:rPr>
          <w:rFonts w:hint="eastAsia" w:ascii="方正小标宋简体" w:hAnsi="方正小标宋简体" w:eastAsia="方正小标宋简体" w:cs="方正小标宋简体"/>
          <w:spacing w:val="0"/>
          <w:w w:val="100"/>
        </w:rPr>
        <w:t>石狮市市场监督管理局</w:t>
      </w:r>
    </w:p>
    <w:p>
      <w:pPr>
        <w:pStyle w:val="2"/>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before="157" w:beforeLines="50" w:after="157" w:afterLines="50" w:line="560" w:lineRule="exact"/>
        <w:jc w:val="center"/>
        <w:textAlignment w:val="baseline"/>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狮市监处罚〔2024〕8063号</w:t>
      </w:r>
    </w:p>
    <w:p>
      <w:pPr>
        <w:spacing w:line="47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当事人：石狮市付谷华蔬菜店</w:t>
      </w:r>
    </w:p>
    <w:p>
      <w:pPr>
        <w:spacing w:line="47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主体资格证照名称：营业执照     </w:t>
      </w:r>
    </w:p>
    <w:p>
      <w:pPr>
        <w:spacing w:line="47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统一社会信用代码：92350581MAD099CHX7          </w:t>
      </w:r>
    </w:p>
    <w:p>
      <w:pPr>
        <w:spacing w:line="47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经营场所：福建省石狮市隆兴路17号</w:t>
      </w:r>
    </w:p>
    <w:p>
      <w:pPr>
        <w:spacing w:line="47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经营者：付谷华</w:t>
      </w:r>
    </w:p>
    <w:p>
      <w:pPr>
        <w:spacing w:line="470" w:lineRule="exact"/>
        <w:ind w:firstLine="640" w:firstLineChars="200"/>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身份证号码：</w:t>
      </w:r>
      <w:r>
        <w:rPr>
          <w:rFonts w:hint="eastAsia" w:ascii="仿宋" w:hAnsi="仿宋" w:eastAsia="仿宋" w:cs="仿宋_GB2312"/>
          <w:color w:val="000000"/>
          <w:sz w:val="32"/>
          <w:szCs w:val="32"/>
          <w:lang w:val="en-US" w:eastAsia="zh-CN"/>
        </w:rPr>
        <w:t>********</w:t>
      </w:r>
      <w:bookmarkStart w:id="2" w:name="_GoBack"/>
      <w:bookmarkEnd w:id="2"/>
    </w:p>
    <w:p>
      <w:pPr>
        <w:spacing w:line="47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        </w:t>
      </w:r>
    </w:p>
    <w:p>
      <w:pPr>
        <w:spacing w:line="47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本局在办理泉州民祥餐饮管理有限公司涉嫌经营不符合食品安全国家标准的上海青一案时，发现泉州民祥餐饮管理有限公司经营的不符合食品安全国家标准的上海青的供货商是石狮市付谷华蔬菜店。2024年9月2日</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本局予以立案调查。执法人员对付谷华进行询问调查，当事人向本局提交相关证据材料，执法人员围绕当事人涉嫌经营不符合食品安全国家标准的上海青的违法行为收集相关证据材料，确定其违法事实。2024年11月11日案件调查终结。</w:t>
      </w:r>
    </w:p>
    <w:p>
      <w:pPr>
        <w:kinsoku w:val="0"/>
        <w:topLinePunct/>
        <w:autoSpaceDE w:val="0"/>
        <w:snapToGrid w:val="0"/>
        <w:spacing w:line="470" w:lineRule="exact"/>
        <w:ind w:firstLine="645"/>
        <w:jc w:val="left"/>
        <w:rPr>
          <w:rFonts w:ascii="仿宋" w:hAnsi="仿宋" w:eastAsia="仿宋" w:cs="仿宋_GB2312"/>
          <w:color w:val="000000"/>
          <w:sz w:val="32"/>
          <w:szCs w:val="32"/>
        </w:rPr>
      </w:pPr>
      <w:r>
        <w:rPr>
          <w:rFonts w:hint="eastAsia" w:ascii="仿宋" w:hAnsi="仿宋" w:eastAsia="仿宋" w:cs="仿宋_GB2312"/>
          <w:color w:val="000000"/>
          <w:sz w:val="32"/>
          <w:szCs w:val="32"/>
        </w:rPr>
        <w:t>经查，当事人于2024年6月3日向微信昵称为“一起看日出”的菜商购进上海青30包，向微信昵称为“小继满”的菜商购进上海青11包，上述上海青共791斤，购进单价25元/包，总金额1025元。2024年6月4日，当事人将上述上海青791斤混合在一起全部销售给泉州民祥餐饮管理服务有限公司，销售单价1.6元/斤,总金额1265.6元。泉州民祥餐饮管理服务有限公司将上述上海青791斤均用于学校食堂餐食制作，其中32斤配送至泉州民祥餐饮管理服务有限公司石狮宝盖分公司，用于石狮市石光中学食堂的餐食制作。2024年6月4日，用于石狮市石光中学食堂餐食制作批次的上海青经泉州海关综合技术服务中心抽样检验并出具检验报告（No：24C227001368），毒死蜱项目实测值0.21mg/kg、甲拌磷项目实测值0.091mg/kg，不符合 GB 2763-2021《食品安全国家标准 食品中农药最大残留限量》毒死蜱≤0.02mg/kg、甲拌磷≤0.01mg/kg的限量要求，检验结论为不合格。因无法查明经检验不符合食品安全国家标准的上海青是向哪一菜商购买的批次，当事人经营不符合食品安全国家标准的上海青的货值金额及违法所得均无法计算。</w:t>
      </w:r>
    </w:p>
    <w:p>
      <w:pPr>
        <w:kinsoku w:val="0"/>
        <w:topLinePunct/>
        <w:autoSpaceDE w:val="0"/>
        <w:snapToGrid w:val="0"/>
        <w:spacing w:line="470" w:lineRule="exact"/>
        <w:ind w:firstLine="645"/>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另查，当事人购进上述批次的上海青时，未查验并留存供货者经营资质及产品合格证明文件复印件等证明材料。</w:t>
      </w:r>
    </w:p>
    <w:p>
      <w:pPr>
        <w:spacing w:line="47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上述事实，主要有以下证据证明：</w:t>
      </w:r>
    </w:p>
    <w:p>
      <w:pPr>
        <w:numPr>
          <w:ilvl w:val="0"/>
          <w:numId w:val="1"/>
        </w:numPr>
        <w:spacing w:line="470" w:lineRule="exact"/>
        <w:ind w:left="0" w:leftChars="0"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当事人石狮市付谷华蔬菜店营业执照、经营者付谷华身份证复印件各1份，证明当事人石狮市付谷华蔬菜店的主体资格；</w:t>
      </w:r>
    </w:p>
    <w:p>
      <w:pPr>
        <w:numPr>
          <w:ilvl w:val="0"/>
          <w:numId w:val="1"/>
        </w:numPr>
        <w:spacing w:line="470" w:lineRule="exact"/>
        <w:ind w:left="0" w:leftChars="0"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现场笔录1份、现场照片2张，证明当事人现场经营的情况；</w:t>
      </w:r>
    </w:p>
    <w:p>
      <w:pPr>
        <w:numPr>
          <w:ilvl w:val="0"/>
          <w:numId w:val="1"/>
        </w:numPr>
        <w:spacing w:line="470" w:lineRule="exact"/>
        <w:ind w:left="0" w:leftChars="0"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对付谷华的询问笔录2份、对柯洪伟、汪英还的询问笔录复印件各1份，证明当事人采购和经营不合格食用农产品的具体情况；</w:t>
      </w:r>
    </w:p>
    <w:p>
      <w:pPr>
        <w:numPr>
          <w:ilvl w:val="0"/>
          <w:numId w:val="1"/>
        </w:numPr>
        <w:spacing w:line="470" w:lineRule="exact"/>
        <w:ind w:left="0" w:leftChars="0" w:firstLine="640" w:firstLineChars="200"/>
        <w:rPr>
          <w:rFonts w:hint="eastAsia" w:ascii="仿宋" w:hAnsi="仿宋" w:eastAsia="仿宋"/>
          <w:sz w:val="32"/>
          <w:szCs w:val="32"/>
        </w:rPr>
      </w:pPr>
      <w:r>
        <w:rPr>
          <w:rFonts w:hint="eastAsia" w:ascii="仿宋" w:hAnsi="仿宋" w:eastAsia="仿宋" w:cs="仿宋_GB2312"/>
          <w:color w:val="000000"/>
          <w:sz w:val="32"/>
          <w:szCs w:val="32"/>
        </w:rPr>
        <w:t>检验报告（No：24C227001368）复印件1份，证明上述上海青经过抽检，检验结论为不合格的事实。</w:t>
      </w:r>
    </w:p>
    <w:p>
      <w:pPr>
        <w:kinsoku w:val="0"/>
        <w:topLinePunct/>
        <w:autoSpaceDE w:val="0"/>
        <w:snapToGrid w:val="0"/>
        <w:spacing w:line="470" w:lineRule="exact"/>
        <w:ind w:firstLine="645"/>
        <w:jc w:val="left"/>
        <w:rPr>
          <w:rFonts w:hint="eastAsia" w:ascii="仿宋" w:hAnsi="仿宋" w:eastAsia="仿宋" w:cs="仿宋_GB2312"/>
          <w:sz w:val="32"/>
          <w:szCs w:val="32"/>
        </w:rPr>
      </w:pPr>
      <w:r>
        <w:rPr>
          <w:rFonts w:hint="eastAsia" w:ascii="仿宋" w:hAnsi="仿宋" w:eastAsia="仿宋" w:cs="仿宋_GB2312"/>
          <w:sz w:val="32"/>
          <w:szCs w:val="32"/>
        </w:rPr>
        <w:t>2024年11月25日，本局向当事人直接送达《行政处罚告知书》（狮市监罚告〔2024〕8063号），告知当事人拟作出的行政处罚决定以及事实、理由、依据，并告知当事人依法享有陈述、申辩</w:t>
      </w:r>
      <w:r>
        <w:rPr>
          <w:rFonts w:hint="eastAsia" w:ascii="仿宋" w:hAnsi="仿宋" w:eastAsia="仿宋" w:cs="仿宋_GB2312"/>
          <w:sz w:val="32"/>
          <w:szCs w:val="32"/>
          <w:lang w:eastAsia="zh-CN"/>
        </w:rPr>
        <w:t>和要求听证</w:t>
      </w:r>
      <w:r>
        <w:rPr>
          <w:rFonts w:hint="eastAsia" w:ascii="仿宋" w:hAnsi="仿宋" w:eastAsia="仿宋" w:cs="仿宋_GB2312"/>
          <w:sz w:val="32"/>
          <w:szCs w:val="32"/>
        </w:rPr>
        <w:t>的权利。当事人在法定期限内未提出</w:t>
      </w:r>
      <w:r>
        <w:rPr>
          <w:rFonts w:hint="eastAsia" w:ascii="仿宋" w:hAnsi="仿宋" w:eastAsia="仿宋" w:cs="仿宋_GB2312"/>
          <w:sz w:val="32"/>
          <w:szCs w:val="32"/>
          <w:lang w:eastAsia="zh-CN"/>
        </w:rPr>
        <w:t>听证要求，也未提出</w:t>
      </w:r>
      <w:r>
        <w:rPr>
          <w:rFonts w:hint="eastAsia" w:ascii="仿宋" w:hAnsi="仿宋" w:eastAsia="仿宋" w:cs="仿宋_GB2312"/>
          <w:sz w:val="32"/>
          <w:szCs w:val="32"/>
        </w:rPr>
        <w:t>陈述、申辩意见。</w:t>
      </w:r>
    </w:p>
    <w:p>
      <w:pPr>
        <w:spacing w:line="470" w:lineRule="exact"/>
        <w:ind w:firstLine="640"/>
        <w:rPr>
          <w:rFonts w:hint="eastAsia" w:ascii="仿宋" w:hAnsi="仿宋" w:eastAsia="仿宋" w:cs="仿宋_GB2312"/>
          <w:color w:val="000000"/>
          <w:sz w:val="32"/>
          <w:szCs w:val="32"/>
        </w:rPr>
      </w:pPr>
      <w:r>
        <w:rPr>
          <w:rFonts w:hint="eastAsia" w:ascii="仿宋" w:hAnsi="仿宋" w:eastAsia="仿宋" w:cs="仿宋_GB2312"/>
          <w:sz w:val="32"/>
          <w:szCs w:val="32"/>
        </w:rPr>
        <w:t>本局认为，</w:t>
      </w:r>
      <w:r>
        <w:rPr>
          <w:rFonts w:hint="eastAsia" w:ascii="仿宋" w:hAnsi="仿宋" w:eastAsia="仿宋" w:cs="仿宋_GB2312"/>
          <w:color w:val="000000"/>
          <w:sz w:val="32"/>
          <w:szCs w:val="32"/>
        </w:rPr>
        <w:t>当事人经营不符合食品安全国家标准的上海青的行为，违反了《食用农产品市场销售质量安全监督管理办法》第十五条第一款“禁止销售者采购、销售食品安全法第三十四条规定情形的食用农产品”、《中华人民共和国食品安全法》第三十四条第（二）项“禁止生产经营下列食品、食品添加剂、食品相关产品：（二）致病性微生物，农药残留、兽药残留、生物毒素、重金属等污染物质以及其他危害人体健康的物质含量超过食品安全标准限量的食品、食品添加剂、食品相关产品”的规定，构成经营不符合食品安全国家标准的食用农产品的违法行为。依据《食用农产品市场销售质量安全监督管理办法》第四十二条“销售者违反本办法第十五条规定，采购、销售食品安全法第三十四条规定情形的食用农产品的，由县级以上市场监督管理部门依照食品安全法有关规定给予处罚”、《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应当给予当事人没收违法所得和违法生产经营的食品，并处五万元以上十万元以下罚款的行政处罚。</w:t>
      </w:r>
    </w:p>
    <w:p>
      <w:pPr>
        <w:spacing w:line="470" w:lineRule="exact"/>
        <w:ind w:firstLine="640"/>
        <w:rPr>
          <w:rFonts w:hint="eastAsia" w:ascii="仿宋" w:hAnsi="仿宋" w:eastAsia="仿宋" w:cs="仿宋_GB2312"/>
          <w:color w:val="000000"/>
          <w:sz w:val="32"/>
          <w:szCs w:val="32"/>
        </w:rPr>
      </w:pPr>
      <w:r>
        <w:rPr>
          <w:rFonts w:hint="eastAsia" w:ascii="仿宋" w:hAnsi="仿宋" w:eastAsia="仿宋" w:cs="仿宋_GB2312"/>
          <w:color w:val="000000"/>
          <w:sz w:val="32"/>
          <w:szCs w:val="32"/>
        </w:rPr>
        <w:t>当事人采购上述批次的上海青未</w:t>
      </w:r>
      <w:r>
        <w:rPr>
          <w:rFonts w:hint="eastAsia" w:ascii="仿宋" w:hAnsi="仿宋" w:eastAsia="仿宋" w:cs="仿宋_GB2312"/>
          <w:color w:val="000000"/>
          <w:sz w:val="32"/>
          <w:szCs w:val="32"/>
          <w:lang w:eastAsia="zh-CN"/>
        </w:rPr>
        <w:t>按要求建立食用农产品进货查验记录制度和索取进货凭证</w:t>
      </w:r>
      <w:r>
        <w:rPr>
          <w:rFonts w:hint="eastAsia" w:ascii="仿宋" w:hAnsi="仿宋" w:eastAsia="仿宋" w:cs="仿宋_GB2312"/>
          <w:color w:val="000000"/>
          <w:sz w:val="32"/>
          <w:szCs w:val="32"/>
        </w:rPr>
        <w:t>，违反了《</w:t>
      </w:r>
      <w:r>
        <w:rPr>
          <w:rFonts w:hint="eastAsia" w:ascii="仿宋" w:hAnsi="仿宋" w:eastAsia="仿宋" w:cs="仿宋_GB2312"/>
          <w:color w:val="000000"/>
          <w:sz w:val="32"/>
          <w:szCs w:val="32"/>
          <w:lang w:eastAsia="zh-CN"/>
        </w:rPr>
        <w:t>食用农产品市场销售质量安全监督管理办法</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第八</w:t>
      </w:r>
      <w:r>
        <w:rPr>
          <w:rFonts w:hint="eastAsia" w:ascii="仿宋" w:hAnsi="仿宋" w:eastAsia="仿宋" w:cs="仿宋_GB2312"/>
          <w:color w:val="000000"/>
          <w:sz w:val="32"/>
          <w:szCs w:val="32"/>
        </w:rPr>
        <w:t>条第一款“销售者采购食用农产品，应当依照</w:t>
      </w:r>
      <w:r>
        <w:rPr>
          <w:rFonts w:hint="eastAsia" w:ascii="仿宋" w:hAnsi="仿宋" w:eastAsia="仿宋" w:cs="仿宋_GB2312"/>
          <w:color w:val="000000"/>
          <w:sz w:val="32"/>
          <w:szCs w:val="32"/>
        </w:rPr>
        <w:fldChar w:fldCharType="begin"/>
      </w:r>
      <w:r>
        <w:rPr>
          <w:rFonts w:hint="eastAsia" w:ascii="仿宋" w:hAnsi="仿宋" w:eastAsia="仿宋" w:cs="仿宋_GB2312"/>
          <w:color w:val="000000"/>
          <w:sz w:val="32"/>
          <w:szCs w:val="32"/>
        </w:rPr>
        <w:instrText xml:space="preserve"> HYPERLINK "javascript:SLC(328289,0)" </w:instrText>
      </w:r>
      <w:r>
        <w:rPr>
          <w:rFonts w:hint="eastAsia" w:ascii="仿宋" w:hAnsi="仿宋" w:eastAsia="仿宋" w:cs="仿宋_GB2312"/>
          <w:color w:val="000000"/>
          <w:sz w:val="32"/>
          <w:szCs w:val="32"/>
        </w:rPr>
        <w:fldChar w:fldCharType="separate"/>
      </w:r>
      <w:r>
        <w:rPr>
          <w:rFonts w:hint="eastAsia" w:ascii="仿宋" w:hAnsi="仿宋" w:eastAsia="仿宋" w:cs="仿宋_GB2312"/>
          <w:color w:val="000000"/>
          <w:sz w:val="32"/>
          <w:szCs w:val="32"/>
        </w:rPr>
        <w:t>食品安全法</w:t>
      </w:r>
      <w:r>
        <w:rPr>
          <w:rFonts w:hint="eastAsia" w:ascii="仿宋" w:hAnsi="仿宋" w:eastAsia="仿宋" w:cs="仿宋_GB2312"/>
          <w:color w:val="000000"/>
          <w:sz w:val="32"/>
          <w:szCs w:val="32"/>
        </w:rPr>
        <w:fldChar w:fldCharType="end"/>
      </w:r>
      <w:r>
        <w:rPr>
          <w:rFonts w:hint="eastAsia" w:ascii="仿宋" w:hAnsi="仿宋" w:eastAsia="仿宋" w:cs="仿宋_GB2312"/>
          <w:color w:val="000000"/>
          <w:sz w:val="32"/>
          <w:szCs w:val="32"/>
        </w:rPr>
        <w:t>第</w:t>
      </w:r>
      <w:r>
        <w:rPr>
          <w:rFonts w:hint="eastAsia" w:ascii="仿宋" w:hAnsi="仿宋" w:eastAsia="仿宋" w:cs="仿宋_GB2312"/>
          <w:color w:val="000000"/>
          <w:sz w:val="32"/>
          <w:szCs w:val="32"/>
        </w:rPr>
        <w:fldChar w:fldCharType="begin"/>
      </w:r>
      <w:r>
        <w:rPr>
          <w:rFonts w:hint="eastAsia" w:ascii="仿宋" w:hAnsi="仿宋" w:eastAsia="仿宋" w:cs="仿宋_GB2312"/>
          <w:color w:val="000000"/>
          <w:sz w:val="32"/>
          <w:szCs w:val="32"/>
        </w:rPr>
        <w:instrText xml:space="preserve"> HYPERLINK "javascript:SLC(328289,65)" </w:instrText>
      </w:r>
      <w:r>
        <w:rPr>
          <w:rFonts w:hint="eastAsia" w:ascii="仿宋" w:hAnsi="仿宋" w:eastAsia="仿宋" w:cs="仿宋_GB2312"/>
          <w:color w:val="000000"/>
          <w:sz w:val="32"/>
          <w:szCs w:val="32"/>
        </w:rPr>
        <w:fldChar w:fldCharType="separate"/>
      </w:r>
      <w:r>
        <w:rPr>
          <w:rFonts w:hint="eastAsia" w:ascii="仿宋" w:hAnsi="仿宋" w:eastAsia="仿宋" w:cs="仿宋_GB2312"/>
          <w:color w:val="000000"/>
          <w:sz w:val="32"/>
          <w:szCs w:val="32"/>
        </w:rPr>
        <w:t>六十五条</w:t>
      </w:r>
      <w:r>
        <w:rPr>
          <w:rFonts w:hint="eastAsia" w:ascii="仿宋" w:hAnsi="仿宋" w:eastAsia="仿宋" w:cs="仿宋_GB2312"/>
          <w:color w:val="000000"/>
          <w:sz w:val="32"/>
          <w:szCs w:val="32"/>
        </w:rPr>
        <w:fldChar w:fldCharType="end"/>
      </w:r>
      <w:r>
        <w:rPr>
          <w:rFonts w:hint="eastAsia" w:ascii="仿宋" w:hAnsi="仿宋" w:eastAsia="仿宋" w:cs="仿宋_GB2312"/>
          <w:color w:val="000000"/>
          <w:sz w:val="32"/>
          <w:szCs w:val="32"/>
        </w:rPr>
        <w:t>的规定建立食用农产品进货查验记录制度，索取并留存食用农产品进货凭证，并核对供货者等有关信息”</w:t>
      </w:r>
      <w:r>
        <w:rPr>
          <w:rFonts w:hint="eastAsia" w:ascii="仿宋" w:hAnsi="仿宋" w:eastAsia="仿宋" w:cs="仿宋_GB2312"/>
          <w:color w:val="000000"/>
          <w:sz w:val="32"/>
          <w:szCs w:val="32"/>
          <w:lang w:eastAsia="zh-CN"/>
        </w:rPr>
        <w:t>、《中华人民共和国食品安全法》第六十五条“食用农产品销售者应当建立食用农产品进货查验记录制度，如实记录食用农产品的名称、数量、进货日期以及供货者名称、地址、联系方式等内容，并保存相关凭证。记录和凭证保存期限不得少于六个月”</w:t>
      </w:r>
      <w:r>
        <w:rPr>
          <w:rFonts w:hint="eastAsia" w:ascii="仿宋" w:hAnsi="仿宋" w:eastAsia="仿宋" w:cs="仿宋_GB2312"/>
          <w:color w:val="000000"/>
          <w:sz w:val="32"/>
          <w:szCs w:val="32"/>
        </w:rPr>
        <w:t>的规定，构成采购</w:t>
      </w:r>
      <w:r>
        <w:rPr>
          <w:rFonts w:hint="eastAsia" w:ascii="仿宋" w:hAnsi="仿宋" w:eastAsia="仿宋" w:cs="仿宋_GB2312"/>
          <w:color w:val="000000"/>
          <w:sz w:val="32"/>
          <w:szCs w:val="32"/>
          <w:lang w:eastAsia="zh-CN"/>
        </w:rPr>
        <w:t>食用农产品</w:t>
      </w:r>
      <w:r>
        <w:rPr>
          <w:rFonts w:hint="eastAsia" w:ascii="仿宋" w:hAnsi="仿宋" w:eastAsia="仿宋" w:cs="仿宋_GB2312"/>
          <w:color w:val="000000"/>
          <w:sz w:val="32"/>
          <w:szCs w:val="32"/>
        </w:rPr>
        <w:t>时未</w:t>
      </w:r>
      <w:r>
        <w:rPr>
          <w:rFonts w:hint="eastAsia" w:ascii="仿宋" w:hAnsi="仿宋" w:eastAsia="仿宋" w:cs="仿宋_GB2312"/>
          <w:color w:val="000000"/>
          <w:sz w:val="32"/>
          <w:szCs w:val="32"/>
          <w:lang w:eastAsia="zh-CN"/>
        </w:rPr>
        <w:t>按要求建立食用农产品进货查验记录制度和索取进货凭证</w:t>
      </w:r>
      <w:r>
        <w:rPr>
          <w:rFonts w:hint="eastAsia" w:ascii="仿宋" w:hAnsi="仿宋" w:eastAsia="仿宋" w:cs="仿宋_GB2312"/>
          <w:color w:val="000000"/>
          <w:sz w:val="32"/>
          <w:szCs w:val="32"/>
        </w:rPr>
        <w:t>的违法行为。依据《</w:t>
      </w:r>
      <w:r>
        <w:rPr>
          <w:rFonts w:hint="eastAsia" w:ascii="仿宋" w:hAnsi="仿宋" w:eastAsia="仿宋" w:cs="仿宋_GB2312"/>
          <w:color w:val="000000"/>
          <w:sz w:val="32"/>
          <w:szCs w:val="32"/>
          <w:lang w:eastAsia="zh-CN"/>
        </w:rPr>
        <w:t>食用农产品市场销售质量安全监督管理办法</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第三十九条第（一）项“有下列情形之一的，由县级以上市场监督管理部门依照食品安全法第一百二十六条第一款的规定给予处罚：（一）销售者违反本办法第八条第一款规定，未按要求建立食用农产品进货查验记录制度，或者未按要求索取进货凭证的”、</w:t>
      </w:r>
      <w:r>
        <w:rPr>
          <w:rFonts w:hint="eastAsia" w:ascii="仿宋" w:hAnsi="仿宋" w:eastAsia="仿宋" w:cs="仿宋_GB2312"/>
          <w:color w:val="000000"/>
          <w:sz w:val="32"/>
          <w:szCs w:val="32"/>
        </w:rPr>
        <w:t>《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仿宋" w:hAnsi="仿宋" w:eastAsia="仿宋" w:cs="仿宋_GB2312"/>
          <w:color w:val="000000"/>
          <w:sz w:val="32"/>
          <w:szCs w:val="32"/>
          <w:lang w:eastAsia="zh-CN"/>
        </w:rPr>
        <w:t>之规定</w:t>
      </w:r>
      <w:r>
        <w:rPr>
          <w:rFonts w:hint="eastAsia" w:ascii="仿宋" w:hAnsi="仿宋" w:eastAsia="仿宋" w:cs="仿宋_GB2312"/>
          <w:color w:val="000000"/>
          <w:sz w:val="32"/>
          <w:szCs w:val="32"/>
        </w:rPr>
        <w:t>，应当给予当事人警告的行政处罚。</w:t>
      </w:r>
    </w:p>
    <w:p>
      <w:pPr>
        <w:spacing w:line="470" w:lineRule="exact"/>
        <w:ind w:firstLine="640"/>
        <w:rPr>
          <w:rFonts w:hint="eastAsia" w:ascii="仿宋" w:hAnsi="仿宋" w:eastAsia="仿宋"/>
          <w:sz w:val="32"/>
          <w:szCs w:val="32"/>
        </w:rPr>
      </w:pPr>
      <w:r>
        <w:rPr>
          <w:rFonts w:hint="eastAsia" w:ascii="仿宋" w:hAnsi="仿宋" w:eastAsia="仿宋"/>
          <w:sz w:val="32"/>
          <w:szCs w:val="32"/>
        </w:rPr>
        <w:t>鉴于当事人积极配合案件调查，如实陈述违法事实并主动提供证据材料，符合《福建省市场监督管理局关于行政处罚裁量权的适用规则》第十一条第（二）项、《泉州市市场监管领域不予处罚和减轻从轻处罚适用规则》第八条第（二）项规定的可以从轻行政处罚的情形。经综合考虑，建议参照《福建省市场监督管理系统适用&lt;食品安全法&gt;行政处罚裁量基准》条款代号SP-3违法情节从轻的规定，对当事人经营不符合食品安全国家标准的食用农产品的违法行为，予以没收违法所得和违法生产经营的食品，裁量幅度为处5万元以上6.5万元以下罚款的行政处罚。</w:t>
      </w:r>
    </w:p>
    <w:p>
      <w:pPr>
        <w:spacing w:line="470" w:lineRule="exact"/>
        <w:ind w:firstLine="640" w:firstLineChars="200"/>
        <w:rPr>
          <w:rFonts w:hint="eastAsia" w:ascii="仿宋" w:hAnsi="仿宋" w:eastAsia="仿宋"/>
          <w:sz w:val="32"/>
          <w:szCs w:val="32"/>
        </w:rPr>
      </w:pPr>
      <w:r>
        <w:rPr>
          <w:rFonts w:hint="eastAsia" w:ascii="仿宋" w:hAnsi="仿宋" w:eastAsia="仿宋" w:cs="仿宋_GB2312"/>
          <w:sz w:val="32"/>
          <w:szCs w:val="32"/>
        </w:rPr>
        <w:t>综上，当事人上述行为违反了《食用农产品市场销售质量安全监督管理办法》第十五条第一款、《中华人民共和国食品安全法》第三十四条第（二）项、</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食用农产品市场销售质量安全监督管理办法</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第八</w:t>
      </w:r>
      <w:r>
        <w:rPr>
          <w:rFonts w:hint="eastAsia" w:ascii="仿宋" w:hAnsi="仿宋" w:eastAsia="仿宋" w:cs="仿宋_GB2312"/>
          <w:color w:val="000000"/>
          <w:sz w:val="32"/>
          <w:szCs w:val="32"/>
        </w:rPr>
        <w:t>条第一款</w:t>
      </w:r>
      <w:r>
        <w:rPr>
          <w:rFonts w:hint="eastAsia" w:ascii="仿宋" w:hAnsi="仿宋" w:eastAsia="仿宋" w:cs="仿宋_GB2312"/>
          <w:color w:val="000000"/>
          <w:sz w:val="32"/>
          <w:szCs w:val="32"/>
          <w:lang w:eastAsia="zh-CN"/>
        </w:rPr>
        <w:t>、《中华人民共和国食品安全法》第六十五条</w:t>
      </w:r>
      <w:r>
        <w:rPr>
          <w:rFonts w:hint="eastAsia" w:ascii="仿宋" w:hAnsi="仿宋" w:eastAsia="仿宋" w:cs="仿宋_GB2312"/>
          <w:sz w:val="32"/>
          <w:szCs w:val="32"/>
        </w:rPr>
        <w:t>，</w:t>
      </w:r>
      <w:r>
        <w:rPr>
          <w:rFonts w:hint="eastAsia" w:ascii="仿宋" w:hAnsi="仿宋" w:eastAsia="仿宋"/>
          <w:sz w:val="32"/>
          <w:szCs w:val="32"/>
        </w:rPr>
        <w:t>依据《食用农产品市场销售质量安全监督管理办法》第四十二条、《中华人民共和国食品安全法》第一百二十四条第一款第（一）项、</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食用农产品市场销售质量安全监督管理办法</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第三十九条第（一）项、</w:t>
      </w:r>
      <w:r>
        <w:rPr>
          <w:rFonts w:hint="eastAsia" w:ascii="仿宋" w:hAnsi="仿宋" w:eastAsia="仿宋"/>
          <w:sz w:val="32"/>
          <w:szCs w:val="32"/>
        </w:rPr>
        <w:t>《中华人民共和国食品安全法》第一百二十六条第一款之规定，本局决定责令当事人改正上述违法行为，并处罚如下：</w:t>
      </w:r>
    </w:p>
    <w:p>
      <w:pPr>
        <w:spacing w:line="470" w:lineRule="exact"/>
        <w:ind w:firstLine="640" w:firstLineChars="200"/>
        <w:rPr>
          <w:rFonts w:hint="eastAsia" w:ascii="仿宋" w:hAnsi="仿宋" w:eastAsia="仿宋"/>
          <w:sz w:val="32"/>
          <w:szCs w:val="32"/>
        </w:rPr>
      </w:pPr>
      <w:r>
        <w:rPr>
          <w:rFonts w:hint="eastAsia" w:ascii="仿宋" w:hAnsi="仿宋" w:eastAsia="仿宋"/>
          <w:sz w:val="32"/>
          <w:szCs w:val="32"/>
        </w:rPr>
        <w:t>1、对当事人经营不符合食品安全国家标准的食用农产品的违法行为，罚款50000元；</w:t>
      </w:r>
    </w:p>
    <w:p>
      <w:pPr>
        <w:spacing w:line="470" w:lineRule="exact"/>
        <w:ind w:firstLine="640" w:firstLineChars="200"/>
        <w:rPr>
          <w:rFonts w:hint="eastAsia" w:ascii="仿宋" w:hAnsi="仿宋" w:eastAsia="仿宋" w:cs="仿宋_GB2312"/>
          <w:sz w:val="32"/>
          <w:szCs w:val="32"/>
        </w:rPr>
      </w:pPr>
      <w:r>
        <w:rPr>
          <w:rFonts w:hint="eastAsia" w:ascii="仿宋" w:hAnsi="仿宋" w:eastAsia="仿宋"/>
          <w:sz w:val="32"/>
          <w:szCs w:val="32"/>
        </w:rPr>
        <w:t>2、对当事人</w:t>
      </w:r>
      <w:r>
        <w:rPr>
          <w:rFonts w:hint="eastAsia" w:ascii="仿宋" w:hAnsi="仿宋" w:eastAsia="仿宋" w:cs="仿宋_GB2312"/>
          <w:color w:val="000000"/>
          <w:sz w:val="32"/>
          <w:szCs w:val="32"/>
        </w:rPr>
        <w:t>采购</w:t>
      </w:r>
      <w:r>
        <w:rPr>
          <w:rFonts w:hint="eastAsia" w:ascii="仿宋" w:hAnsi="仿宋" w:eastAsia="仿宋" w:cs="仿宋_GB2312"/>
          <w:color w:val="000000"/>
          <w:sz w:val="32"/>
          <w:szCs w:val="32"/>
          <w:lang w:eastAsia="zh-CN"/>
        </w:rPr>
        <w:t>食用农产品</w:t>
      </w:r>
      <w:r>
        <w:rPr>
          <w:rFonts w:hint="eastAsia" w:ascii="仿宋" w:hAnsi="仿宋" w:eastAsia="仿宋" w:cs="仿宋_GB2312"/>
          <w:color w:val="000000"/>
          <w:sz w:val="32"/>
          <w:szCs w:val="32"/>
        </w:rPr>
        <w:t>时未</w:t>
      </w:r>
      <w:r>
        <w:rPr>
          <w:rFonts w:hint="eastAsia" w:ascii="仿宋" w:hAnsi="仿宋" w:eastAsia="仿宋" w:cs="仿宋_GB2312"/>
          <w:color w:val="000000"/>
          <w:sz w:val="32"/>
          <w:szCs w:val="32"/>
          <w:lang w:eastAsia="zh-CN"/>
        </w:rPr>
        <w:t>按要求建立食用农产品进货查验记录制度和索取进货凭证的违法行为</w:t>
      </w:r>
      <w:r>
        <w:rPr>
          <w:rFonts w:hint="eastAsia" w:ascii="仿宋" w:hAnsi="仿宋" w:eastAsia="仿宋"/>
          <w:sz w:val="32"/>
          <w:szCs w:val="32"/>
        </w:rPr>
        <w:t>，给予警告。</w:t>
      </w:r>
      <w:r>
        <w:rPr>
          <w:rFonts w:hint="eastAsia" w:ascii="仿宋" w:hAnsi="仿宋" w:eastAsia="仿宋" w:cs="仿宋_GB2312"/>
          <w:sz w:val="32"/>
          <w:szCs w:val="32"/>
        </w:rPr>
        <w:t xml:space="preserve">       </w:t>
      </w:r>
    </w:p>
    <w:p>
      <w:pPr>
        <w:spacing w:line="47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当事人应当</w:t>
      </w:r>
      <w:r>
        <w:rPr>
          <w:rFonts w:hint="eastAsia" w:ascii="仿宋" w:hAnsi="仿宋" w:eastAsia="仿宋"/>
          <w:color w:val="000000"/>
          <w:sz w:val="32"/>
          <w:szCs w:val="32"/>
          <w:lang w:eastAsia="zh-CN"/>
        </w:rPr>
        <w:t>自收到</w:t>
      </w:r>
      <w:r>
        <w:rPr>
          <w:rFonts w:hint="eastAsia" w:ascii="仿宋" w:hAnsi="仿宋" w:eastAsia="仿宋"/>
          <w:color w:val="000000"/>
          <w:sz w:val="32"/>
          <w:szCs w:val="32"/>
        </w:rPr>
        <w:t>本行政处罚决定书之日起十五日内，根据非税收入缴款通知书上的缴款渠道（代收银行网点、手机银行、网上银行、支付宝、微信等）缴交罚没款</w:t>
      </w:r>
      <w:r>
        <w:rPr>
          <w:rFonts w:hint="eastAsia" w:ascii="仿宋" w:hAnsi="仿宋" w:eastAsia="仿宋"/>
          <w:color w:val="000000"/>
          <w:sz w:val="32"/>
          <w:szCs w:val="32"/>
          <w:lang w:eastAsia="zh-CN"/>
        </w:rPr>
        <w:t>。</w:t>
      </w:r>
      <w:r>
        <w:rPr>
          <w:rFonts w:hint="eastAsia" w:ascii="仿宋" w:hAnsi="仿宋" w:eastAsia="仿宋"/>
          <w:color w:val="000000"/>
          <w:sz w:val="32"/>
          <w:szCs w:val="32"/>
        </w:rPr>
        <w:t>到期不缴纳罚款的，依据《中华人民共和国行政处罚法》第七十二条的规定，本局将每日按罚款数额的百分之三加处罚款，并依法申请人民法院强制执行。</w:t>
      </w:r>
    </w:p>
    <w:p>
      <w:pPr>
        <w:spacing w:line="47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如你单位不服本行政处罚决定，可以在收到本行政处罚决定之日起六十日内向石狮市人民政府申请行政复议；也可以在六个月内依法向泉州市洛江区人民法院提起行政诉讼。</w:t>
      </w:r>
    </w:p>
    <w:p>
      <w:pPr>
        <w:spacing w:line="279" w:lineRule="auto"/>
        <w:rPr>
          <w:rFonts w:ascii="Microsoft JhengHei"/>
          <w:spacing w:val="0"/>
          <w:w w:val="100"/>
        </w:rPr>
      </w:pPr>
    </w:p>
    <w:p>
      <w:pPr>
        <w:spacing w:line="279" w:lineRule="auto"/>
        <w:rPr>
          <w:rFonts w:hint="default" w:ascii="Microsoft JhengHei" w:eastAsia="宋体"/>
          <w:color w:val="FF0000"/>
          <w:spacing w:val="0"/>
          <w:w w:val="100"/>
          <w:lang w:val="en-US" w:eastAsia="zh-CN"/>
        </w:rPr>
      </w:pPr>
      <w:bookmarkStart w:id="0" w:name="thts1"/>
      <w:r>
        <w:rPr>
          <w:rFonts w:ascii="仿宋" w:hAnsi="仿宋" w:cs="仿宋" w:eastAsia="仿宋"/>
          <w:sz w:val="32"/>
        </w:rPr>
        <w:t xml:space="preserve"> </w:t>
      </w:r>
      <w:bookmarkEnd w:id="0"/>
    </w:p>
    <w:p>
      <w:pPr>
        <w:keepNext w:val="0"/>
        <w:keepLines w:val="0"/>
        <w:pageBreakBefore w:val="0"/>
        <w:widowControl/>
        <w:tabs>
          <w:tab w:val="left" w:pos="5667"/>
        </w:tabs>
        <w:kinsoku w:val="0"/>
        <w:wordWrap w:val="0"/>
        <w:overflowPunct/>
        <w:topLinePunct w:val="0"/>
        <w:autoSpaceDE w:val="0"/>
        <w:autoSpaceDN w:val="0"/>
        <w:bidi/>
        <w:adjustRightInd w:val="0"/>
        <w:snapToGrid w:val="0"/>
        <w:spacing w:line="560" w:lineRule="exact"/>
        <w:ind w:left="0" w:leftChars="0" w:right="840" w:rightChars="400" w:firstLine="0" w:firstLineChars="0"/>
        <w:jc w:val="left"/>
        <w:textAlignment w:val="baseline"/>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石狮市市场监督管理局</w:t>
      </w:r>
      <w:r>
        <w:rPr>
          <w:rFonts w:ascii="仿宋" w:hAnsi="仿宋" w:eastAsia="仿宋" w:cs="仿宋"/>
          <w:sz w:val="32"/>
        </w:rPr>
        <w:t xml:space="preserve">   </w:t>
      </w:r>
    </w:p>
    <w:p>
      <w:pPr>
        <w:keepNext w:val="0"/>
        <w:keepLines w:val="0"/>
        <w:pageBreakBefore w:val="0"/>
        <w:widowControl/>
        <w:tabs>
          <w:tab w:val="left" w:pos="5667"/>
        </w:tabs>
        <w:kinsoku w:val="0"/>
        <w:wordWrap/>
        <w:overflowPunct/>
        <w:topLinePunct w:val="0"/>
        <w:autoSpaceDE w:val="0"/>
        <w:autoSpaceDN w:val="0"/>
        <w:bidi/>
        <w:adjustRightInd w:val="0"/>
        <w:snapToGrid w:val="0"/>
        <w:spacing w:line="40" w:lineRule="exact"/>
        <w:ind w:left="0" w:leftChars="0" w:right="0" w:firstLine="1650" w:firstLineChars="1500"/>
        <w:jc w:val="left"/>
        <w:textAlignment w:val="baseline"/>
        <w:rPr>
          <w:rFonts w:hint="default" w:ascii="仿宋" w:hAnsi="仿宋" w:eastAsia="仿宋" w:cs="仿宋"/>
          <w:spacing w:val="0"/>
          <w:w w:val="100"/>
          <w:sz w:val="32"/>
          <w:szCs w:val="32"/>
          <w:lang w:val="en-US" w:eastAsia="zh-CN"/>
        </w:rPr>
      </w:pPr>
      <w:r>
        <w:rPr>
          <w:rFonts w:ascii="仿宋" w:hAnsi="仿宋" w:eastAsia="仿宋" w:cs="仿宋"/>
          <w:color w:val="FFFFFF" w:themeColor="background1"/>
          <w:spacing w:val="0"/>
          <w:w w:val="100"/>
          <w:sz w:val="11"/>
          <w:szCs w:val="11"/>
          <w14:textFill>
            <w14:solidFill>
              <w14:schemeClr w14:val="bg1"/>
            </w14:solidFill>
          </w14:textFill>
        </w:rPr>
        <w:t>（</w:t>
      </w:r>
      <w:r>
        <w:rPr>
          <w:rFonts w:hint="eastAsia" w:ascii="仿宋" w:hAnsi="仿宋" w:eastAsia="仿宋" w:cs="仿宋"/>
          <w:color w:val="FFFFFF" w:themeColor="background1"/>
          <w:spacing w:val="0"/>
          <w:w w:val="100"/>
          <w:sz w:val="11"/>
          <w:szCs w:val="11"/>
          <w:lang w:eastAsia="zh-CN"/>
          <w14:textFill>
            <w14:solidFill>
              <w14:schemeClr w14:val="bg1"/>
            </w14:solidFill>
          </w14:textFill>
        </w:rPr>
        <w:t>sealdwy</w:t>
      </w:r>
      <w:r>
        <w:rPr>
          <w:rFonts w:ascii="仿宋" w:hAnsi="仿宋" w:eastAsia="仿宋" w:cs="仿宋"/>
          <w:color w:val="FFFFFF" w:themeColor="background1"/>
          <w:spacing w:val="0"/>
          <w:w w:val="100"/>
          <w:sz w:val="11"/>
          <w:szCs w:val="11"/>
          <w14:textFill>
            <w14:solidFill>
              <w14:schemeClr w14:val="bg1"/>
            </w14:solidFill>
          </w14:textFill>
        </w:rPr>
        <w:t>）</w:t>
      </w:r>
      <w:r>
        <w:rPr>
          <w:rFonts w:ascii="仿宋" w:hAnsi="仿宋" w:eastAsia="仿宋" w:cs="仿宋"/>
          <w:color w:val="000000" w:themeColor="text1"/>
          <w:spacing w:val="0"/>
          <w:w w:val="100"/>
          <w:sz w:val="21"/>
          <w:szCs w:val="21"/>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adjustRightInd w:val="0"/>
        <w:snapToGrid w:val="0"/>
        <w:spacing w:line="560" w:lineRule="exact"/>
        <w:ind w:right="840" w:rightChars="400" w:firstLine="0" w:firstLineChars="0"/>
        <w:jc w:val="left"/>
        <w:textAlignment w:val="baseline"/>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2024年12月04日</w:t>
      </w:r>
      <w:r>
        <w:rPr>
          <w:rFonts w:ascii="仿宋" w:hAnsi="仿宋" w:eastAsia="仿宋" w:cs="仿宋"/>
          <w:sz w:val="32"/>
        </w:rPr>
        <w:t xml:space="preserve">       </w:t>
      </w:r>
    </w:p>
    <w:p>
      <w:pPr>
        <w:spacing w:line="279" w:lineRule="auto"/>
        <w:rPr>
          <w:rFonts w:hint="default" w:ascii="黑体" w:hAnsi="黑体" w:eastAsia="黑体" w:cs="黑体"/>
          <w:color w:val="231F20"/>
          <w:spacing w:val="0"/>
          <w:w w:val="100"/>
          <w:sz w:val="32"/>
          <w:szCs w:val="32"/>
          <w:lang w:val="en-US" w:eastAsia="zh-CN"/>
        </w:rPr>
      </w:pPr>
      <w:bookmarkStart w:id="1" w:name="thts2"/>
      <w:r>
        <w:rPr>
          <w:rFonts w:ascii="仿宋" w:hAnsi="仿宋" w:cs="仿宋" w:eastAsia="仿宋"/>
          <w:sz w:val="32"/>
        </w:rPr>
        <w:t xml:space="preserve"> </w:t>
      </w:r>
      <w:bookmarkEnd w:id="1"/>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hint="eastAsia" w:ascii="仿宋" w:hAnsi="仿宋" w:eastAsia="仿宋" w:cs="仿宋"/>
          <w:b/>
          <w:bCs/>
          <w:spacing w:val="0"/>
          <w:w w:val="100"/>
          <w:sz w:val="28"/>
          <w:szCs w:val="28"/>
          <w:u w:val="none"/>
          <w:lang w:val="en-US" w:eastAsia="zh-CN"/>
        </w:rPr>
      </w:pPr>
      <w:r>
        <w:rPr>
          <w:rFonts w:hint="eastAsia" w:ascii="仿宋" w:hAnsi="仿宋" w:eastAsia="仿宋" w:cs="仿宋"/>
          <w:b/>
          <w:bCs/>
          <w:spacing w:val="0"/>
          <w:w w:val="100"/>
          <w:sz w:val="28"/>
          <w:szCs w:val="28"/>
          <w:u w:val="none"/>
          <w:lang w:val="en-US" w:eastAsia="zh-CN"/>
        </w:rPr>
        <w:t>（市场监督管理部门将依法向社会公开行政处罚决定信息）</w:t>
      </w:r>
    </w:p>
    <w:p>
      <w:pPr>
        <w:spacing w:line="261" w:lineRule="auto"/>
        <w:rPr>
          <w:rFonts w:ascii="Microsoft JhengHei"/>
          <w:spacing w:val="0"/>
          <w:w w:val="100"/>
        </w:rPr>
      </w:pPr>
    </w:p>
    <w:p>
      <w:pPr>
        <w:spacing w:line="261" w:lineRule="auto"/>
        <w:rPr>
          <w:rFonts w:ascii="Microsoft JhengHei"/>
          <w:spacing w:val="0"/>
          <w:w w:val="100"/>
        </w:rPr>
      </w:pPr>
    </w:p>
    <w:p>
      <w:pPr>
        <w:spacing w:line="26" w:lineRule="exact"/>
        <w:textAlignment w:val="center"/>
        <w:rPr>
          <w:spacing w:val="0"/>
          <w:w w:val="100"/>
        </w:rPr>
      </w:pPr>
      <w:r>
        <w:rPr>
          <w:spacing w:val="0"/>
          <w:w w:val="100"/>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pPr>
        <w:spacing w:before="106" w:line="183" w:lineRule="auto"/>
        <w:ind w:firstLine="231"/>
        <w:rPr>
          <w:spacing w:val="0"/>
          <w:w w:val="100"/>
        </w:rPr>
      </w:pPr>
      <w:r>
        <w:rPr>
          <w:rFonts w:ascii="仿宋" w:hAnsi="仿宋" w:eastAsia="仿宋" w:cs="仿宋"/>
          <w:spacing w:val="0"/>
          <w:w w:val="100"/>
          <w:sz w:val="32"/>
          <w:szCs w:val="32"/>
        </w:rPr>
        <w:t>本文书一</w:t>
      </w:r>
      <w:r>
        <w:rPr>
          <w:rFonts w:ascii="仿宋" w:hAnsi="仿宋" w:eastAsia="仿宋" w:cs="仿宋"/>
          <w:spacing w:val="0"/>
          <w:w w:val="100"/>
          <w:sz w:val="32"/>
          <w:szCs w:val="32"/>
          <w:u w:val="none"/>
        </w:rPr>
        <w:t>式</w:t>
      </w:r>
      <w:r>
        <w:rPr>
          <w:rFonts w:hint="eastAsia" w:ascii="仿宋" w:hAnsi="仿宋" w:eastAsia="仿宋" w:cs="仿宋"/>
          <w:spacing w:val="0"/>
          <w:w w:val="100"/>
          <w:sz w:val="32"/>
          <w:szCs w:val="32"/>
          <w:u w:val="none"/>
          <w:lang w:val="en-US" w:eastAsia="zh-CN"/>
        </w:rPr>
        <w:t>二</w:t>
      </w:r>
      <w:r>
        <w:rPr>
          <w:rFonts w:ascii="仿宋" w:hAnsi="仿宋" w:eastAsia="仿宋" w:cs="仿宋"/>
          <w:spacing w:val="0"/>
          <w:w w:val="100"/>
          <w:sz w:val="32"/>
          <w:szCs w:val="32"/>
          <w:u w:val="none"/>
        </w:rPr>
        <w:t>份，</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份送达，</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份归档</w:t>
      </w:r>
      <w:r>
        <w:rPr>
          <w:rFonts w:hint="eastAsia" w:ascii="仿宋" w:hAnsi="仿宋" w:eastAsia="仿宋" w:cs="仿宋"/>
          <w:spacing w:val="0"/>
          <w:w w:val="100"/>
          <w:sz w:val="32"/>
          <w:szCs w:val="32"/>
          <w:u w:val="none"/>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ADF7E"/>
    <w:multiLevelType w:val="singleLevel"/>
    <w:tmpl w:val="497ADF7E"/>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523EB0"/>
    <w:rsid w:val="016A6FD7"/>
    <w:rsid w:val="04293CFB"/>
    <w:rsid w:val="0B3440E4"/>
    <w:rsid w:val="0D447276"/>
    <w:rsid w:val="0DBD22EC"/>
    <w:rsid w:val="0DC12675"/>
    <w:rsid w:val="114C2FAE"/>
    <w:rsid w:val="11621A79"/>
    <w:rsid w:val="14515DD5"/>
    <w:rsid w:val="17C44A8F"/>
    <w:rsid w:val="23AD74CB"/>
    <w:rsid w:val="24B9255E"/>
    <w:rsid w:val="25227A45"/>
    <w:rsid w:val="253A7874"/>
    <w:rsid w:val="264E7E89"/>
    <w:rsid w:val="27181761"/>
    <w:rsid w:val="289A78F2"/>
    <w:rsid w:val="29B35913"/>
    <w:rsid w:val="2A306760"/>
    <w:rsid w:val="2BEB12ED"/>
    <w:rsid w:val="2C545A11"/>
    <w:rsid w:val="2F8512FC"/>
    <w:rsid w:val="30175A94"/>
    <w:rsid w:val="353F631E"/>
    <w:rsid w:val="382B632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png" Type="http://schemas.openxmlformats.org/officeDocument/2006/relationships/imag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赖俊东</cp:lastModifiedBy>
  <dcterms:modified xsi:type="dcterms:W3CDTF">2024-12-17T01:02:11Z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418C01DBAB86420BB5E3D98C8368170E_12</vt:lpwstr>
  </property>
</Properties>
</file>